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3.png" ContentType="image/png"/>
  <Override PartName="/word/media/rId36.png" ContentType="image/png"/>
  <Override PartName="/word/media/rId26.png" ContentType="image/png"/>
  <Override PartName="/word/media/rId19.png" ContentType="image/png"/>
  <Override PartName="/word/media/rId55.png" ContentType="image/png"/>
  <Override PartName="/word/media/rId65.png" ContentType="image/png"/>
  <Override PartName="/word/media/rId62.png" ContentType="image/png"/>
  <Override PartName="/word/media/rId58.png" ContentType="image/png"/>
  <Override PartName="/word/media/rId40.png" ContentType="image/png"/>
  <Override PartName="/word/media/rId30.png" ContentType="image/png"/>
  <Override PartName="/word/media/rId23.png" ContentType="image/png"/>
  <Override PartName="/word/media/rId51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how-it-works-read-this-page-first"/>
    <w:p>
      <w:pPr>
        <w:pStyle w:val="Heading1"/>
      </w:pPr>
      <w:r>
        <w:t xml:space="preserve">0. How it works — read this page first</w:t>
      </w:r>
    </w:p>
    <w:p>
      <w:pPr>
        <w:pStyle w:val="FirstParagraph"/>
      </w:pPr>
      <w:r>
        <w:t xml:space="preserve">The system is a shared, attributable record of what happened to a product as it moves between organisations. It</w:t>
      </w:r>
      <w:r>
        <w:t xml:space="preserve"> </w:t>
      </w:r>
      <w:r>
        <w:t xml:space="preserve">does not replace anyone’s ERP; it records claims and makes them checkable.</w:t>
      </w:r>
    </w:p>
    <w:p>
      <w:pPr>
        <w:pStyle w:val="BodyText"/>
      </w:pPr>
      <w:r>
        <w:rPr>
          <w:b/>
          <w:bCs/>
        </w:rPr>
        <w:t xml:space="preserve">Writing a claim</w:t>
      </w:r>
      <w:r>
        <w:t xml:space="preserve"> </w:t>
      </w:r>
      <w:r>
        <w:t xml:space="preserve">(Figures 4 and 12). A participant signs an EPCIS event and submits it with a</w:t>
      </w:r>
      <w:r>
        <w:t xml:space="preserve"> </w:t>
      </w:r>
      <w:r>
        <w:t xml:space="preserve">client-generated identifier. The platform validates the profile and the signature, then persists the event and</w:t>
      </w:r>
      <w:r>
        <w:t xml:space="preserve"> </w:t>
      </w:r>
      <w:r>
        <w:t xml:space="preserve">enqueues an archive intent in one transaction. Workers encrypt the payload under a fresh data key, wrapped by a</w:t>
      </w:r>
      <w:r>
        <w:t xml:space="preserve"> </w:t>
      </w:r>
      <w:r>
        <w:t xml:space="preserve">consortium key held outside the platform, write the ciphertext to an archive in another control domain, and</w:t>
      </w:r>
      <w:r>
        <w:t xml:space="preserve"> </w:t>
      </w:r>
      <w:r>
        <w:t xml:space="preserve">record the holder’s signature over the stored bytes. That acknowledgement is what allows a receipt to be issued.</w:t>
      </w:r>
      <w:r>
        <w:t xml:space="preserve"> </w:t>
      </w:r>
      <w:r>
        <w:t xml:space="preserve">Every thirty minutes the relayer commits a Merkle root over the receipted events to a public chain. An event</w:t>
      </w:r>
      <w:r>
        <w:t xml:space="preserve"> </w:t>
      </w:r>
      <w:r>
        <w:t xml:space="preserve">becomes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 </w:t>
      </w:r>
      <w:r>
        <w:t xml:space="preserve">only when both have happened: an outside holder has signed for the bytes, and the root is</w:t>
      </w:r>
      <w:r>
        <w:t xml:space="preserve"> </w:t>
      </w:r>
      <w:r>
        <w:t xml:space="preserve">final.</w:t>
      </w:r>
    </w:p>
    <w:p>
      <w:pPr>
        <w:pStyle w:val="BodyText"/>
      </w:pPr>
      <w:r>
        <w:rPr>
          <w:b/>
          <w:bCs/>
        </w:rPr>
        <w:t xml:space="preserve">Reading a claim</w:t>
      </w:r>
      <w:r>
        <w:t xml:space="preserve"> </w:t>
      </w:r>
      <w:r>
        <w:t xml:space="preserve">(Figure 2). Every read goes through one entrance,</w:t>
      </w:r>
      <w:r>
        <w:t xml:space="preserve"> </w:t>
      </w:r>
      <w:r>
        <w:rPr>
          <w:rStyle w:val="VerbatimChar"/>
        </w:rPr>
        <w:t xml:space="preserve">QueryPort</w:t>
      </w:r>
      <w:r>
        <w:t xml:space="preserve">, which enforces scope,</w:t>
      </w:r>
      <w:r>
        <w:t xml:space="preserve"> </w:t>
      </w:r>
      <w:r>
        <w:t xml:space="preserve">non-collapsing and watermark. Lineage is derived once into an indexed table, so a recall traversal is a bounded</w:t>
      </w:r>
      <w:r>
        <w:t xml:space="preserve"> </w:t>
      </w:r>
      <w:r>
        <w:t xml:space="preserve">recursive query rather than a walk through the archive. Consumers never reach the application: they read</w:t>
      </w:r>
      <w:r>
        <w:t xml:space="preserve"> </w:t>
      </w:r>
      <w:r>
        <w:t xml:space="preserve">versioned snapshots from a CDN, which is why a media-driven burst costs the origin almost nothing.</w:t>
      </w:r>
    </w:p>
    <w:p>
      <w:pPr>
        <w:pStyle w:val="BodyText"/>
      </w:pPr>
      <w:r>
        <w:rPr>
          <w:b/>
          <w:bCs/>
        </w:rPr>
        <w:t xml:space="preserve">Who owns what.</w:t>
      </w:r>
      <w:r>
        <w:t xml:space="preserve"> </w:t>
      </w:r>
      <w:r>
        <w:t xml:space="preserve">Four accounts: the platform, the trustee (archive and keys), the regulator’s analytics</w:t>
      </w:r>
      <w:r>
        <w:t xml:space="preserve"> </w:t>
      </w:r>
      <w:r>
        <w:t xml:space="preserve">workspace, and the regulator’s evidence mirror. The operator can read consortium plaintext — an authorised</w:t>
      </w:r>
      <w:r>
        <w:t xml:space="preserve"> </w:t>
      </w:r>
      <w:r>
        <w:t xml:space="preserve">capability, not an accident — but it cannot read private evidence, forge a holder’s signature, or rewrite a</w:t>
      </w:r>
      <w:r>
        <w:t xml:space="preserve"> </w:t>
      </w:r>
      <w:r>
        <w:t xml:space="preserve">confirmed batch without detection.</w:t>
      </w:r>
    </w:p>
    <w:p>
      <w:pPr>
        <w:pStyle w:val="BodyText"/>
      </w:pPr>
      <w:r>
        <w:rPr>
          <w:b/>
          <w:bCs/>
        </w:rPr>
        <w:t xml:space="preserve">What it deliberately does not do.</w:t>
      </w:r>
      <w:r>
        <w:t xml:space="preserve"> </w:t>
      </w:r>
      <w:r>
        <w:t xml:space="preserve">Decide whether a claim is true, execute recalls, or hold raw telemetry.</w:t>
      </w:r>
    </w:p>
    <w:p>
      <w:pPr>
        <w:pStyle w:val="BodyText"/>
      </w:pPr>
      <w:r>
        <w:rPr>
          <w:b/>
          <w:bCs/>
        </w:rPr>
        <w:t xml:space="preserve">The claim the rest of this report defends.</w:t>
      </w:r>
      <w:r>
        <w:t xml:space="preserve"> </w:t>
      </w:r>
      <w:r>
        <w:t xml:space="preserve">No single party — not the operator, not the archive, not a regulator —</w:t>
      </w:r>
      <w:r>
        <w:t xml:space="preserve"> </w:t>
      </w:r>
      <w:r>
        <w:t xml:space="preserve">can silently rewrite confirmed history. Sections 1–4 establish it; Section 5 tests it and names where it falls short.</w:t>
      </w:r>
    </w:p>
    <w:bookmarkEnd w:id="9"/>
    <w:bookmarkStart w:id="11" w:name="project-context"/>
    <w:p>
      <w:pPr>
        <w:pStyle w:val="Heading1"/>
      </w:pPr>
      <w:r>
        <w:t xml:space="preserve">1. Project context</w:t>
      </w:r>
    </w:p>
    <w:p>
      <w:pPr>
        <w:pStyle w:val="FirstParagraph"/>
      </w:pPr>
      <w:r>
        <w:t xml:space="preserve">An agricultural product moves through independent businesses, each keeping its own record of what it received, did</w:t>
      </w:r>
      <w:r>
        <w:t xml:space="preserve"> </w:t>
      </w:r>
      <w:r>
        <w:t xml:space="preserve">and passed on. Nothing joins those records: a regulator reconstructing a recall asks each business in turn and gets a</w:t>
      </w:r>
      <w:r>
        <w:t xml:space="preserve"> </w:t>
      </w:r>
      <w:r>
        <w:t xml:space="preserve">different identifier scheme, time zone and idea of</w:t>
      </w:r>
      <w:r>
        <w:t xml:space="preserve"> </w:t>
      </w:r>
      <w:r>
        <w:t xml:space="preserve">“batch”</w:t>
      </w:r>
      <w:r>
        <w:t xml:space="preserve">, so the answer arrives in weeks while the product is on</w:t>
      </w:r>
      <w:r>
        <w:t xml:space="preserve"> </w:t>
      </w:r>
      <w:r>
        <w:t xml:space="preserve">shelves. What is missing is a shared, attributable record a small producer can join cheaply and a regulator can trust</w:t>
      </w:r>
      <w:r>
        <w:t xml:space="preserve"> </w:t>
      </w:r>
      <w:r>
        <w:t xml:space="preserve">without trusting its host.</w:t>
      </w:r>
    </w:p>
    <w:bookmarkStart w:id="10" w:name="X48288e7d75623f547415828aa68f5afc9a5332b"/>
    <w:p>
      <w:pPr>
        <w:pStyle w:val="Heading2"/>
      </w:pPr>
      <w:r>
        <w:t xml:space="preserve">1.1 Who it serves, what it covers, and why that changes the design — rubric 1.1–1.3</w:t>
      </w:r>
    </w:p>
    <w:p>
      <w:pPr>
        <w:pStyle w:val="FirstParagraph"/>
      </w:pPr>
      <w:r>
        <w:rPr>
          <w:b/>
          <w:bCs/>
        </w:rPr>
        <w:t xml:space="preserve">Objectives.</w:t>
      </w:r>
      <w:r>
        <w:t xml:space="preserve"> </w:t>
      </w:r>
      <w:r>
        <w:t xml:space="preserve">Publish a claim cheaply, including offline (O1); make confirmed history tamper-evident to parties who</w:t>
      </w:r>
      <w:r>
        <w:t xml:space="preserve"> </w:t>
      </w:r>
      <w:r>
        <w:t xml:space="preserve">distrust the operator (O2); let a regulator scope an incident quickly and defensibly (O3); give consumers a truthful</w:t>
      </w:r>
      <w:r>
        <w:t xml:space="preserve"> </w:t>
      </w:r>
      <w:r>
        <w:t xml:space="preserve">view (O4); keep commercial detail and private evidence off the record (O5); run on a small team (O6); take device</w:t>
      </w:r>
      <w:r>
        <w:t xml:space="preserve"> </w:t>
      </w:r>
      <w:r>
        <w:t xml:space="preserve">evidence without becoming a device platform (O7); screen regulatory risk with ML optional (O8).</w:t>
      </w:r>
    </w:p>
    <w:p>
      <w:pPr>
        <w:pStyle w:val="BodyText"/>
      </w:pPr>
      <w:r>
        <w:rPr>
          <w:b/>
          <w:bCs/>
        </w:rPr>
        <w:t xml:space="preserve">Counterparties.</w:t>
      </w:r>
      <w:r>
        <w:t xml:space="preserve"> </w:t>
      </w:r>
      <w:r>
        <w:t xml:space="preserve">Six parties exchange claims through the system; each constrains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Party</w:t>
            </w:r>
          </w:p>
        </w:tc>
        <w:tc>
          <w:tcPr/>
          <w:p>
            <w:pPr>
              <w:pStyle w:val="Compact"/>
            </w:pPr>
            <w:r>
              <w:t xml:space="preserve">What they need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S1</w:t>
            </w:r>
          </w:p>
        </w:tc>
        <w:tc>
          <w:tcPr/>
          <w:p>
            <w:pPr>
              <w:pStyle w:val="Compact"/>
            </w:pPr>
            <w:r>
              <w:t xml:space="preserve">Producer, grower, packer</w:t>
            </w:r>
          </w:p>
        </w:tc>
        <w:tc>
          <w:tcPr/>
          <w:p>
            <w:pPr>
              <w:pStyle w:val="Compact"/>
            </w:pPr>
            <w:r>
              <w:t xml:space="preserve">Low-cost offline capture; signing without a corporate PKI</w:t>
            </w:r>
          </w:p>
        </w:tc>
      </w:tr>
      <w:tr>
        <w:tc>
          <w:tcPr/>
          <w:p>
            <w:pPr>
              <w:pStyle w:val="Compact"/>
            </w:pPr>
            <w:r>
              <w:t xml:space="preserve">S2</w:t>
            </w:r>
          </w:p>
        </w:tc>
        <w:tc>
          <w:tcPr/>
          <w:p>
            <w:pPr>
              <w:pStyle w:val="Compact"/>
            </w:pPr>
            <w:r>
              <w:t xml:space="preserve">Processor</w:t>
            </w:r>
          </w:p>
        </w:tc>
        <w:tc>
          <w:tcPr/>
          <w:p>
            <w:pPr>
              <w:pStyle w:val="Compact"/>
            </w:pPr>
            <w:r>
              <w:t xml:space="preserve">Transformation claims with quantities; no imposed mass-balance verdict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S3</w:t>
            </w:r>
          </w:p>
        </w:tc>
        <w:tc>
          <w:tcPr/>
          <w:p>
            <w:pPr>
              <w:pStyle w:val="Compact"/>
            </w:pPr>
            <w:r>
              <w:t xml:space="preserve">Distributor, cold chain</w:t>
            </w:r>
          </w:p>
        </w:tc>
        <w:tc>
          <w:tcPr/>
          <w:p>
            <w:pPr>
              <w:pStyle w:val="Compact"/>
            </w:pPr>
            <w:r>
              <w:t xml:space="preserve">Two-sided handover; summaries, not raw telemetry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S4</w:t>
            </w:r>
          </w:p>
        </w:tc>
        <w:tc>
          <w:tcPr/>
          <w:p>
            <w:pPr>
              <w:pStyle w:val="Compact"/>
            </w:pPr>
            <w:r>
              <w:t xml:space="preserve">Retailer</w:t>
            </w:r>
          </w:p>
        </w:tc>
        <w:tc>
          <w:tcPr/>
          <w:p>
            <w:pPr>
              <w:pStyle w:val="Compact"/>
            </w:pPr>
            <w:r>
              <w:t xml:space="preserve">Fast, conservative recall scope; a cacheable public 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S5</w:t>
            </w:r>
          </w:p>
        </w:tc>
        <w:tc>
          <w:tcPr/>
          <w:p>
            <w:pPr>
              <w:pStyle w:val="Compact"/>
            </w:pPr>
            <w:r>
              <w:t xml:space="preserve">Consumer</w:t>
            </w:r>
          </w:p>
        </w:tc>
        <w:tc>
          <w:tcPr/>
          <w:p>
            <w:pPr>
              <w:pStyle w:val="Compact"/>
            </w:pPr>
            <w:r>
              <w:t xml:space="preserve">QR entry;</w:t>
            </w:r>
            <w:r>
              <w:t xml:space="preserve"> </w:t>
            </w:r>
            <w:r>
              <w:t xml:space="preserve">“confirmed”</w:t>
            </w:r>
            <w:r>
              <w:t xml:space="preserve">,</w:t>
            </w:r>
            <w:r>
              <w:t xml:space="preserve"> </w:t>
            </w:r>
            <w:r>
              <w:t xml:space="preserve">“pending”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“no record”</w:t>
            </w:r>
            <w:r>
              <w:t xml:space="preserve"> </w:t>
            </w:r>
            <w:r>
              <w:t xml:space="preserve">kept distinct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S6</w:t>
            </w:r>
          </w:p>
        </w:tc>
        <w:tc>
          <w:tcPr/>
          <w:p>
            <w:pPr>
              <w:pStyle w:val="Compact"/>
            </w:pPr>
            <w:r>
              <w:t xml:space="preserve">Regulator officer</w:t>
            </w:r>
          </w:p>
        </w:tc>
        <w:tc>
          <w:tcPr/>
          <w:p>
            <w:pPr>
              <w:pStyle w:val="Compact"/>
            </w:pPr>
            <w:r>
              <w:t xml:space="preserve">Read access, case-scoped evidence, signed findings, audit trail</w:t>
            </w:r>
          </w:p>
        </w:tc>
      </w:tr>
    </w:tbl>
    <w:p>
      <w:pPr>
        <w:pStyle w:val="BodyText"/>
      </w:pPr>
      <w:r>
        <w:t xml:space="preserve">The rest are parties to the design, not users of it: analytics (S7), governance (S8), the operator (S9), archive and</w:t>
      </w:r>
      <w:r>
        <w:t xml:space="preserve"> </w:t>
      </w:r>
      <w:r>
        <w:t xml:space="preserve">key trustees (S10), courts and auditors (S11), device vendors (S12) — each surfacing once, where its interest bites</w:t>
      </w:r>
      <w:r>
        <w:t xml:space="preserve"> </w:t>
      </w:r>
      <w:r>
        <w:t xml:space="preserve">(§2.3, §4.5).</w:t>
      </w:r>
    </w:p>
    <w:p>
      <w:pPr>
        <w:pStyle w:val="BodyText"/>
      </w:pPr>
      <w:r>
        <w:rPr>
          <w:b/>
          <w:bCs/>
        </w:rPr>
        <w:t xml:space="preserve">Scope.</w:t>
      </w:r>
      <w:r>
        <w:t xml:space="preserve"> </w:t>
      </w:r>
      <w:r>
        <w:t xml:space="preserve">Six boundaries are easy to confuse, and each is deliberate.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Mistaken for</w:t>
            </w:r>
          </w:p>
        </w:tc>
        <w:tc>
          <w:tcPr/>
          <w:p>
            <w:pPr>
              <w:pStyle w:val="Compact"/>
            </w:pPr>
            <w:r>
              <w:t xml:space="preserve">It is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ERP, WMS or quality system</w:t>
            </w:r>
          </w:p>
        </w:tc>
        <w:tc>
          <w:tcPr/>
          <w:p>
            <w:pPr>
              <w:pStyle w:val="Compact"/>
            </w:pPr>
            <w:r>
              <w:t xml:space="preserve">A record of claims; participants keep their own systems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 adjudicator</w:t>
            </w:r>
          </w:p>
        </w:tc>
        <w:tc>
          <w:tcPr/>
          <w:p>
            <w:pPr>
              <w:pStyle w:val="Compact"/>
            </w:pPr>
            <w:r>
              <w:t xml:space="preserve">It stores competing claims side by side and never picks 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recall executor</w:t>
            </w:r>
          </w:p>
        </w:tc>
        <w:tc>
          <w:tcPr/>
          <w:p>
            <w:pPr>
              <w:pStyle w:val="Compact"/>
            </w:pPr>
            <w:r>
              <w:t xml:space="preserve">It establishes scope and evidence; the businesses execute the recall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device platform</w:t>
            </w:r>
          </w:p>
        </w:tc>
        <w:tc>
          <w:tcPr/>
          <w:p>
            <w:pPr>
              <w:pStyle w:val="Compact"/>
            </w:pPr>
            <w:r>
              <w:t xml:space="preserve">Devices are organisation delegations publishing summaries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payment or settlement system</w:t>
            </w:r>
          </w:p>
        </w:tc>
        <w:tc>
          <w:tcPr/>
          <w:p>
            <w:pPr>
              <w:pStyle w:val="Compact"/>
            </w:pPr>
            <w:r>
              <w:t xml:space="preserve">No money moves; pricing and settlement are out of scope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certification or customs system</w:t>
            </w:r>
          </w:p>
        </w:tc>
        <w:tc>
          <w:tcPr/>
          <w:p>
            <w:pPr>
              <w:pStyle w:val="Compact"/>
            </w:pPr>
            <w:r>
              <w:t xml:space="preserve">Certificates enter as private evidence; a border adds a legal regime</w:t>
            </w:r>
          </w:p>
        </w:tc>
      </w:tr>
    </w:tbl>
    <w:p>
      <w:pPr>
        <w:pStyle w:val="BodyText"/>
      </w:pPr>
      <w:r>
        <w:t xml:space="preserve">Consumers as data producers, recycling operators and marketing or BI are outside for the same reason: each would</w:t>
      </w:r>
      <w:r>
        <w:t xml:space="preserve"> </w:t>
      </w:r>
      <w:r>
        <w:t xml:space="preserve">change the system’s category, or it is met inside the Insights module.</w:t>
      </w:r>
    </w:p>
    <w:p>
      <w:pPr>
        <w:pStyle w:val="BodyText"/>
      </w:pPr>
      <w:r>
        <w:rPr>
          <w:b/>
          <w:bCs/>
        </w:rPr>
        <w:t xml:space="preserve">Failure modes.</w:t>
      </w:r>
      <w:r>
        <w:t xml:space="preserve"> </w:t>
      </w:r>
      <w:r>
        <w:t xml:space="preserve">Five shape the architecture: no consortium exists to operate validators, so a permissioned ledger</w:t>
      </w:r>
      <w:r>
        <w:t xml:space="preserve"> </w:t>
      </w:r>
      <w:r>
        <w:t xml:space="preserve">cannot be built (R1, R3); the operator becomes the single point of trust unless history verifies from outside it</w:t>
      </w:r>
      <w:r>
        <w:t xml:space="preserve"> </w:t>
      </w:r>
      <w:r>
        <w:t xml:space="preserve">(R2); evidence may not survive a legal process (R3); an immutable log may breach privacy law (R5); scope creeps into</w:t>
      </w:r>
      <w:r>
        <w:t xml:space="preserve"> </w:t>
      </w:r>
      <w:r>
        <w:t xml:space="preserve">ERP, inventory or adjudication (R6). Two are stated, not solved: smallholders left out (R4) and false or collusive</w:t>
      </w:r>
      <w:r>
        <w:t xml:space="preserve"> </w:t>
      </w:r>
      <w:r>
        <w:t xml:space="preserve">claims (R10). Not attempted: state-level adversaries, build-pipeline and quantum attacks (a security programme, not</w:t>
      </w:r>
      <w:r>
        <w:t xml:space="preserve"> </w:t>
      </w:r>
      <w:r>
        <w:t xml:space="preserve">an architecture decision), bankruptcy, and fraudulent onboarding (a named residual risk).</w:t>
      </w:r>
    </w:p>
    <w:p>
      <w:pPr>
        <w:pStyle w:val="BodyText"/>
      </w:pPr>
      <w:r>
        <w:rPr>
          <w:b/>
          <w:bCs/>
        </w:rPr>
        <w:t xml:space="preserve">Constraints.</w:t>
      </w:r>
      <w:r>
        <w:t xml:space="preserve"> </w:t>
      </w:r>
      <w:r>
        <w:t xml:space="preserve">A blockchain is mandatory (C1); Australian and NSW law applies (C2); participants’ systems must</w:t>
      </w:r>
      <w:r>
        <w:t xml:space="preserve"> </w:t>
      </w:r>
      <w:r>
        <w:t xml:space="preserve">interoperate (C3); connectivity is intermittent (C4); 200 organisations and 10 000 events/day (C5); a small operating</w:t>
      </w:r>
      <w:r>
        <w:t xml:space="preserve"> </w:t>
      </w:r>
      <w:r>
        <w:t xml:space="preserve">team (C6); no production access (C7). Delivery follows: one region, cloud only, PWA only, no contracted archive</w:t>
      </w:r>
      <w:r>
        <w:t xml:space="preserve"> </w:t>
      </w:r>
      <w:r>
        <w:t xml:space="preserve">operator at launch.</w:t>
      </w:r>
    </w:p>
    <w:p>
      <w:pPr>
        <w:pStyle w:val="BodyText"/>
      </w:pPr>
      <w:r>
        <w:rPr>
          <w:b/>
          <w:bCs/>
        </w:rPr>
        <w:t xml:space="preserve">Why these change the design.</w:t>
      </w:r>
      <w:r>
        <w:t xml:space="preserve"> </w:t>
      </w:r>
      <w:r>
        <w:t xml:space="preserve">The stakeholders fall into three clusters; device vendors (S12) are argued in §4.6.</w:t>
      </w:r>
    </w:p>
    <w:p>
      <w:pPr>
        <w:pStyle w:val="BodyText"/>
      </w:pPr>
      <w:r>
        <w:rPr>
          <w:b/>
          <w:bCs/>
        </w:rPr>
        <w:t xml:space="preserve">Participants (S1–S5) with C4 force an integration tier.</w:t>
      </w:r>
      <w:r>
        <w:t xml:space="preserve"> </w:t>
      </w:r>
      <w:r>
        <w:t xml:space="preserve">With only large manufacturers, an ERP integration and a</w:t>
      </w:r>
      <w:r>
        <w:t xml:space="preserve"> </w:t>
      </w:r>
      <w:r>
        <w:t xml:space="preserve">corporate key would do; because the smallest tier must publish, capture is browser-first, the queue survives offline,</w:t>
      </w:r>
      <w:r>
        <w:t xml:space="preserve"> </w:t>
      </w:r>
      <w:r>
        <w:t xml:space="preserve">the key never leaves the device and identifiers are client-generated.</w:t>
      </w:r>
    </w:p>
    <w:p>
      <w:pPr>
        <w:pStyle w:val="BodyText"/>
      </w:pPr>
      <w:r>
        <w:rPr>
          <w:b/>
          <w:bCs/>
        </w:rPr>
        <w:t xml:space="preserve">The regulator (S6, S7) forces a boundary that would otherwise be invisible.</w:t>
      </w:r>
      <w:r>
        <w:t xml:space="preserve"> </w:t>
      </w:r>
      <w:r>
        <w:t xml:space="preserve">Analytics inside the platform’s</w:t>
      </w:r>
      <w:r>
        <w:t xml:space="preserve"> </w:t>
      </w:r>
      <w:r>
        <w:t xml:space="preserve">account would let the operator read every rule and finding; it runs in the regulator’s own account instead.</w:t>
      </w:r>
    </w:p>
    <w:p>
      <w:pPr>
        <w:pStyle w:val="BodyText"/>
      </w:pPr>
      <w:r>
        <w:rPr>
          <w:b/>
          <w:bCs/>
        </w:rPr>
        <w:t xml:space="preserve">Trust infrastructure (S8–S11) forces the record out of the operator’s hands.</w:t>
      </w:r>
      <w:r>
        <w:t xml:space="preserve"> </w:t>
      </w:r>
      <w:r>
        <w:t xml:space="preserve">Cost is served, unilateral control</w:t>
      </w:r>
      <w:r>
        <w:t xml:space="preserve"> </w:t>
      </w:r>
      <w:r>
        <w:t xml:space="preserve">is not — hence the external archive, the non-platform key holder and verification that needs no cooperation.</w:t>
      </w:r>
    </w:p>
    <w:p>
      <w:pPr>
        <w:pStyle w:val="BodyText"/>
      </w:pPr>
      <w:r>
        <w:rPr>
          <w:b/>
          <w:bCs/>
        </w:rPr>
        <w:t xml:space="preserve">R1 and R3</w:t>
      </w:r>
      <w:r>
        <w:t xml:space="preserve"> </w:t>
      </w:r>
      <w:r>
        <w:t xml:space="preserve">eliminate the permissioned ledger, which would fit the evidence requirement but needs validators this</w:t>
      </w:r>
      <w:r>
        <w:t xml:space="preserve"> </w:t>
      </w:r>
      <w:r>
        <w:t xml:space="preserve">project does not have.</w:t>
      </w:r>
      <w:r>
        <w:t xml:space="preserve"> </w:t>
      </w:r>
      <w:r>
        <w:rPr>
          <w:b/>
          <w:bCs/>
        </w:rPr>
        <w:t xml:space="preserve">C1 and C2</w:t>
      </w:r>
      <w:r>
        <w:t xml:space="preserve"> </w:t>
      </w:r>
      <w:r>
        <w:t xml:space="preserve">are in tension — a public chain is mandatory, personal data must stay</w:t>
      </w:r>
      <w:r>
        <w:t xml:space="preserve"> </w:t>
      </w:r>
      <w:r>
        <w:t xml:space="preserve">correctable — and the resolution follows: commitments on chain, ciphertext off it, personal data in the mutable</w:t>
      </w:r>
      <w:r>
        <w:t xml:space="preserve"> </w:t>
      </w:r>
      <w:r>
        <w:t xml:space="preserve">layer.</w:t>
      </w:r>
    </w:p>
    <w:bookmarkEnd w:id="10"/>
    <w:bookmarkEnd w:id="11"/>
    <w:bookmarkStart w:id="17" w:name="requirements-analysis"/>
    <w:p>
      <w:pPr>
        <w:pStyle w:val="Heading1"/>
      </w:pPr>
      <w:r>
        <w:t xml:space="preserve">2. Requirements analysis</w:t>
      </w:r>
    </w:p>
    <w:p>
      <w:pPr>
        <w:pStyle w:val="FirstParagraph"/>
      </w:pPr>
      <w:r>
        <w:t xml:space="preserve">The three gaps of Section 1 become obligations here: what must be checkable, what must stay unreadable, and what</w:t>
      </w:r>
      <w:r>
        <w:t xml:space="preserve"> </w:t>
      </w:r>
      <w:r>
        <w:t xml:space="preserve">must survive loss.</w:t>
      </w:r>
    </w:p>
    <w:p>
      <w:pPr>
        <w:pStyle w:val="BodyText"/>
      </w:pPr>
      <w:r>
        <w:rPr>
          <w:i/>
          <w:iCs/>
        </w:rPr>
        <w:t xml:space="preserve">Identifiers trace to the stakeholders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S1</w:t>
      </w:r>
      <w:r>
        <w:rPr>
          <w:i/>
          <w:iCs/>
        </w:rPr>
        <w:t xml:space="preserve">–</w:t>
      </w:r>
      <w:r>
        <w:rPr>
          <w:rStyle w:val="VerbatimChar"/>
          <w:i/>
          <w:iCs/>
        </w:rPr>
        <w:t xml:space="preserve">S12</w:t>
      </w:r>
      <w:r>
        <w:rPr>
          <w:i/>
          <w:iCs/>
        </w:rPr>
        <w:t xml:space="preserve"> </w:t>
      </w:r>
      <w:r>
        <w:rPr>
          <w:i/>
          <w:iCs/>
        </w:rPr>
        <w:t xml:space="preserve">and objectives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O1</w:t>
      </w:r>
      <w:r>
        <w:rPr>
          <w:i/>
          <w:iCs/>
        </w:rPr>
        <w:t xml:space="preserve">–</w:t>
      </w:r>
      <w:r>
        <w:rPr>
          <w:rStyle w:val="VerbatimChar"/>
          <w:i/>
          <w:iCs/>
        </w:rPr>
        <w:t xml:space="preserve">O8</w:t>
      </w:r>
      <w:r>
        <w:rPr>
          <w:i/>
          <w:iCs/>
        </w:rPr>
        <w:t xml:space="preserve"> </w:t>
      </w:r>
      <w:r>
        <w:rPr>
          <w:i/>
          <w:iCs/>
        </w:rPr>
        <w:t xml:space="preserve">in Section 1.</w:t>
      </w:r>
    </w:p>
    <w:bookmarkStart w:id="12" w:name="X20866045ef623c59513b4e2e7553e0bf502cdd4"/>
    <w:p>
      <w:pPr>
        <w:pStyle w:val="Heading2"/>
      </w:pPr>
      <w:r>
        <w:t xml:space="preserve">2.1 System qualities, and the scenarios that test them — rubric 2.1–2.2</w:t>
      </w:r>
    </w:p>
    <w:p>
      <w:pPr>
        <w:pStyle w:val="FirstParagraph"/>
      </w:pPr>
      <w:r>
        <w:t xml:space="preserve">Eleven qualities drive the design. Four decide its shape — integrity (S6, S9, S11), privacy (S1, S5, S6),</w:t>
      </w:r>
      <w:r>
        <w:t xml:space="preserve"> </w:t>
      </w:r>
      <w:r>
        <w:t xml:space="preserve">availability (S4–S6) and analysability (S1–S4, S6); the other seven constrain how it is built. Each row</w:t>
      </w:r>
      <w:r>
        <w:t xml:space="preserve"> </w:t>
      </w:r>
      <w:r>
        <w:t xml:space="preserve">states the requirement as a measurable test, the scenario that exercises it, and the risk if it is not met.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Requirement and measure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Risk if unaddressed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SQ-1</w:t>
            </w:r>
          </w:p>
        </w:tc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A confirmed event cannot be altered or removed undetectably; detectable from published proofs alone</w:t>
            </w:r>
          </w:p>
        </w:tc>
        <w:tc>
          <w:tcPr/>
          <w:p>
            <w:pPr>
              <w:pStyle w:val="Compact"/>
            </w:pPr>
            <w:r>
              <w:t xml:space="preserve">QS-1: an operator deletes a batch, and the missing batch breaks the chain sequence</w:t>
            </w:r>
          </w:p>
        </w:tc>
        <w:tc>
          <w:tcPr/>
          <w:p>
            <w:pPr>
              <w:pStyle w:val="Compact"/>
            </w:pPr>
            <w:r>
              <w:t xml:space="preserve">History is only as trustworthy as its host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SQ-2</w:t>
            </w:r>
          </w:p>
        </w:tc>
        <w:tc>
          <w:tcPr/>
          <w:p>
            <w:pPr>
              <w:pStyle w:val="Compact"/>
            </w:pPr>
            <w:r>
              <w:t xml:space="preserve">Non-repudiation</w:t>
            </w:r>
          </w:p>
        </w:tc>
        <w:tc>
          <w:tcPr/>
          <w:p>
            <w:pPr>
              <w:pStyle w:val="Compact"/>
            </w:pPr>
            <w:r>
              <w:t xml:space="preserve">Attribution survives rotation, revocation and suspension; verifiable from event and registry history alone</w:t>
            </w:r>
          </w:p>
        </w:tc>
        <w:tc>
          <w:tcPr/>
          <w:p>
            <w:pPr>
              <w:pStyle w:val="Compact"/>
            </w:pPr>
            <w:r>
              <w:t xml:space="preserve">QS-2: a three-year-old event is verified after two key rotations and a suspension</w:t>
            </w:r>
          </w:p>
        </w:tc>
        <w:tc>
          <w:tcPr/>
          <w:p>
            <w:pPr>
              <w:pStyle w:val="Compact"/>
            </w:pPr>
            <w:r>
              <w:t xml:space="preserve">Old claims become unattributable after a key compromise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SQ-3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One dependency lost degrades a capability, never to a false</w:t>
            </w:r>
            <w:r>
              <w:t xml:space="preserve"> </w:t>
            </w:r>
            <w:r>
              <w:t xml:space="preserve">“no record”</w:t>
            </w:r>
            <w:r>
              <w:t xml:space="preserve">; fault injection yields a declared state</w:t>
            </w:r>
          </w:p>
        </w:tc>
        <w:tc>
          <w:tcPr/>
          <w:p>
            <w:pPr>
              <w:pStyle w:val="Compact"/>
            </w:pPr>
            <w:r>
              <w:t xml:space="preserve">QS-3: a recall runs at 02:00 during an archive outage</w:t>
            </w:r>
          </w:p>
        </w:tc>
        <w:tc>
          <w:tcPr/>
          <w:p>
            <w:pPr>
              <w:pStyle w:val="Compact"/>
            </w:pPr>
            <w:r>
              <w:t xml:space="preserve">A safety query answers</w:t>
            </w:r>
            <w:r>
              <w:t xml:space="preserve"> </w:t>
            </w:r>
            <w:r>
              <w:t xml:space="preserve">“nothing found”</w:t>
            </w:r>
            <w:r>
              <w:t xml:space="preserve"> </w:t>
            </w:r>
            <w:r>
              <w:t xml:space="preserve">exactly when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SQ-4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5 000 requests/s at the CDN; 10 000 synchronous edges, exported beyond</w:t>
            </w:r>
          </w:p>
        </w:tc>
        <w:tc>
          <w:tcPr/>
          <w:p>
            <w:pPr>
              <w:pStyle w:val="Compact"/>
            </w:pPr>
            <w:r>
              <w:t xml:space="preserve">QS-4: 5 000 scans/s arrive after a television item</w:t>
            </w:r>
          </w:p>
        </w:tc>
        <w:tc>
          <w:tcPr/>
          <w:p>
            <w:pPr>
              <w:pStyle w:val="Compact"/>
            </w:pPr>
            <w:r>
              <w:t xml:space="preserve">The origin melts during the one incident everyone watches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SQ-5</w:t>
            </w:r>
          </w:p>
        </w:tc>
        <w:tc>
          <w:tcPr/>
          <w:p>
            <w:pPr>
              <w:pStyle w:val="Compact"/>
            </w:pPr>
            <w:r>
              <w:t xml:space="preserve">Recoverability</w:t>
            </w:r>
          </w:p>
        </w:tc>
        <w:tc>
          <w:tcPr/>
          <w:p>
            <w:pPr>
              <w:pStyle w:val="Compact"/>
            </w:pPr>
            <w:r>
              <w:t xml:space="preserve">RPO 0 for receipted events; database ≤ 5 min; RTO ≤ 4 h; regional rebuild ≤ 24 h</w:t>
            </w:r>
          </w:p>
        </w:tc>
        <w:tc>
          <w:tcPr/>
          <w:p>
            <w:pPr>
              <w:pStyle w:val="Compact"/>
            </w:pPr>
            <w:r>
              <w:t xml:space="preserve">QS-5: the platform account is lost after a receipt</w:t>
            </w:r>
          </w:p>
        </w:tc>
        <w:tc>
          <w:tcPr/>
          <w:p>
            <w:pPr>
              <w:pStyle w:val="Compact"/>
            </w:pPr>
            <w:r>
              <w:t xml:space="preserve">Confirmed history dies with the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SQ-6</w:t>
            </w:r>
          </w:p>
        </w:tc>
        <w:tc>
          <w:tcPr/>
          <w:p>
            <w:pPr>
              <w:pStyle w:val="Compact"/>
            </w:pPr>
            <w:r>
              <w:t xml:space="preserve">Usability and accessibility</w:t>
            </w:r>
          </w:p>
        </w:tc>
        <w:tc>
          <w:tcPr/>
          <w:p>
            <w:pPr>
              <w:pStyle w:val="Compact"/>
            </w:pPr>
            <w:r>
              <w:t xml:space="preserve">Under three minutes at 2G; WCAG 2.2 AA; 200 % text; label plus icon per field</w:t>
            </w:r>
          </w:p>
        </w:tc>
        <w:tc>
          <w:tcPr/>
          <w:p>
            <w:pPr>
              <w:pStyle w:val="Compact"/>
            </w:pPr>
            <w:r>
              <w:t xml:space="preserve">QS-6: a grower with no signal for 36 hours captures four events on a low-end phone</w:t>
            </w:r>
          </w:p>
        </w:tc>
        <w:tc>
          <w:tcPr/>
          <w:p>
            <w:pPr>
              <w:pStyle w:val="Compact"/>
            </w:pPr>
            <w:r>
              <w:t xml:space="preserve">Coverage collapses in exactly the tiers the regulator needs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SQ-7</w:t>
            </w:r>
          </w:p>
        </w:tc>
        <w:tc>
          <w:tcPr/>
          <w:p>
            <w:pPr>
              <w:pStyle w:val="Compact"/>
            </w:pPr>
            <w:r>
              <w:t xml:space="preserve">Privacy</w:t>
            </w:r>
          </w:p>
        </w:tc>
        <w:tc>
          <w:tcPr/>
          <w:p>
            <w:pPr>
              <w:pStyle w:val="Compact"/>
            </w:pPr>
            <w:r>
              <w:t xml:space="preserve">No natural-person reference and no private content in the shared record</w:t>
            </w:r>
          </w:p>
        </w:tc>
        <w:tc>
          <w:tcPr/>
          <w:p>
            <w:pPr>
              <w:pStyle w:val="Compact"/>
            </w:pPr>
            <w:r>
              <w:t xml:space="preserve">QS-7: a regulator requests a packer’s lab report; QS-8: operations try to read findings</w:t>
            </w:r>
          </w:p>
        </w:tc>
        <w:tc>
          <w:tcPr/>
          <w:p>
            <w:pPr>
              <w:pStyle w:val="Compact"/>
            </w:pPr>
            <w:r>
              <w:t xml:space="preserve">An immutable log becomes an unlawful personal-data store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SQ-8</w:t>
            </w:r>
          </w:p>
        </w:tc>
        <w:tc>
          <w:tcPr/>
          <w:p>
            <w:pPr>
              <w:pStyle w:val="Compact"/>
            </w:pPr>
            <w:r>
              <w:t xml:space="preserve">Interoperability</w:t>
            </w:r>
          </w:p>
        </w:tc>
        <w:tc>
          <w:tcPr/>
          <w:p>
            <w:pPr>
              <w:pStyle w:val="Compact"/>
            </w:pPr>
            <w:r>
              <w:t xml:space="preserve">Interpretable from profile and canonicalisation version alone; replaceable chain</w:t>
            </w:r>
          </w:p>
        </w:tc>
        <w:tc>
          <w:tcPr/>
          <w:p>
            <w:pPr>
              <w:pStyle w:val="Compact"/>
            </w:pPr>
            <w:r>
              <w:t xml:space="preserve">QS-10: the chosen chain becomes uneconomic</w:t>
            </w:r>
          </w:p>
        </w:tc>
        <w:tc>
          <w:tcPr/>
          <w:p>
            <w:pPr>
              <w:pStyle w:val="Compact"/>
            </w:pPr>
            <w:r>
              <w:t xml:space="preserve">Every participant needs a lossy mapping, and migration becomes a rewrite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SQ-9</w:t>
            </w:r>
          </w:p>
        </w:tc>
        <w:tc>
          <w:tcPr/>
          <w:p>
            <w:pPr>
              <w:pStyle w:val="Compact"/>
            </w:pPr>
            <w:r>
              <w:t xml:space="preserve">Auditability</w:t>
            </w:r>
          </w:p>
        </w:tc>
        <w:tc>
          <w:tcPr/>
          <w:p>
            <w:pPr>
              <w:pStyle w:val="Compact"/>
            </w:pPr>
            <w:r>
              <w:t xml:space="preserve">Every state change and disclosure attributable; replay reproduces derivation and advisories</w:t>
            </w:r>
          </w:p>
        </w:tc>
        <w:tc>
          <w:tcPr/>
          <w:p>
            <w:pPr>
              <w:pStyle w:val="Compact"/>
            </w:pPr>
            <w:r>
              <w:t xml:space="preserve">QS-9: two processors claim one input lot</w:t>
            </w:r>
          </w:p>
        </w:tc>
        <w:tc>
          <w:tcPr/>
          <w:p>
            <w:pPr>
              <w:pStyle w:val="Compact"/>
            </w:pPr>
            <w:r>
              <w:t xml:space="preserve">Conflicts cannot be defended or replayed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SQ-10</w:t>
            </w:r>
          </w:p>
        </w:tc>
        <w:tc>
          <w:tcPr/>
          <w:p>
            <w:pPr>
              <w:pStyle w:val="Compact"/>
            </w:pPr>
            <w:r>
              <w:t xml:space="preserve">Cost and operability</w:t>
            </w:r>
          </w:p>
        </w:tc>
        <w:tc>
          <w:tcPr/>
          <w:p>
            <w:pPr>
              <w:pStyle w:val="Compact"/>
            </w:pPr>
            <w:r>
              <w:t xml:space="preserve">One application, one managed database, no self-managed cluster; topology and monthly estimate documented</w:t>
            </w:r>
          </w:p>
        </w:tc>
        <w:tc>
          <w:tcPr/>
          <w:p>
            <w:pPr>
              <w:pStyle w:val="Compact"/>
            </w:pPr>
            <w:r>
              <w:t xml:space="preserve">Checked by inspection of the deployment views (§4.3)</w:t>
            </w:r>
          </w:p>
        </w:tc>
        <w:tc>
          <w:tcPr/>
          <w:p>
            <w:pPr>
              <w:pStyle w:val="Compact"/>
            </w:pPr>
            <w:r>
              <w:t xml:space="preserve">The pilot needs a platform team per region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SQ-11</w:t>
            </w:r>
          </w:p>
        </w:tc>
        <w:tc>
          <w:tcPr/>
          <w:p>
            <w:pPr>
              <w:pStyle w:val="Compact"/>
            </w:pPr>
            <w:r>
              <w:t xml:space="preserve">Device evidence</w:t>
            </w:r>
          </w:p>
        </w:tc>
        <w:tc>
          <w:tcPr/>
          <w:p>
            <w:pPr>
              <w:pStyle w:val="Compact"/>
            </w:pPr>
            <w:r>
              <w:t xml:space="preserve">Profile-required summaries with provenance; raw telemetry stays private</w:t>
            </w:r>
          </w:p>
        </w:tc>
        <w:tc>
          <w:tcPr/>
          <w:p>
            <w:pPr>
              <w:pStyle w:val="Compact"/>
            </w:pPr>
            <w:r>
              <w:t xml:space="preserve">QS-12: a reefer exceeds its limit for 40 minutes</w:t>
            </w:r>
          </w:p>
        </w:tc>
        <w:tc>
          <w:tcPr/>
          <w:p>
            <w:pPr>
              <w:pStyle w:val="Compact"/>
            </w:pPr>
            <w:r>
              <w:t xml:space="preserve">Raw telemetry enters the record, or evidence is missing where it matters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SQ-12</w:t>
            </w:r>
          </w:p>
        </w:tc>
        <w:tc>
          <w:tcPr/>
          <w:p>
            <w:pPr>
              <w:pStyle w:val="Compact"/>
            </w:pPr>
            <w:r>
              <w:t xml:space="preserve">Regulatory screening</w:t>
            </w:r>
          </w:p>
        </w:tc>
        <w:tc>
          <w:tcPr/>
          <w:p>
            <w:pPr>
              <w:pStyle w:val="Compact"/>
            </w:pPr>
            <w:r>
              <w:t xml:space="preserve">Signed, versioned rules; ML optional; a rule runs at a watermark and traces to its version</w:t>
            </w:r>
          </w:p>
        </w:tc>
        <w:tc>
          <w:tcPr/>
          <w:p>
            <w:pPr>
              <w:pStyle w:val="Compact"/>
            </w:pPr>
            <w:r>
              <w:t xml:space="preserve">QS-11: a case is opened while the workspace is under maintenance</w:t>
            </w:r>
          </w:p>
        </w:tc>
        <w:tc>
          <w:tcPr/>
          <w:p>
            <w:pPr>
              <w:pStyle w:val="Compact"/>
            </w:pPr>
            <w:r>
              <w:t xml:space="preserve">Screening is either platform-owned or 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SQ-13</w:t>
            </w:r>
          </w:p>
        </w:tc>
        <w:tc>
          <w:tcPr/>
          <w:p>
            <w:pPr>
              <w:pStyle w:val="Compact"/>
            </w:pPr>
            <w:r>
              <w:t xml:space="preserve">Analysability</w:t>
            </w:r>
          </w:p>
        </w:tc>
        <w:tc>
          <w:tcPr/>
          <w:p>
            <w:pPr>
              <w:pStyle w:val="Compact"/>
            </w:pPr>
            <w:r>
              <w:t xml:space="preserve">Every insight view states its watermark and scope; figures reproduce from the projection</w:t>
            </w:r>
          </w:p>
        </w:tc>
        <w:tc>
          <w:tcPr/>
          <w:p>
            <w:pPr>
              <w:pStyle w:val="Compact"/>
            </w:pPr>
            <w:r>
              <w:t xml:space="preserve">QS-13: a product line is reviewed at yesterday’s watermark</w:t>
            </w:r>
          </w:p>
        </w:tc>
        <w:tc>
          <w:tcPr/>
          <w:p>
            <w:pPr>
              <w:pStyle w:val="Compact"/>
            </w:pPr>
            <w:r>
              <w:t xml:space="preserve">Insight becomes a second, disagreeing read path</w:t>
            </w:r>
          </w:p>
        </w:tc>
      </w:tr>
    </w:tbl>
    <w:p>
      <w:pPr>
        <w:pStyle w:val="BodyText"/>
      </w:pPr>
      <w:r>
        <w:t xml:space="preserve">Rejected while setting these requirements: database plus WORM backup (leaves the operator the sole verifier);</w:t>
      </w:r>
      <w:r>
        <w:t xml:space="preserve"> </w:t>
      </w:r>
      <w:r>
        <w:t xml:space="preserve">a permissioned ledger (needs validators this project does not have, R1); per-employee signing keys (puts</w:t>
      </w:r>
      <w:r>
        <w:t xml:space="preserve"> </w:t>
      </w:r>
      <w:r>
        <w:t xml:space="preserve">natural persons into an immutable record, R5); synchronous calls to every dependency on the read path; a</w:t>
      </w:r>
      <w:r>
        <w:t xml:space="preserve"> </w:t>
      </w:r>
      <w:r>
        <w:t xml:space="preserve">graph database from day one; field-level encryption inside the shared record (the platform would still hold</w:t>
      </w:r>
      <w:r>
        <w:t xml:space="preserve"> </w:t>
      </w:r>
      <w:r>
        <w:t xml:space="preserve">the keys); and a separate dashboard database. Business plausibility — yield, mass balance, fraud — is</w:t>
      </w:r>
      <w:r>
        <w:t xml:space="preserve"> </w:t>
      </w:r>
      <w:r>
        <w:t xml:space="preserve">deliberately not adjudicated at admission: a rule that rejected an event because a quantity looked wrong</w:t>
      </w:r>
      <w:r>
        <w:t xml:space="preserve"> </w:t>
      </w:r>
      <w:r>
        <w:t xml:space="preserve">would make the platform an adjudicator without authority. The decisions that address each risk are argued in §4.1,</w:t>
      </w:r>
      <w:r>
        <w:t xml:space="preserve"> </w:t>
      </w:r>
      <w:r>
        <w:t xml:space="preserve">and the alternatives that survive as alternatives are revisited in §5.1.</w:t>
      </w:r>
    </w:p>
    <w:bookmarkEnd w:id="12"/>
    <w:bookmarkStart w:id="13" w:name="Xd38e2b604ceaa9cbacb3412c92f7a0638b33f1e"/>
    <w:p>
      <w:pPr>
        <w:pStyle w:val="Heading2"/>
      </w:pPr>
      <w:r>
        <w:t xml:space="preserve">2.2 The data: elements, scenarios, storage — rubric 2.3–2.4</w:t>
      </w:r>
    </w:p>
    <w:p>
      <w:pPr>
        <w:pStyle w:val="FirstParagraph"/>
      </w:pPr>
      <w:r>
        <w:t xml:space="preserve">Six requirements shape the data model: interpretable from its profile (DM-1); no readable private content on the</w:t>
      </w:r>
      <w:r>
        <w:t xml:space="preserve"> </w:t>
      </w:r>
      <w:r>
        <w:t xml:space="preserve">platform (DM-2); one authoritative source with rebuildable copies (DM-3); retention per class with a defensible</w:t>
      </w:r>
      <w:r>
        <w:t xml:space="preserve"> </w:t>
      </w:r>
      <w:r>
        <w:t xml:space="preserve">deletion record (DM-4); no natural-person identifiers (DM-5); reproducible regulatory outputs (DM-6). The</w:t>
      </w:r>
      <w:r>
        <w:t xml:space="preserve"> </w:t>
      </w:r>
      <w:r>
        <w:t xml:space="preserve">scenarios below then fix validation, storage, access and retention, so each is stated where it arises rather</w:t>
      </w:r>
      <w:r>
        <w:t xml:space="preserve"> </w:t>
      </w:r>
      <w:r>
        <w:t xml:space="preserve">than listed separately.</w:t>
      </w:r>
    </w:p>
    <w:p>
      <w:pPr>
        <w:pStyle w:val="BodyText"/>
      </w:pPr>
      <w:r>
        <w:rPr>
          <w:b/>
          <w:bCs/>
        </w:rPr>
        <w:t xml:space="preserve">Elements.</w:t>
      </w:r>
      <w:r>
        <w:t xml:space="preserve"> </w:t>
      </w:r>
      <w:r>
        <w:t xml:space="preserve">One or two per group are tabulated; the rest are named after the table and follow the same rules.</w:t>
      </w:r>
      <w:r>
        <w:t xml:space="preserve"> </w:t>
      </w:r>
      <w:r>
        <w:t xml:space="preserve">Format and length are enforced at admission, and source names the originating party.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Serves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captureRecordId</w:t>
            </w:r>
          </w:p>
        </w:tc>
        <w:tc>
          <w:tcPr/>
          <w:p>
            <w:pPr>
              <w:pStyle w:val="Compact"/>
            </w:pPr>
            <w:r>
              <w:t xml:space="preserve">UUID v4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Idempotency key for one submission</w:t>
            </w:r>
          </w:p>
        </w:tc>
        <w:tc>
          <w:tcPr/>
          <w:p>
            <w:pPr>
              <w:pStyle w:val="Compact"/>
            </w:pPr>
            <w:r>
              <w:t xml:space="preserve">Participant</w:t>
            </w:r>
          </w:p>
        </w:tc>
        <w:tc>
          <w:tcPr/>
          <w:p>
            <w:pPr>
              <w:pStyle w:val="Compact"/>
            </w:pPr>
            <w:r>
              <w:t xml:space="preserve">DM-3, S1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eventTime</w:t>
            </w:r>
          </w:p>
        </w:tc>
        <w:tc>
          <w:tcPr/>
          <w:p>
            <w:pPr>
              <w:pStyle w:val="Compact"/>
            </w:pPr>
            <w:r>
              <w:t xml:space="preserve">ISO 8601 with offset</w:t>
            </w:r>
          </w:p>
        </w:tc>
        <w:tc>
          <w:tcPr/>
          <w:p>
            <w:pPr>
              <w:pStyle w:val="Compact"/>
            </w:pPr>
            <w:r>
              <w:t xml:space="preserve">30</w:t>
            </w:r>
          </w:p>
        </w:tc>
        <w:tc>
          <w:tcPr/>
          <w:p>
            <w:pPr>
              <w:pStyle w:val="Compact"/>
            </w:pPr>
            <w:r>
              <w:t xml:space="preserve">Business time asserted by the publisher</w:t>
            </w:r>
          </w:p>
        </w:tc>
        <w:tc>
          <w:tcPr/>
          <w:p>
            <w:pPr>
              <w:pStyle w:val="Compact"/>
            </w:pPr>
            <w:r>
              <w:t xml:space="preserve">Publisher</w:t>
            </w:r>
          </w:p>
        </w:tc>
        <w:tc>
          <w:tcPr/>
          <w:p>
            <w:pPr>
              <w:pStyle w:val="Compact"/>
            </w:pPr>
            <w:r>
              <w:t xml:space="preserve">DM-1, SQ-9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epcList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quantityList</w:t>
            </w:r>
          </w:p>
        </w:tc>
        <w:tc>
          <w:tcPr/>
          <w:p>
            <w:pPr>
              <w:pStyle w:val="Compact"/>
            </w:pPr>
            <w:r>
              <w:t xml:space="preserve">EPC URIs / {class, quantity, uom}</w:t>
            </w:r>
          </w:p>
        </w:tc>
        <w:tc>
          <w:tcPr/>
          <w:p>
            <w:pPr>
              <w:pStyle w:val="Compact"/>
            </w:pPr>
            <w:r>
              <w:t xml:space="preserve">≤ 255 per entry</w:t>
            </w:r>
          </w:p>
        </w:tc>
        <w:tc>
          <w:tcPr/>
          <w:p>
            <w:pPr>
              <w:pStyle w:val="Compact"/>
            </w:pPr>
            <w:r>
              <w:t xml:space="preserve">Instance and lot identifiers with quantities</w:t>
            </w:r>
          </w:p>
        </w:tc>
        <w:tc>
          <w:tcPr/>
          <w:p>
            <w:pPr>
              <w:pStyle w:val="Compact"/>
            </w:pPr>
            <w:r>
              <w:t xml:space="preserve">Publisher</w:t>
            </w:r>
          </w:p>
        </w:tc>
        <w:tc>
          <w:tcPr/>
          <w:p>
            <w:pPr>
              <w:pStyle w:val="Compact"/>
            </w:pPr>
            <w:r>
              <w:t xml:space="preserve">DM-1, O3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quantity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uom</w:t>
            </w:r>
          </w:p>
        </w:tc>
        <w:tc>
          <w:tcPr/>
          <w:p>
            <w:pPr>
              <w:pStyle w:val="Compact"/>
            </w:pPr>
            <w:r>
              <w:t xml:space="preserve">Decimal 18,6 / UN/CEFACT</w:t>
            </w:r>
          </w:p>
        </w:tc>
        <w:tc>
          <w:tcPr/>
          <w:p>
            <w:pPr>
              <w:pStyle w:val="Compact"/>
            </w:pPr>
            <w:r>
              <w:t xml:space="preserve">22 / 3</w:t>
            </w:r>
          </w:p>
        </w:tc>
        <w:tc>
          <w:tcPr/>
          <w:p>
            <w:pPr>
              <w:pStyle w:val="Compact"/>
            </w:pPr>
            <w:r>
              <w:t xml:space="preserve">Asserted quantity and unit</w:t>
            </w:r>
          </w:p>
        </w:tc>
        <w:tc>
          <w:tcPr/>
          <w:p>
            <w:pPr>
              <w:pStyle w:val="Compact"/>
            </w:pPr>
            <w:r>
              <w:t xml:space="preserve">Publisher</w:t>
            </w:r>
          </w:p>
        </w:tc>
        <w:tc>
          <w:tcPr/>
          <w:p>
            <w:pPr>
              <w:pStyle w:val="Compac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profileId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profileVersion</w:t>
            </w:r>
          </w:p>
        </w:tc>
        <w:tc>
          <w:tcPr/>
          <w:p>
            <w:pPr>
              <w:pStyle w:val="Compact"/>
            </w:pPr>
            <w:r>
              <w:t xml:space="preserve">Slug / semver</w:t>
            </w:r>
          </w:p>
        </w:tc>
        <w:tc>
          <w:tcPr/>
          <w:p>
            <w:pPr>
              <w:pStyle w:val="Compact"/>
            </w:pPr>
            <w:r>
              <w:t xml:space="preserve">64 / 20</w:t>
            </w:r>
          </w:p>
        </w:tc>
        <w:tc>
          <w:tcPr/>
          <w:p>
            <w:pPr>
              <w:pStyle w:val="Compact"/>
            </w:pPr>
            <w:r>
              <w:t xml:space="preserve">Validation profile and version</w:t>
            </w:r>
          </w:p>
        </w:tc>
        <w:tc>
          <w:tcPr/>
          <w:p>
            <w:pPr>
              <w:pStyle w:val="Compact"/>
            </w:pPr>
            <w:r>
              <w:t xml:space="preserve">Governance</w:t>
            </w:r>
          </w:p>
        </w:tc>
        <w:tc>
          <w:tcPr/>
          <w:p>
            <w:pPr>
              <w:pStyle w:val="Compact"/>
            </w:pPr>
            <w:r>
              <w:t xml:space="preserve">DM-1, SQ-8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signerOrganisationId</w:t>
            </w:r>
          </w:p>
        </w:tc>
        <w:tc>
          <w:tcPr/>
          <w:p>
            <w:pPr>
              <w:pStyle w:val="Compact"/>
            </w:pPr>
            <w:r>
              <w:t xml:space="preserve">UUID v5</w:t>
            </w:r>
          </w:p>
        </w:tc>
        <w:tc>
          <w:tcPr/>
          <w:p>
            <w:pPr>
              <w:pStyle w:val="Compact"/>
            </w:pPr>
            <w:r>
              <w:t xml:space="preserve">36</w:t>
            </w:r>
          </w:p>
        </w:tc>
        <w:tc>
          <w:tcPr/>
          <w:p>
            <w:pPr>
              <w:pStyle w:val="Compact"/>
            </w:pPr>
            <w:r>
              <w:t xml:space="preserve">Organisation accountable for the claim</w:t>
            </w:r>
          </w:p>
        </w:tc>
        <w:tc>
          <w:tcPr/>
          <w:p>
            <w:pPr>
              <w:pStyle w:val="Compact"/>
            </w:pPr>
            <w:r>
              <w:t xml:space="preserve">Registry</w:t>
            </w:r>
          </w:p>
        </w:tc>
        <w:tc>
          <w:tcPr/>
          <w:p>
            <w:pPr>
              <w:pStyle w:val="Compact"/>
            </w:pPr>
            <w:r>
              <w:t xml:space="preserve">SQ-2, DM-5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canonicalPayloadDigest</w:t>
            </w:r>
          </w:p>
        </w:tc>
        <w:tc>
          <w:tcPr/>
          <w:p>
            <w:pPr>
              <w:pStyle w:val="Compact"/>
            </w:pPr>
            <w:r>
              <w:t xml:space="preserve">SHA-256 hex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The value actually signed</w:t>
            </w:r>
          </w:p>
        </w:tc>
        <w:tc>
          <w:tcPr/>
          <w:p>
            <w:pPr>
              <w:pStyle w:val="Compact"/>
            </w:pPr>
            <w:r>
              <w:t xml:space="preserve">Platform</w:t>
            </w:r>
          </w:p>
        </w:tc>
        <w:tc>
          <w:tcPr/>
          <w:p>
            <w:pPr>
              <w:pStyle w:val="Compact"/>
            </w:pPr>
            <w:r>
              <w:t xml:space="preserve">SQ-1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plaintextCommitment</w:t>
            </w:r>
          </w:p>
        </w:tc>
        <w:tc>
          <w:tcPr/>
          <w:p>
            <w:pPr>
              <w:pStyle w:val="Compact"/>
            </w:pPr>
            <w:r>
              <w:t xml:space="preserve">SHA-256 hex</w:t>
            </w:r>
          </w:p>
        </w:tc>
        <w:tc>
          <w:tcPr/>
          <w:p>
            <w:pPr>
              <w:pStyle w:val="Compact"/>
            </w:pPr>
            <w:r>
              <w:t xml:space="preserve">64</w:t>
            </w:r>
          </w:p>
        </w:tc>
        <w:tc>
          <w:tcPr/>
          <w:p>
            <w:pPr>
              <w:pStyle w:val="Compact"/>
            </w:pPr>
            <w:r>
              <w:t xml:space="preserve">Salted commitment to off-platform content</w:t>
            </w:r>
          </w:p>
        </w:tc>
        <w:tc>
          <w:tcPr/>
          <w:p>
            <w:pPr>
              <w:pStyle w:val="Compact"/>
            </w:pPr>
            <w:r>
              <w:t xml:space="preserve">Owner</w:t>
            </w:r>
          </w:p>
        </w:tc>
        <w:tc>
          <w:tcPr/>
          <w:p>
            <w:pPr>
              <w:pStyle w:val="Compact"/>
            </w:pPr>
            <w:r>
              <w:t xml:space="preserve">DM-2, SQ-7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findingId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dataWatermark</w:t>
            </w:r>
          </w:p>
        </w:tc>
        <w:tc>
          <w:tcPr/>
          <w:p>
            <w:pPr>
              <w:pStyle w:val="Compact"/>
            </w:pPr>
            <w:r>
              <w:t xml:space="preserve">UUID, semver, uint64</w:t>
            </w:r>
          </w:p>
        </w:tc>
        <w:tc>
          <w:tcPr/>
          <w:p>
            <w:pPr>
              <w:pStyle w:val="Compact"/>
            </w:pPr>
            <w:r>
              <w:t xml:space="preserve">36, 20, 20</w:t>
            </w:r>
          </w:p>
        </w:tc>
        <w:tc>
          <w:tcPr/>
          <w:p>
            <w:pPr>
              <w:pStyle w:val="Compact"/>
            </w:pPr>
            <w:r>
              <w:t xml:space="preserve">Finding identity and the inputs it used</w:t>
            </w:r>
          </w:p>
        </w:tc>
        <w:tc>
          <w:tcPr/>
          <w:p>
            <w:pPr>
              <w:pStyle w:val="Compact"/>
            </w:pPr>
            <w:r>
              <w:t xml:space="preserve">Regulator</w:t>
            </w:r>
          </w:p>
        </w:tc>
        <w:tc>
          <w:tcPr/>
          <w:p>
            <w:pPr>
              <w:pStyle w:val="Compact"/>
            </w:pPr>
            <w:r>
              <w:t xml:space="preserve">DM-6, SQ-9</w:t>
            </w:r>
          </w:p>
        </w:tc>
      </w:tr>
    </w:tbl>
    <w:p>
      <w:pPr>
        <w:pStyle w:val="BodyText"/>
      </w:pPr>
      <w:r>
        <w:t xml:space="preserve">Named but not tabulated: the EPCIS business fields (</w:t>
      </w:r>
      <w:r>
        <w:rPr>
          <w:rStyle w:val="VerbatimChar"/>
        </w:rPr>
        <w:t xml:space="preserve">action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bizStep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bizLocation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sourceList</w:t>
      </w:r>
      <w:r>
        <w:t xml:space="preserve">/</w:t>
      </w:r>
      <w:r>
        <w:rPr>
          <w:rStyle w:val="VerbatimChar"/>
        </w:rPr>
        <w:t xml:space="preserve">destinationList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bizTransactionList</w:t>
      </w:r>
      <w:r>
        <w:t xml:space="preserve">,</w:t>
      </w:r>
      <w:r>
        <w:t xml:space="preserve"> </w:t>
      </w:r>
      <w:r>
        <w:rPr>
          <w:rStyle w:val="VerbatimChar"/>
        </w:rPr>
        <w:t xml:space="preserve">epcClass</w:t>
      </w:r>
      <w:r>
        <w:t xml:space="preserve">,</w:t>
      </w:r>
      <w:r>
        <w:t xml:space="preserve"> </w:t>
      </w:r>
      <w:r>
        <w:rPr>
          <w:rStyle w:val="VerbatimChar"/>
        </w:rPr>
        <w:t xml:space="preserve">parentID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transformationID</w:t>
      </w:r>
      <w:r>
        <w:t xml:space="preserve">);</w:t>
      </w:r>
      <w:r>
        <w:t xml:space="preserve"> </w:t>
      </w:r>
      <w:r>
        <w:t xml:space="preserve">the versioning pair (</w:t>
      </w:r>
      <w:r>
        <w:rPr>
          <w:rStyle w:val="VerbatimChar"/>
        </w:rPr>
        <w:t xml:space="preserve">canonicalisationVersion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edgeDerivationVersion</w:t>
      </w:r>
      <w:r>
        <w:t xml:space="preserve">); the signature set (</w:t>
      </w:r>
      <w:r>
        <w:rPr>
          <w:rStyle w:val="VerbatimChar"/>
        </w:rPr>
        <w:t xml:space="preserve">keyId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signatureValue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signatureAlgorithm</w:t>
      </w:r>
      <w:r>
        <w:t xml:space="preserve">,</w:t>
      </w:r>
      <w:r>
        <w:t xml:space="preserve"> </w:t>
      </w:r>
      <w:r>
        <w:rPr>
          <w:rStyle w:val="VerbatimChar"/>
        </w:rPr>
        <w:t xml:space="preserve">assertedSignedAt</w:t>
      </w:r>
      <w:r>
        <w:t xml:space="preserve">);</w:t>
      </w:r>
      <w:r>
        <w:t xml:space="preserve"> </w:t>
      </w:r>
      <w:r>
        <w:rPr>
          <w:rStyle w:val="VerbatimChar"/>
        </w:rPr>
        <w:t xml:space="preserve">custodyMode</w:t>
      </w:r>
      <w:r>
        <w:t xml:space="preserve">; the anchoring set (</w:t>
      </w:r>
      <w:r>
        <w:rPr>
          <w:rStyle w:val="VerbatimChar"/>
        </w:rPr>
        <w:t xml:space="preserve">ArchiveAckDigest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ciphertextDigest</w:t>
      </w:r>
      <w:r>
        <w:t xml:space="preserve">,</w:t>
      </w:r>
      <w:r>
        <w:t xml:space="preserve"> </w:t>
      </w:r>
      <w:r>
        <w:rPr>
          <w:rStyle w:val="VerbatimChar"/>
        </w:rPr>
        <w:t xml:space="preserve">merkleLeafIndex</w:t>
      </w:r>
      <w:r>
        <w:t xml:space="preserve">,</w:t>
      </w:r>
      <w:r>
        <w:t xml:space="preserve"> </w:t>
      </w:r>
      <w:r>
        <w:rPr>
          <w:rStyle w:val="VerbatimChar"/>
        </w:rPr>
        <w:t xml:space="preserve">batchId</w:t>
      </w:r>
      <w:r>
        <w:t xml:space="preserve">,</w:t>
      </w:r>
      <w:r>
        <w:t xml:space="preserve"> </w:t>
      </w:r>
      <w:r>
        <w:rPr>
          <w:rStyle w:val="VerbatimChar"/>
        </w:rPr>
        <w:t xml:space="preserve">merkleRoot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transactionRef</w:t>
      </w:r>
      <w:r>
        <w:t xml:space="preserve">,</w:t>
      </w:r>
      <w:r>
        <w:t xml:space="preserve"> </w:t>
      </w:r>
      <w:r>
        <w:rPr>
          <w:rStyle w:val="VerbatimChar"/>
        </w:rPr>
        <w:t xml:space="preserve">inclusionProof</w:t>
      </w:r>
      <w:r>
        <w:t xml:space="preserve">); evidence</w:t>
      </w:r>
      <w:r>
        <w:t xml:space="preserve"> </w:t>
      </w:r>
      <w:r>
        <w:t xml:space="preserve">state (</w:t>
      </w:r>
      <w:r>
        <w:rPr>
          <w:rStyle w:val="VerbatimChar"/>
        </w:rPr>
        <w:t xml:space="preserve">availabilityStatus</w:t>
      </w:r>
      <w:r>
        <w:t xml:space="preserve">,</w:t>
      </w:r>
      <w:r>
        <w:t xml:space="preserve"> </w:t>
      </w:r>
      <w:r>
        <w:rPr>
          <w:rStyle w:val="VerbatimChar"/>
        </w:rPr>
        <w:t xml:space="preserve">retentionPolicyId</w:t>
      </w:r>
      <w:r>
        <w:t xml:space="preserve">); and regulatory output (</w:t>
      </w:r>
      <w:r>
        <w:rPr>
          <w:rStyle w:val="VerbatimChar"/>
        </w:rPr>
        <w:t xml:space="preserve">severity</w:t>
      </w:r>
      <w:r>
        <w:t xml:space="preserve">,</w:t>
      </w:r>
      <w:r>
        <w:t xml:space="preserve"> </w:t>
      </w:r>
      <w:r>
        <w:rPr>
          <w:rStyle w:val="VerbatimChar"/>
        </w:rPr>
        <w:t xml:space="preserve">disclosureScope</w:t>
      </w:r>
      <w:r>
        <w:t xml:space="preserve">,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regulatorSignature</w:t>
      </w:r>
      <w:r>
        <w:t xml:space="preserve">). Each is EPCIS/CBV-defined or profile-declared, typed and length-bounded at</w:t>
      </w:r>
      <w:r>
        <w:t xml:space="preserve"> </w:t>
      </w:r>
      <w:r>
        <w:t xml:space="preserve">admission.</w:t>
      </w:r>
    </w:p>
    <w:p>
      <w:pPr>
        <w:pStyle w:val="BodyText"/>
      </w:pPr>
      <w:r>
        <w:rPr>
          <w:b/>
          <w:bCs/>
        </w:rPr>
        <w:t xml:space="preserve">Scenarios.</w:t>
      </w:r>
      <w:r>
        <w:t xml:space="preserve"> </w:t>
      </w:r>
      <w:r>
        <w:t xml:space="preserve">Each one fixes a requirement that would otherwise be a design preference.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DS-1 Seven-year recall.</w:t>
      </w:r>
      <w:r>
        <w:t xml:space="preserve"> </w:t>
      </w:r>
      <w:r>
        <w:t xml:space="preserve">A retail lot is traced to a farm block seven years later.</w:t>
      </w:r>
      <w:r>
        <w:t xml:space="preserve"> </w:t>
      </w:r>
      <w:r>
        <w:rPr>
          <w:i/>
          <w:iCs/>
        </w:rPr>
        <w:t xml:space="preserve">Forces:</w:t>
      </w:r>
      <w:r>
        <w:t xml:space="preserve"> </w:t>
      </w:r>
      <w:r>
        <w:t xml:space="preserve">append-only</w:t>
      </w:r>
      <w:r>
        <w:t xml:space="preserve"> </w:t>
      </w:r>
      <w:r>
        <w:t xml:space="preserve">canonical tables, indexed lineage edges, and the profile version kept with the event (storage).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DS-2 Competing claims.</w:t>
      </w:r>
      <w:r>
        <w:t xml:space="preserve"> </w:t>
      </w:r>
      <w:r>
        <w:t xml:space="preserve">Two processors consume one lot.</w:t>
      </w:r>
      <w:r>
        <w:t xml:space="preserve"> </w:t>
      </w:r>
      <w:r>
        <w:rPr>
          <w:i/>
          <w:iCs/>
        </w:rPr>
        <w:t xml:space="preserve">Forces:</w:t>
      </w:r>
      <w:r>
        <w:t xml:space="preserve"> </w:t>
      </w:r>
      <w:r>
        <w:t xml:space="preserve">no uniqueness on lineage, and a query</w:t>
      </w:r>
      <w:r>
        <w:t xml:space="preserve"> </w:t>
      </w:r>
      <w:r>
        <w:t xml:space="preserve">layer that returns both rather than picking one (representability, not validation).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DS-3 Laboratory report.</w:t>
      </w:r>
      <w:r>
        <w:t xml:space="preserve"> </w:t>
      </w:r>
      <w:r>
        <w:t xml:space="preserve">A regulator requests a packer’s report.</w:t>
      </w:r>
      <w:r>
        <w:t xml:space="preserve"> </w:t>
      </w:r>
      <w:r>
        <w:rPr>
          <w:i/>
          <w:iCs/>
        </w:rPr>
        <w:t xml:space="preserve">Forces:</w:t>
      </w:r>
      <w:r>
        <w:t xml:space="preserve"> </w:t>
      </w:r>
      <w:r>
        <w:t xml:space="preserve">only a commitment and a storage</w:t>
      </w:r>
      <w:r>
        <w:t xml:space="preserve"> </w:t>
      </w:r>
      <w:r>
        <w:t xml:space="preserve">mode on the platform, with content encrypted by its owner (access).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DS-4 Scan at peak.</w:t>
      </w:r>
      <w:r>
        <w:t xml:space="preserve"> </w:t>
      </w:r>
      <w:r>
        <w:t xml:space="preserve">5 000 scans/s after a television item.</w:t>
      </w:r>
      <w:r>
        <w:t xml:space="preserve"> </w:t>
      </w:r>
      <w:r>
        <w:rPr>
          <w:i/>
          <w:iCs/>
        </w:rPr>
        <w:t xml:space="preserve">Forces:</w:t>
      </w:r>
      <w:r>
        <w:t xml:space="preserve"> </w:t>
      </w:r>
      <w:r>
        <w:t xml:space="preserve">public reads served from versioned</w:t>
      </w:r>
      <w:r>
        <w:t xml:space="preserve"> </w:t>
      </w:r>
      <w:r>
        <w:t xml:space="preserve">objects at the edge, never by joining canonical tables (access, storage).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DS-5 Retention under hold.</w:t>
      </w:r>
      <w:r>
        <w:t xml:space="preserve"> </w:t>
      </w:r>
      <w:r>
        <w:t xml:space="preserve">A batch expires during a dispute.</w:t>
      </w:r>
      <w:r>
        <w:t xml:space="preserve"> </w:t>
      </w:r>
      <w:r>
        <w:rPr>
          <w:i/>
          <w:iCs/>
        </w:rPr>
        <w:t xml:space="preserve">Forces:</w:t>
      </w:r>
      <w:r>
        <w:t xml:space="preserve"> </w:t>
      </w:r>
      <w:r>
        <w:t xml:space="preserve">deletion as a recorded transition</w:t>
      </w:r>
      <w:r>
        <w:t xml:space="preserve"> </w:t>
      </w:r>
      <w:r>
        <w:t xml:space="preserve">executed by three parties, with a signed record anchored (retention).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DS-6 Offline capture, revoked key.</w:t>
      </w:r>
      <w:r>
        <w:t xml:space="preserve"> </w:t>
      </w:r>
      <w:r>
        <w:t xml:space="preserve">Events arrive after a key rotation.</w:t>
      </w:r>
      <w:r>
        <w:t xml:space="preserve"> </w:t>
      </w:r>
      <w:r>
        <w:rPr>
          <w:i/>
          <w:iCs/>
        </w:rPr>
        <w:t xml:space="preserve">Forces:</w:t>
      </w:r>
      <w:r>
        <w:t xml:space="preserve"> </w:t>
      </w:r>
      <w:r>
        <w:t xml:space="preserve">idempotent ingestion and a</w:t>
      </w:r>
      <w:r>
        <w:t xml:space="preserve"> </w:t>
      </w:r>
      <w:r>
        <w:t xml:space="preserve">review state, because</w:t>
      </w:r>
      <w:r>
        <w:t xml:space="preserve"> </w:t>
      </w:r>
      <w:r>
        <w:t xml:space="preserve">“invalid”</w:t>
      </w:r>
      <w:r>
        <w:t xml:space="preserve"> </w:t>
      </w:r>
      <w:r>
        <w:t xml:space="preserve">and</w:t>
      </w:r>
      <w:r>
        <w:t xml:space="preserve"> </w:t>
      </w:r>
      <w:r>
        <w:t xml:space="preserve">“not yet established”</w:t>
      </w:r>
      <w:r>
        <w:t xml:space="preserve"> </w:t>
      </w:r>
      <w:r>
        <w:t xml:space="preserve">are different facts (ingestion, validation).</w:t>
      </w:r>
    </w:p>
    <w:p>
      <w:pPr>
        <w:pStyle w:val="FirstParagraph"/>
      </w:pPr>
      <w:r>
        <w:t xml:space="preserve">DS-3 and DS-4 fix the three visibility classes — public projection, consortium trace, owner-held private</w:t>
      </w:r>
      <w:r>
        <w:t xml:space="preserve"> </w:t>
      </w:r>
      <w:r>
        <w:t xml:space="preserve">evidence, with no middle tier — and access binds per request to an explicit acting organisation. DS-6 fixes</w:t>
      </w:r>
      <w:r>
        <w:t xml:space="preserve"> </w:t>
      </w:r>
      <w:r>
        <w:t xml:space="preserve">validation’s two classes: admission blocks the write, while structural representability only shapes how the</w:t>
      </w:r>
      <w:r>
        <w:t xml:space="preserve"> </w:t>
      </w:r>
      <w:r>
        <w:t xml:space="preserve">projection presents the data. Business plausibility stays out of admission, because a rule that rejected an</w:t>
      </w:r>
      <w:r>
        <w:t xml:space="preserve"> </w:t>
      </w:r>
      <w:r>
        <w:t xml:space="preserve">event for an odd quantity would make the platform an adjudicator.</w:t>
      </w:r>
    </w:p>
    <w:p>
      <w:pPr>
        <w:pStyle w:val="BodyText"/>
      </w:pPr>
      <w:r>
        <w:rPr>
          <w:b/>
          <w:bCs/>
        </w:rPr>
        <w:t xml:space="preserve">Storage.</w:t>
      </w:r>
      <w:r>
        <w:t xml:space="preserve"> </w:t>
      </w:r>
      <w:r>
        <w:t xml:space="preserve">One managed relational database holds submission state, registries, the outbox, a queryable</w:t>
      </w:r>
      <w:r>
        <w:t xml:space="preserve"> </w:t>
      </w:r>
      <w:r>
        <w:t xml:space="preserve">materialisation and rebuildable projections. It is relational because EPCIS fields are typed and constrained,</w:t>
      </w:r>
      <w:r>
        <w:t xml:space="preserve"> </w:t>
      </w:r>
      <w:r>
        <w:t xml:space="preserve">admission needs one atomic step across event, idempotency claim and outbox, DS-1’s traversal is a bounded</w:t>
      </w:r>
      <w:r>
        <w:t xml:space="preserve"> </w:t>
      </w:r>
      <w:r>
        <w:t xml:space="preserve">recursive query, and reporting is set-oriented; it must therefore provide exact decimal arithmetic, referential</w:t>
      </w:r>
      <w:r>
        <w:t xml:space="preserve"> </w:t>
      </w:r>
      <w:r>
        <w:t xml:space="preserve">integrity, semi-structured extension columns, point-in-time recovery and row-level predicates. Rejected: a</w:t>
      </w:r>
      <w:r>
        <w:t xml:space="preserve"> </w:t>
      </w:r>
      <w:r>
        <w:t xml:space="preserve">document store (loses cross-event constraints and multi-row transactions), a graph database as the record (the</w:t>
      </w:r>
      <w:r>
        <w:t xml:space="preserve"> </w:t>
      </w:r>
      <w:r>
        <w:t xml:space="preserve">graph is derived and must stay verifiable), and event sourcing for the whole application (profiles and job</w:t>
      </w:r>
      <w:r>
        <w:t xml:space="preserve"> </w:t>
      </w:r>
      <w:r>
        <w:t xml:space="preserve">state are not events).</w:t>
      </w:r>
    </w:p>
    <w:bookmarkEnd w:id="13"/>
    <w:bookmarkStart w:id="14" w:name="cloud-adoption-rubric-2.52.6"/>
    <w:p>
      <w:pPr>
        <w:pStyle w:val="Heading2"/>
      </w:pPr>
      <w:r>
        <w:t xml:space="preserve">2.3 Cloud adoption — rubric 2.5–2.6</w:t>
      </w:r>
    </w:p>
    <w:p>
      <w:pPr>
        <w:pStyle w:val="FirstParagraph"/>
      </w:pPr>
      <w:r>
        <w:t xml:space="preserve">Participants want no infrastructure and no capital spend: a browser is enough, and a small producer will not run a</w:t>
      </w:r>
      <w:r>
        <w:t xml:space="preserve"> </w:t>
      </w:r>
      <w:r>
        <w:t xml:space="preserve">server to join a supply chain. The operator wants the same — a small team (C6) cannot patch a cluster. The regulator wants its workspace to run where the platform cannot read it.</w:t>
      </w:r>
    </w:p>
    <w:p>
      <w:pPr>
        <w:pStyle w:val="BodyText"/>
      </w:pPr>
      <w:r>
        <w:t xml:space="preserve">Four scenarios decide the service model. QS-4 (5 000 scans/s after a television item) asks who serves the bytes: an</w:t>
      </w:r>
      <w:r>
        <w:t xml:space="preserve"> </w:t>
      </w:r>
      <w:r>
        <w:t xml:space="preserve">origin cannot, so delivery is a CDN service, not a server. DS-3 (a regulator requests a packer’s report) asks who</w:t>
      </w:r>
      <w:r>
        <w:t xml:space="preserve"> </w:t>
      </w:r>
      <w:r>
        <w:t xml:space="preserve">holds the content: not the platform, so object storage sits under a separate provider. QS-8 asks who operates the</w:t>
      </w:r>
      <w:r>
        <w:t xml:space="preserve"> </w:t>
      </w:r>
      <w:r>
        <w:t xml:space="preserve">workspace, and C6 how much is operated at all.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Capability</w:t>
            </w:r>
          </w:p>
        </w:tc>
        <w:tc>
          <w:tcPr/>
          <w:p>
            <w:pPr>
              <w:pStyle w:val="Compact"/>
            </w:pPr>
            <w:r>
              <w:t xml:space="preserve">Deciding scenario</w:t>
            </w:r>
          </w:p>
        </w:tc>
        <w:tc>
          <w:tcPr/>
          <w:p>
            <w:pPr>
              <w:pStyle w:val="Compact"/>
            </w:pPr>
            <w:r>
              <w:t xml:space="preserve">Service model</w:t>
            </w:r>
          </w:p>
        </w:tc>
        <w:tc>
          <w:tcPr/>
          <w:p>
            <w:pPr>
              <w:pStyle w:val="Compact"/>
            </w:pPr>
            <w:r>
              <w:t xml:space="preserve">What we do not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Application and workers</w:t>
            </w:r>
          </w:p>
        </w:tc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PaaS, one managed container</w:t>
            </w:r>
          </w:p>
        </w:tc>
        <w:tc>
          <w:tcPr/>
          <w:p>
            <w:pPr>
              <w:pStyle w:val="Compact"/>
            </w:pPr>
            <w:r>
              <w:t xml:space="preserve">Orchestrator, node patching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Relational database</w:t>
            </w:r>
          </w:p>
        </w:tc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PaaS, replica and storage autoscaling</w:t>
            </w:r>
          </w:p>
        </w:tc>
        <w:tc>
          <w:tcPr/>
          <w:p>
            <w:pPr>
              <w:pStyle w:val="Compact"/>
            </w:pPr>
            <w:r>
              <w:t xml:space="preserve">Failover, backups, tuning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snapshot delivery</w:t>
            </w:r>
          </w:p>
        </w:tc>
        <w:tc>
          <w:tcPr/>
          <w:p>
            <w:pPr>
              <w:pStyle w:val="Compact"/>
            </w:pPr>
            <w:r>
              <w:t xml:space="preserve">QS-4</w:t>
            </w:r>
          </w:p>
        </w:tc>
        <w:tc>
          <w:tcPr/>
          <w:p>
            <w:pPr>
              <w:pStyle w:val="Compact"/>
            </w:pPr>
            <w:r>
              <w:t xml:space="preserve">SaaS, CDN over object storage</w:t>
            </w:r>
          </w:p>
        </w:tc>
        <w:tc>
          <w:tcPr/>
          <w:p>
            <w:pPr>
              <w:pStyle w:val="Compact"/>
            </w:pPr>
            <w:r>
              <w:t xml:space="preserve">Edge PoPs, certificates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</w:t>
            </w:r>
          </w:p>
        </w:tc>
        <w:tc>
          <w:tcPr/>
          <w:p>
            <w:pPr>
              <w:pStyle w:val="Compact"/>
            </w:pPr>
            <w:r>
              <w:t xml:space="preserve">DS-3</w:t>
            </w:r>
          </w:p>
        </w:tc>
        <w:tc>
          <w:tcPr/>
          <w:p>
            <w:pPr>
              <w:pStyle w:val="Compact"/>
            </w:pPr>
            <w:r>
              <w:t xml:space="preserve">SaaS, object storage under a separate provider</w:t>
            </w:r>
          </w:p>
        </w:tc>
        <w:tc>
          <w:tcPr/>
          <w:p>
            <w:pPr>
              <w:pStyle w:val="Compact"/>
            </w:pPr>
            <w:r>
              <w:t xml:space="preserve">Media, replication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Key management</w:t>
            </w:r>
          </w:p>
        </w:tc>
        <w:tc>
          <w:tcPr/>
          <w:p>
            <w:pPr>
              <w:pStyle w:val="Compact"/>
            </w:pPr>
            <w:r>
              <w:t xml:space="preserve">DS-3</w:t>
            </w:r>
          </w:p>
        </w:tc>
        <w:tc>
          <w:tcPr/>
          <w:p>
            <w:pPr>
              <w:pStyle w:val="Compact"/>
            </w:pPr>
            <w:r>
              <w:t xml:space="preserve">SaaS, managed KMS in the trustee’s account</w:t>
            </w:r>
          </w:p>
        </w:tc>
        <w:tc>
          <w:tcPr/>
          <w:p>
            <w:pPr>
              <w:pStyle w:val="Compact"/>
            </w:pPr>
            <w:r>
              <w:t xml:space="preserve">HSM estate, key ceremonies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Chain anchoring</w:t>
            </w:r>
          </w:p>
        </w:tc>
        <w:tc>
          <w:tcPr/>
          <w:p>
            <w:pPr>
              <w:pStyle w:val="Compact"/>
            </w:pPr>
            <w:r>
              <w:t xml:space="preserve">QS-4</w:t>
            </w:r>
          </w:p>
        </w:tc>
        <w:tc>
          <w:tcPr/>
          <w:p>
            <w:pPr>
              <w:pStyle w:val="Compact"/>
            </w:pPr>
            <w:r>
              <w:t xml:space="preserve">Public network, paid per transaction</w:t>
            </w:r>
          </w:p>
        </w:tc>
        <w:tc>
          <w:tcPr/>
          <w:p>
            <w:pPr>
              <w:pStyle w:val="Compact"/>
            </w:pPr>
            <w:r>
              <w:t xml:space="preserve">Validators, nodes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runtime</w:t>
            </w:r>
          </w:p>
        </w:tc>
        <w:tc>
          <w:tcPr/>
          <w:p>
            <w:pPr>
              <w:pStyle w:val="Compact"/>
            </w:pPr>
            <w:r>
              <w:t xml:space="preserve">QS-8</w:t>
            </w:r>
          </w:p>
        </w:tc>
        <w:tc>
          <w:tcPr/>
          <w:p>
            <w:pPr>
              <w:pStyle w:val="Compact"/>
            </w:pPr>
            <w:r>
              <w:t xml:space="preserve">PaaS, in the regulator’s account</w:t>
            </w:r>
          </w:p>
        </w:tc>
        <w:tc>
          <w:tcPr/>
          <w:p>
            <w:pPr>
              <w:pStyle w:val="Compact"/>
            </w:pPr>
            <w:r>
              <w:t xml:space="preserve">Platform operational access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Identity</w:t>
            </w:r>
          </w:p>
        </w:tc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t xml:space="preserve">SaaS, external identity provider</w:t>
            </w:r>
          </w:p>
        </w:tc>
        <w:tc>
          <w:tcPr/>
          <w:p>
            <w:pPr>
              <w:pStyle w:val="Compact"/>
            </w:pPr>
            <w:r>
              <w:t xml:space="preserve">Credential store, MFA estate</w:t>
            </w:r>
          </w:p>
        </w:tc>
      </w:tr>
    </w:tbl>
    <w:p>
      <w:pPr>
        <w:pStyle w:val="BodyText"/>
      </w:pPr>
      <w:r>
        <w:t xml:space="preserve">Rejected:</w:t>
      </w:r>
      <w:r>
        <w:t xml:space="preserve"> </w:t>
      </w:r>
      <w:r>
        <w:rPr>
          <w:b/>
          <w:bCs/>
        </w:rPr>
        <w:t xml:space="preserve">IaaS with a self-managed cluster</w:t>
      </w:r>
      <w:r>
        <w:t xml:space="preserve"> </w:t>
      </w:r>
      <w:r>
        <w:t xml:space="preserve">— C6 makes it a second job;</w:t>
      </w:r>
      <w:r>
        <w:t xml:space="preserve"> </w:t>
      </w:r>
      <w:r>
        <w:rPr>
          <w:b/>
          <w:bCs/>
        </w:rPr>
        <w:t xml:space="preserve">a shared tenant for analytics</w:t>
      </w:r>
      <w:r>
        <w:t xml:space="preserve"> </w:t>
      </w:r>
      <w:r>
        <w:t xml:space="preserve">— QS-7</w:t>
      </w:r>
      <w:r>
        <w:t xml:space="preserve"> </w:t>
      </w:r>
      <w:r>
        <w:t xml:space="preserve">makes the separation unverifiable;</w:t>
      </w:r>
      <w:r>
        <w:t xml:space="preserve"> </w:t>
      </w:r>
      <w:r>
        <w:rPr>
          <w:b/>
          <w:bCs/>
        </w:rPr>
        <w:t xml:space="preserve">on-premises object storage</w:t>
      </w:r>
      <w:r>
        <w:t xml:space="preserve"> </w:t>
      </w:r>
      <w:r>
        <w:t xml:space="preserve">— it returns the archive to the operator’s account</w:t>
      </w:r>
      <w:r>
        <w:t xml:space="preserve"> </w:t>
      </w:r>
      <w:r>
        <w:t xml:space="preserve">(D1);</w:t>
      </w:r>
      <w:r>
        <w:t xml:space="preserve"> </w:t>
      </w:r>
      <w:r>
        <w:rPr>
          <w:b/>
          <w:bCs/>
        </w:rPr>
        <w:t xml:space="preserve">origin-only delivery</w:t>
      </w:r>
      <w:r>
        <w:t xml:space="preserve"> </w:t>
      </w:r>
      <w:r>
        <w:t xml:space="preserve">— QS-4 makes the origin the bottleneck.</w:t>
      </w:r>
    </w:p>
    <w:p>
      <w:pPr>
        <w:pStyle w:val="BodyText"/>
      </w:pPr>
      <w:r>
        <w:t xml:space="preserve">Residency, exit and cost follow from the same choices: Australian regions, standard PostgreSQL, portable formats.</w:t>
      </w:r>
    </w:p>
    <w:bookmarkEnd w:id="14"/>
    <w:bookmarkStart w:id="15" w:name="X28aaf644e3e5da38611e602845df5bd06b30b86"/>
    <w:p>
      <w:pPr>
        <w:pStyle w:val="Heading2"/>
      </w:pPr>
      <w:r>
        <w:t xml:space="preserve">2.4 Security, privacy and regulation — rubric 2.7–2.8</w:t>
      </w:r>
    </w:p>
    <w:p>
      <w:pPr>
        <w:pStyle w:val="FirstParagraph"/>
      </w:pPr>
      <w:r>
        <w:t xml:space="preserve">Every write is authorised against an organisation, a role and a delegation, bound per request (SP-1), and every</w:t>
      </w:r>
      <w:r>
        <w:t xml:space="preserve"> </w:t>
      </w:r>
      <w:r>
        <w:t xml:space="preserve">canonical event is non-repudiable across rotation and revocation (SP-2). High-impact governance changes need dual</w:t>
      </w:r>
      <w:r>
        <w:t xml:space="preserve"> </w:t>
      </w:r>
      <w:r>
        <w:t xml:space="preserve">control and apply only once anchored (SP-5); reads are audited per organisation and staff access needs recorded</w:t>
      </w:r>
      <w:r>
        <w:t xml:space="preserve"> </w:t>
      </w:r>
      <w:r>
        <w:t xml:space="preserve">break-glass (SP-6); analytics cannot pull arbitrary private evidence, and findings are private by default (SP-7).</w:t>
      </w:r>
      <w:r>
        <w:t xml:space="preserve"> </w:t>
      </w:r>
      <w:r>
        <w:t xml:space="preserve">The system states what it does not protect against (SP-8).</w:t>
      </w:r>
    </w:p>
    <w:p>
      <w:pPr>
        <w:pStyle w:val="BodyText"/>
      </w:pPr>
      <w:r>
        <w:rPr>
          <w:b/>
          <w:bCs/>
        </w:rPr>
        <w:t xml:space="preserve">Integrity is guaranteed by the public chain.</w:t>
      </w:r>
      <w:r>
        <w:t xml:space="preserve"> </w:t>
      </w:r>
      <w:r>
        <w:t xml:space="preserve">A Merkle root is committed every thirty minutes, and any third</w:t>
      </w:r>
      <w:r>
        <w:t xml:space="preserve"> </w:t>
      </w:r>
      <w:r>
        <w:t xml:space="preserve">party can verify an event against it without asking the platform (NSW Food Act 2003; Food Standards Code).</w:t>
      </w:r>
    </w:p>
    <w:p>
      <w:pPr>
        <w:pStyle w:val="BodyText"/>
      </w:pPr>
      <w:r>
        <w:rPr>
          <w:b/>
          <w:bCs/>
        </w:rPr>
        <w:t xml:space="preserve">Confidentiality is a three-tier tradeoff.</w:t>
      </w:r>
      <w:r>
        <w:t xml:space="preserve"> </w:t>
      </w:r>
      <w:r>
        <w:t xml:space="preserve">Public projection, consortium trace, owner-held private evidence,</w:t>
      </w:r>
      <w:r>
        <w:t xml:space="preserve"> </w:t>
      </w:r>
      <w:r>
        <w:t xml:space="preserve">with no middle tier. The platform reads consortium plaintext because recall traversal needs it, and never reads</w:t>
      </w:r>
      <w:r>
        <w:t xml:space="preserve"> </w:t>
      </w:r>
      <w:r>
        <w:t xml:space="preserve">private content — the owner grants sharing (SP-3) — while no natural-person identifier enters the immutable</w:t>
      </w:r>
      <w:r>
        <w:t xml:space="preserve"> </w:t>
      </w:r>
      <w:r>
        <w:t xml:space="preserve">record (SP-4). Privacy Act 1988 and the APPs; NSW PPIP Act 1998.</w:t>
      </w:r>
    </w:p>
    <w:p>
      <w:pPr>
        <w:pStyle w:val="BodyText"/>
      </w:pPr>
      <w:r>
        <w:rPr>
          <w:b/>
          <w:bCs/>
        </w:rPr>
        <w:t xml:space="preserve">Availability comes from read/write separation.</w:t>
      </w:r>
      <w:r>
        <w:t xml:space="preserve"> </w:t>
      </w:r>
      <w:r>
        <w:t xml:space="preserve">Writes fail closed and retry idempotently; reads come from the</w:t>
      </w:r>
      <w:r>
        <w:t xml:space="preserve"> </w:t>
      </w:r>
      <w:r>
        <w:t xml:space="preserve">materialised copy with an explicit degradation state, so a recall query during an archive or chain outage returns</w:t>
      </w:r>
      <w:r>
        <w:t xml:space="preserve"> </w:t>
      </w:r>
      <w:r>
        <w:t xml:space="preserve">a labelled partial result rather than a silent miss (Food Act 2003 recall powers).</w:t>
      </w:r>
    </w:p>
    <w:p>
      <w:pPr>
        <w:pStyle w:val="BodyText"/>
      </w:pPr>
      <w:r>
        <w:t xml:space="preserve">Appendix B maps each obligation behind those citations to where the design answers it.</w:t>
      </w:r>
    </w:p>
    <w:bookmarkEnd w:id="15"/>
    <w:bookmarkStart w:id="16" w:name="Xbbac9a9107bd940627c232f442545ab9b5df27d"/>
    <w:p>
      <w:pPr>
        <w:pStyle w:val="Heading2"/>
      </w:pPr>
      <w:r>
        <w:t xml:space="preserve">2.5 Device evidence and regulatory screening — rubric 2.B, bonus</w:t>
      </w:r>
    </w:p>
    <w:p>
      <w:pPr>
        <w:pStyle w:val="FirstParagraph"/>
      </w:pPr>
      <w:r>
        <w:rPr>
          <w:b/>
          <w:bCs/>
        </w:rPr>
        <w:t xml:space="preserve">IoT-1 summaries, not telemetry; IoT-2 devices as organisation delegations, not accounts; IoT-3 collection at</w:t>
      </w:r>
      <w:r>
        <w:rPr>
          <w:b/>
          <w:bCs/>
        </w:rPr>
        <w:t xml:space="preserve"> </w:t>
      </w:r>
      <w:r>
        <w:rPr>
          <w:b/>
          <w:bCs/>
        </w:rPr>
        <w:t xml:space="preserve">the edge, availability at the platform, verifiability at the archive.</w:t>
      </w:r>
      <w:r>
        <w:t xml:space="preserve"> </w:t>
      </w:r>
      <w:r>
        <w:t xml:space="preserve">The cold-chain loop is local, so the</w:t>
      </w:r>
      <w:r>
        <w:t xml:space="preserve"> </w:t>
      </w:r>
      <w:r>
        <w:t xml:space="preserve">platform’s alarm is post-confirmation.</w:t>
      </w:r>
    </w:p>
    <w:p>
      <w:pPr>
        <w:pStyle w:val="BodyText"/>
      </w:pPr>
      <w:r>
        <w:rPr>
          <w:b/>
          <w:bCs/>
        </w:rPr>
        <w:t xml:space="preserve">AI-1 deterministic rules first, versioned and signed by the regulator, with ML optional and never gating a</w:t>
      </w:r>
      <w:r>
        <w:rPr>
          <w:b/>
          <w:bCs/>
        </w:rPr>
        <w:t xml:space="preserve"> </w:t>
      </w:r>
      <w:r>
        <w:rPr>
          <w:b/>
          <w:bCs/>
        </w:rPr>
        <w:t xml:space="preserve">write; AI-2 every finding names its rule or model version and its input watermark; AI-3 no model output becomes</w:t>
      </w:r>
      <w:r>
        <w:rPr>
          <w:b/>
          <w:bCs/>
        </w:rPr>
        <w:t xml:space="preserve"> </w:t>
      </w:r>
      <w:r>
        <w:rPr>
          <w:b/>
          <w:bCs/>
        </w:rPr>
        <w:t xml:space="preserve">a recall decision without a signed assessment.</w:t>
      </w:r>
    </w:p>
    <w:p>
      <w:pPr>
        <w:pStyle w:val="BodyText"/>
      </w:pPr>
      <w:r>
        <w:rPr>
          <w:b/>
          <w:bCs/>
        </w:rPr>
        <w:t xml:space="preserve">IS-1 Cold-chain excursion.</w:t>
      </w:r>
      <w:r>
        <w:t xml:space="preserve"> </w:t>
      </w:r>
      <w:r>
        <w:t xml:space="preserve">The participant’s system alarms and acts; a summary and reference ride on the</w:t>
      </w:r>
      <w:r>
        <w:t xml:space="preserve"> </w:t>
      </w:r>
      <w:r>
        <w:t xml:space="preserve">receiving claim; the platform is not the primary alarm path.</w:t>
      </w:r>
      <w:r>
        <w:t xml:space="preserve"> </w:t>
      </w:r>
      <w:r>
        <w:rPr>
          <w:b/>
          <w:bCs/>
        </w:rPr>
        <w:t xml:space="preserve">IS-2 Cross-assertion anomaly.</w:t>
      </w:r>
      <w:r>
        <w:t xml:space="preserve"> </w:t>
      </w:r>
      <w:r>
        <w:t xml:space="preserve">The regulator’s rules produce a private finding over confirmed claims; the</w:t>
      </w:r>
      <w:r>
        <w:t xml:space="preserve"> </w:t>
      </w:r>
      <w:r>
        <w:t xml:space="preserve">platform supplies minimised data and cannot read the rule.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Alternative</w:t>
            </w:r>
          </w:p>
        </w:tc>
        <w:tc>
          <w:tcPr/>
          <w:p>
            <w:pPr>
              <w:pStyle w:val="Compact"/>
            </w:pPr>
            <w:r>
              <w:t xml:space="preserve">Why rejected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Raw telemetry on the platform</w:t>
            </w:r>
          </w:p>
        </w:tc>
        <w:tc>
          <w:tcPr/>
          <w:p>
            <w:pPr>
              <w:pStyle w:val="Compact"/>
            </w:pPr>
            <w:r>
              <w:t xml:space="preserve">Turns the trace into a time-series warehouse; privacy exposure; unmanageable 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Platform-side real-time alerting</w:t>
            </w:r>
          </w:p>
        </w:tc>
        <w:tc>
          <w:tcPr/>
          <w:p>
            <w:pPr>
              <w:pStyle w:val="Compact"/>
            </w:pPr>
            <w:r>
              <w:t xml:space="preserve">Adds a hard latency requirement and duplicates the participant’s control loop</w:t>
            </w:r>
          </w:p>
        </w:tc>
      </w:tr>
      <w:tr>
        <w:tc>
          <w:tcPr/>
          <w:p>
            <w:pPr>
              <w:pStyle w:val="Compact"/>
            </w:pPr>
            <w:r>
              <w:t xml:space="preserve">ML in the write path</w:t>
            </w:r>
          </w:p>
        </w:tc>
        <w:tc>
          <w:tcPr/>
          <w:p>
            <w:pPr>
              <w:pStyle w:val="Compact"/>
            </w:pPr>
            <w:r>
              <w:t xml:space="preserve">Makes a model an adjudicator; training data belongs in the regulator’s domain</w:t>
            </w:r>
          </w:p>
        </w:tc>
      </w:tr>
    </w:tbl>
    <w:bookmarkEnd w:id="16"/>
    <w:bookmarkEnd w:id="17"/>
    <w:bookmarkStart w:id="49" w:name="architecture-views"/>
    <w:p>
      <w:pPr>
        <w:pStyle w:val="Heading1"/>
      </w:pPr>
      <w:r>
        <w:t xml:space="preserve">3. Architecture views</w:t>
      </w:r>
    </w:p>
    <w:p>
      <w:pPr>
        <w:pStyle w:val="FirstParagraph"/>
      </w:pPr>
      <w:r>
        <w:t xml:space="preserve">Each view answers one question and narrows the previous one: the context fixes the boundary, the container view</w:t>
      </w:r>
      <w:r>
        <w:t xml:space="preserve"> </w:t>
      </w:r>
      <w:r>
        <w:t xml:space="preserve">opens it, the component views open the two containers that carry the guarantees, and the code views show the</w:t>
      </w:r>
      <w:r>
        <w:t xml:space="preserve"> </w:t>
      </w:r>
      <w:r>
        <w:t xml:space="preserve">types that make those guarantees enforceable. Section 4 explains why; this section states what the structure is.</w:t>
      </w:r>
    </w:p>
    <w:bookmarkStart w:id="18" w:name="Xf993ba9151d3c56fb880a9d1eb8b658f0ef7979"/>
    <w:p>
      <w:pPr>
        <w:pStyle w:val="Heading2"/>
      </w:pPr>
      <w:r>
        <w:t xml:space="preserve">3.1 The view set — the roadmap for rubric 3.1–3.10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View</w:t>
            </w:r>
          </w:p>
        </w:tc>
        <w:tc>
          <w:tcPr/>
          <w:p>
            <w:pPr>
              <w:pStyle w:val="Compact"/>
            </w:pPr>
            <w:r>
              <w:t xml:space="preserve">Scope</w:t>
            </w:r>
          </w:p>
        </w:tc>
        <w:tc>
          <w:tcPr/>
          <w:p>
            <w:pPr>
              <w:pStyle w:val="Compact"/>
            </w:pPr>
            <w:r>
              <w:t xml:space="preserve">Figures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Context</w:t>
            </w:r>
          </w:p>
        </w:tc>
        <w:tc>
          <w:tcPr/>
          <w:p>
            <w:pPr>
              <w:pStyle w:val="Compact"/>
            </w:pPr>
            <w:r>
              <w:t xml:space="preserve">The system, its users and external systems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Containers</w:t>
            </w:r>
          </w:p>
        </w:tc>
        <w:tc>
          <w:tcPr/>
          <w:p>
            <w:pPr>
              <w:pStyle w:val="Compact"/>
            </w:pPr>
            <w:r>
              <w:t xml:space="preserve">Runnable units, responsibilities, interactions</w:t>
            </w:r>
          </w:p>
        </w:tc>
        <w:tc>
          <w:tcPr/>
          <w:p>
            <w:pPr>
              <w:pStyle w:val="Compac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Components</w:t>
            </w:r>
          </w:p>
        </w:tc>
        <w:tc>
          <w:tcPr/>
          <w:p>
            <w:pPr>
              <w:pStyle w:val="Compact"/>
            </w:pPr>
            <w:r>
              <w:t xml:space="preserve">Traceability Core, the relayer, the analytics workspace</w:t>
            </w:r>
          </w:p>
        </w:tc>
        <w:tc>
          <w:tcPr/>
          <w:p>
            <w:pPr>
              <w:pStyle w:val="Compact"/>
            </w:pPr>
            <w:r>
              <w:t xml:space="preserve">4, 5, 6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Major classes, one interface, three enumerations</w:t>
            </w:r>
          </w:p>
        </w:tc>
        <w:tc>
          <w:tcPr/>
          <w:p>
            <w:pPr>
              <w:pStyle w:val="Compact"/>
            </w:pPr>
            <w:r>
              <w:t xml:space="preserve">7, 8</w:t>
            </w:r>
          </w:p>
        </w:tc>
      </w:tr>
    </w:tbl>
    <w:p>
      <w:pPr>
        <w:pStyle w:val="BodyText"/>
      </w:pPr>
      <w:r>
        <w:t xml:space="preserve">Names are stable across views; relationships carry intent, and transport strings appear only where the protocol</w:t>
      </w:r>
      <w:r>
        <w:t xml:space="preserve"> </w:t>
      </w:r>
      <w:r>
        <w:t xml:space="preserve">is architecturally relevant. Diagrams are generated from versioned source, so report and repository cannot drift.</w:t>
      </w:r>
    </w:p>
    <w:bookmarkEnd w:id="18"/>
    <w:bookmarkStart w:id="22" w:name="system-context-rubric-3.1"/>
    <w:p>
      <w:pPr>
        <w:pStyle w:val="Heading2"/>
      </w:pPr>
      <w:r>
        <w:t xml:space="preserve">3.2 System context — rubric 3.1</w:t>
      </w:r>
    </w:p>
    <w:p>
      <w:pPr>
        <w:pStyle w:val="CaptionedFigure"/>
      </w:pPr>
      <w:r>
        <w:drawing>
          <wp:inline>
            <wp:extent cx="5334000" cy="2451034"/>
            <wp:effectExtent b="0" l="0" r="0" t="0"/>
            <wp:docPr descr="Figure 1 — System context" title="" id="20" name="Picture"/>
            <a:graphic>
              <a:graphicData uri="http://schemas.openxmlformats.org/drawingml/2006/picture">
                <pic:pic>
                  <pic:nvPicPr>
                    <pic:cNvPr descr="../docs/diagrams/preview/c4-context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510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 — System context</w:t>
      </w:r>
    </w:p>
    <w:p>
      <w:pPr>
        <w:pStyle w:val="BodyText"/>
      </w:pPr>
      <w:r>
        <w:rPr>
          <w:i/>
          <w:iCs/>
        </w:rPr>
        <w:t xml:space="preserve">Figure 1 — Two peer subsystems, four groups of users, eight external systems.</w:t>
      </w:r>
    </w:p>
    <w:p>
      <w:pPr>
        <w:pStyle w:val="BodyText"/>
      </w:pPr>
      <w:r>
        <w:rPr>
          <w:b/>
          <w:bCs/>
        </w:rPr>
        <w:t xml:space="preserve">One boundary, two peer subsystems.</w:t>
      </w:r>
      <w:r>
        <w:t xml:space="preserve"> </w:t>
      </w:r>
      <w:r>
        <w:rPr>
          <w:rStyle w:val="VerbatimChar"/>
        </w:rPr>
        <w:t xml:space="preserve">Traceability Core</w:t>
      </w:r>
      <w:r>
        <w:t xml:space="preserve"> </w:t>
      </w:r>
      <w:r>
        <w:t xml:space="preserve">holds the shared record;</w:t>
      </w:r>
      <w:r>
        <w:t xml:space="preserve"> </w:t>
      </w:r>
      <w:r>
        <w:rPr>
          <w:rStyle w:val="VerbatimChar"/>
        </w:rPr>
        <w:t xml:space="preserve">Regulatory Analytics</w:t>
      </w:r>
      <w:r>
        <w:t xml:space="preserve"> </w:t>
      </w:r>
      <w:r>
        <w:t xml:space="preserve">holds</w:t>
      </w:r>
      <w:r>
        <w:t xml:space="preserve"> </w:t>
      </w:r>
      <w:r>
        <w:t xml:space="preserve">the regulator’s rule domain. They are peers: the platform cannot author rules, and analytics cannot rewrite the</w:t>
      </w:r>
      <w:r>
        <w:t xml:space="preserve"> </w:t>
      </w:r>
      <w:r>
        <w:t xml:space="preserve">trace. The archive, the consortium KMS, the chain and the regulator’s case systems sit outside, because their</w:t>
      </w:r>
      <w:r>
        <w:t xml:space="preserve"> </w:t>
      </w:r>
      <w:r>
        <w:t xml:space="preserve">value comes from not being in the operator’s account.</w:t>
      </w:r>
    </w:p>
    <w:p>
      <w:pPr>
        <w:pStyle w:val="BodyText"/>
      </w:pPr>
      <w:r>
        <w:rPr>
          <w:b/>
          <w:bCs/>
        </w:rPr>
        <w:t xml:space="preserve">Devices attach to participants, not to the platform.</w:t>
      </w:r>
      <w:r>
        <w:t xml:space="preserve"> </w:t>
      </w:r>
      <w:r>
        <w:t xml:space="preserve">Sensors feed the participant’s own systems, which</w:t>
      </w:r>
      <w:r>
        <w:t xml:space="preserve"> </w:t>
      </w:r>
      <w:r>
        <w:t xml:space="preserve">publish EPCIS events. A device is a delegation of an organisation — allowed devices, locations and event types —</w:t>
      </w:r>
      <w:r>
        <w:t xml:space="preserve"> </w:t>
      </w:r>
      <w:r>
        <w:t xml:space="preserve">not a platform user. What enters the shared record is a profile-declared summary (min/max/mean, excursion</w:t>
      </w:r>
      <w:r>
        <w:t xml:space="preserve"> </w:t>
      </w:r>
      <w:r>
        <w:t xml:space="preserve">duration, alarm, with units and a time window) carried as an ordinary extension field; raw readings stay with</w:t>
      </w:r>
      <w:r>
        <w:t xml:space="preserve"> </w:t>
      </w:r>
      <w:r>
        <w:t xml:space="preserve">the participant behind a reference and a salted commitment. Collection and alarming are therefore local,</w:t>
      </w:r>
      <w:r>
        <w:t xml:space="preserve"> </w:t>
      </w:r>
      <w:r>
        <w:t xml:space="preserve">availability is the platform’s, and verifiability is the archive’s — one owner per tier (IoT-1…3, 4.B).</w:t>
      </w:r>
    </w:p>
    <w:p>
      <w:pPr>
        <w:pStyle w:val="BodyText"/>
      </w:pPr>
      <w:r>
        <w:rPr>
          <w:b/>
          <w:bCs/>
        </w:rPr>
        <w:t xml:space="preserve">Identity arrives on two lines.</w:t>
      </w:r>
      <w:r>
        <w:t xml:space="preserve"> </w:t>
      </w:r>
      <w:r>
        <w:t xml:space="preserve">Humans authenticate through an external identity provider; an organisation’s</w:t>
      </w:r>
      <w:r>
        <w:t xml:space="preserve"> </w:t>
      </w:r>
      <w:r>
        <w:t xml:space="preserve">legal identity is verified once against a business registry. Neither is issued by the platform, which is what</w:t>
      </w:r>
      <w:r>
        <w:t xml:space="preserve"> </w:t>
      </w:r>
      <w:r>
        <w:t xml:space="preserve">makes the organisation, not the person, the unit of accountability.</w:t>
      </w:r>
    </w:p>
    <w:bookmarkEnd w:id="22"/>
    <w:bookmarkStart w:id="29" w:name="containers-rubric-3.23.4"/>
    <w:p>
      <w:pPr>
        <w:pStyle w:val="Heading2"/>
      </w:pPr>
      <w:r>
        <w:t xml:space="preserve">3.3 Containers — rubric 3.2–3.4</w:t>
      </w:r>
    </w:p>
    <w:p>
      <w:pPr>
        <w:pStyle w:val="CaptionedFigure"/>
      </w:pPr>
      <w:r>
        <w:drawing>
          <wp:inline>
            <wp:extent cx="5334000" cy="6084093"/>
            <wp:effectExtent b="0" l="0" r="0" t="0"/>
            <wp:docPr descr="Figure 2 — Container view" title="" id="24" name="Picture"/>
            <a:graphic>
              <a:graphicData uri="http://schemas.openxmlformats.org/drawingml/2006/picture">
                <pic:pic>
                  <pic:nvPicPr>
                    <pic:cNvPr descr="../docs/diagrams/preview/core-container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84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2 — Container view</w:t>
      </w:r>
    </w:p>
    <w:p>
      <w:pPr>
        <w:pStyle w:val="BodyText"/>
      </w:pPr>
      <w:r>
        <w:rPr>
          <w:i/>
          <w:iCs/>
        </w:rPr>
        <w:t xml:space="preserve">Figure 2 — Containers of the platform control domain, and the external systems they depend 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Responsibility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Participant &amp; Regulator Portal</w:t>
            </w:r>
          </w:p>
        </w:tc>
        <w:tc>
          <w:tcPr/>
          <w:p>
            <w:pPr>
              <w:pStyle w:val="Compact"/>
            </w:pPr>
            <w:r>
              <w:t xml:space="preserve">Role-specific capture, handover confirmation, recall execution, scan-to-trace, insight views, evidence requests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Traceability Application</w:t>
            </w:r>
          </w:p>
        </w:tc>
        <w:tc>
          <w:tcPr/>
          <w:p>
            <w:pPr>
              <w:pStyle w:val="Compact"/>
            </w:pPr>
            <w:r>
              <w:t xml:space="preserve">Admission, the confirmation gate, evidence graph, the single read entrance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Ingestion &amp; Projection Workers</w:t>
            </w:r>
          </w:p>
        </w:tc>
        <w:tc>
          <w:tcPr/>
          <w:p>
            <w:pPr>
              <w:pStyle w:val="Compact"/>
            </w:pPr>
            <w:r>
              <w:t xml:space="preserve">Archive writes, projection rebuild, exports, retention, advisory intake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Batch Builder &amp; Relayer</w:t>
            </w:r>
          </w:p>
        </w:tc>
        <w:tc>
          <w:tcPr/>
          <w:p>
            <w:pPr>
              <w:pStyle w:val="Compact"/>
            </w:pPr>
            <w:r>
              <w:t xml:space="preserve">Leaf allocation, Merkle batching, root submission, inclusion proofs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PostgreSQL</w:t>
            </w:r>
          </w:p>
        </w:tc>
        <w:tc>
          <w:tcPr/>
          <w:p>
            <w:pPr>
              <w:pStyle w:val="Compact"/>
            </w:pPr>
            <w:r>
              <w:t xml:space="preserve">Submission state, registries, outbox, the plaintext query copy, projections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Snapshot Delivery</w:t>
            </w:r>
          </w:p>
        </w:tc>
        <w:tc>
          <w:tcPr/>
          <w:p>
            <w:pPr>
              <w:pStyle w:val="Compact"/>
            </w:pPr>
            <w:r>
              <w:t xml:space="preserve">Versioned public snapshots at the edge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Workspace</w:t>
            </w:r>
          </w:p>
        </w:tc>
        <w:tc>
          <w:tcPr/>
          <w:p>
            <w:pPr>
              <w:pStyle w:val="Compact"/>
            </w:pPr>
            <w:r>
              <w:t xml:space="preserve">Regulator’s rules, screening, private findings, signed advisories</w:t>
            </w:r>
          </w:p>
        </w:tc>
      </w:tr>
    </w:tbl>
    <w:p>
      <w:pPr>
        <w:pStyle w:val="BodyText"/>
      </w:pPr>
      <w:r>
        <w:t xml:space="preserve">Two boundaries are easy to misread.</w:t>
      </w:r>
      <w:r>
        <w:t xml:space="preserve"> </w:t>
      </w:r>
      <w:r>
        <w:rPr>
          <w:b/>
          <w:bCs/>
        </w:rPr>
        <w:t xml:space="preserve">The database holds a plaintext copy of confirmed events</w:t>
      </w:r>
      <w:r>
        <w:t xml:space="preserve"> </w:t>
      </w:r>
      <w:r>
        <w:t xml:space="preserve">(</w:t>
      </w:r>
      <w:r>
        <w:rPr>
          <w:rStyle w:val="VerbatimChar"/>
        </w:rPr>
        <w:t xml:space="preserve">QueryStore</w:t>
      </w:r>
      <w:r>
        <w:t xml:space="preserve">),</w:t>
      </w:r>
      <w:r>
        <w:t xml:space="preserve"> </w:t>
      </w:r>
      <w:r>
        <w:t xml:space="preserve">not only indexes: online lineage cannot afford to decrypt on every hop. That copy is rebuildable, excluded from</w:t>
      </w:r>
      <w:r>
        <w:t xml:space="preserve"> </w:t>
      </w:r>
      <w:r>
        <w:t xml:space="preserve">the recovery guarantee and read-audited.</w:t>
      </w:r>
      <w:r>
        <w:t xml:space="preserve"> </w:t>
      </w:r>
      <w:r>
        <w:rPr>
          <w:b/>
          <w:bCs/>
        </w:rPr>
        <w:t xml:space="preserve">The Analytics Workspace sits inside the system boundary but outside</w:t>
      </w:r>
      <w:r>
        <w:rPr>
          <w:b/>
          <w:bCs/>
        </w:rPr>
        <w:t xml:space="preserve"> </w:t>
      </w:r>
      <w:r>
        <w:rPr>
          <w:b/>
          <w:bCs/>
        </w:rPr>
        <w:t xml:space="preserve">the platform control domain</w:t>
      </w:r>
      <w:r>
        <w:t xml:space="preserve">, in the regulator’s own account; only signed messages cross into it.</w:t>
      </w:r>
    </w:p>
    <w:p>
      <w:pPr>
        <w:pStyle w:val="BodyText"/>
      </w:pPr>
      <w:r>
        <w:t xml:space="preserve">Four flows cross the boundary.</w:t>
      </w:r>
      <w:r>
        <w:t xml:space="preserve"> </w:t>
      </w:r>
      <w:r>
        <w:rPr>
          <w:i/>
          <w:iCs/>
        </w:rPr>
        <w:t xml:space="preserve">Capture</w:t>
      </w:r>
      <w:r>
        <w:t xml:space="preserve">: a signed event reaches the application, which validates it and persists</w:t>
      </w:r>
      <w:r>
        <w:t xml:space="preserve"> </w:t>
      </w:r>
      <w:r>
        <w:t xml:space="preserve">state with an archive intent in one transaction; workers obtain a wrapped key, write the envelope and record the</w:t>
      </w:r>
      <w:r>
        <w:t xml:space="preserve"> </w:t>
      </w:r>
      <w:r>
        <w:t xml:space="preserve">acknowledgement; the relayer batches the leaf.</w:t>
      </w:r>
      <w:r>
        <w:t xml:space="preserve"> </w:t>
      </w:r>
      <w:r>
        <w:rPr>
          <w:i/>
          <w:iCs/>
        </w:rPr>
        <w:t xml:space="preserve">Read</w:t>
      </w:r>
      <w:r>
        <w:t xml:space="preserve">: portal queries go through the query interface and the</w:t>
      </w:r>
      <w:r>
        <w:t xml:space="preserve"> </w:t>
      </w:r>
      <w:r>
        <w:t xml:space="preserve">plaintext copy only.</w:t>
      </w:r>
      <w:r>
        <w:t xml:space="preserve"> </w:t>
      </w:r>
      <w:r>
        <w:rPr>
          <w:i/>
          <w:iCs/>
        </w:rPr>
        <w:t xml:space="preserve">Public delivery</w:t>
      </w:r>
      <w:r>
        <w:t xml:space="preserve">: workers publish versioned snapshots and the CDN serves them, so consumers</w:t>
      </w:r>
      <w:r>
        <w:t xml:space="preserve"> </w:t>
      </w:r>
      <w:r>
        <w:t xml:space="preserve">never reach the application.</w:t>
      </w:r>
      <w:r>
        <w:t xml:space="preserve"> </w:t>
      </w:r>
      <w:r>
        <w:rPr>
          <w:i/>
          <w:iCs/>
        </w:rPr>
        <w:t xml:space="preserve">Cross-tenant</w:t>
      </w:r>
      <w:r>
        <w:t xml:space="preserve">: the application exports a minimised dataset and receives signed</w:t>
      </w:r>
      <w:r>
        <w:t xml:space="preserve"> </w:t>
      </w:r>
      <w:r>
        <w:t xml:space="preserve">advisories and rule manifests.</w:t>
      </w:r>
    </w:p>
    <w:p>
      <w:pPr>
        <w:pStyle w:val="CaptionedFigure"/>
      </w:pPr>
      <w:r>
        <w:drawing>
          <wp:inline>
            <wp:extent cx="5334000" cy="4410501"/>
            <wp:effectExtent b="0" l="0" r="0" t="0"/>
            <wp:docPr descr="Figure 3 — Analytics containers" title="" id="27" name="Picture"/>
            <a:graphic>
              <a:graphicData uri="http://schemas.openxmlformats.org/drawingml/2006/picture">
                <pic:pic>
                  <pic:nvPicPr>
                    <pic:cNvPr descr="../docs/diagrams/preview/analytics-container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4105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3 — Analytics containers</w:t>
      </w:r>
    </w:p>
    <w:p>
      <w:pPr>
        <w:pStyle w:val="BodyText"/>
      </w:pPr>
      <w:r>
        <w:rPr>
          <w:i/>
          <w:iCs/>
        </w:rPr>
        <w:t xml:space="preserve">Figure 3 — The workspace, its rule registry and its finding store.</w:t>
      </w:r>
    </w:p>
    <w:p>
      <w:pPr>
        <w:pStyle w:val="BodyText"/>
      </w:pPr>
      <w:r>
        <w:t xml:space="preserve">The separation is the point of this view: the platform can deploy artefacts into the regulator’s account but</w:t>
      </w:r>
      <w:r>
        <w:t xml:space="preserve"> </w:t>
      </w:r>
      <w:r>
        <w:t xml:space="preserve">cannot read from or operate it, so</w:t>
      </w:r>
      <w:r>
        <w:t xml:space="preserve"> </w:t>
      </w:r>
      <w:r>
        <w:t xml:space="preserve">“the platform cannot see the rules or the findings”</w:t>
      </w:r>
      <w:r>
        <w:t xml:space="preserve"> </w:t>
      </w:r>
      <w:r>
        <w:t xml:space="preserve">is an IAM fact rather</w:t>
      </w:r>
      <w:r>
        <w:t xml:space="preserve"> </w:t>
      </w:r>
      <w:r>
        <w:t xml:space="preserve">than a promise. That contract — what dataset may leave, what may return — is why the subsystem is modelled to</w:t>
      </w:r>
      <w:r>
        <w:t xml:space="preserve"> </w:t>
      </w:r>
      <w:r>
        <w:t xml:space="preserve">component and code level instead of being drawn as a black box.</w:t>
      </w:r>
    </w:p>
    <w:bookmarkEnd w:id="29"/>
    <w:bookmarkStart w:id="39" w:name="components-rubric-3.53.7"/>
    <w:p>
      <w:pPr>
        <w:pStyle w:val="Heading2"/>
      </w:pPr>
      <w:r>
        <w:t xml:space="preserve">3.4 Components — rubric 3.5–3.7</w:t>
      </w:r>
    </w:p>
    <w:p>
      <w:pPr>
        <w:pStyle w:val="CaptionedFigure"/>
      </w:pPr>
      <w:r>
        <w:drawing>
          <wp:inline>
            <wp:extent cx="5334000" cy="6635407"/>
            <wp:effectExtent b="0" l="0" r="0" t="0"/>
            <wp:docPr descr="Figure 4 — Traceability Core" title="" id="31" name="Picture"/>
            <a:graphic>
              <a:graphicData uri="http://schemas.openxmlformats.org/drawingml/2006/picture">
                <pic:pic>
                  <pic:nvPicPr>
                    <pic:cNvPr descr="../docs/diagrams/preview/core-component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354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4 — Traceability Core</w:t>
      </w:r>
    </w:p>
    <w:p>
      <w:pPr>
        <w:pStyle w:val="BodyText"/>
      </w:pPr>
      <w:r>
        <w:rPr>
          <w:i/>
          <w:iCs/>
        </w:rPr>
        <w:t xml:space="preserve">Figure 4 — Components of Traceability Core, with the modules that consume its read interface.</w:t>
      </w:r>
    </w:p>
    <w:p>
      <w:pPr>
        <w:pStyle w:val="BodyText"/>
      </w:pPr>
      <w:r>
        <w:t xml:space="preserve">The core has one write path and one read entrance. Nine components:</w:t>
      </w:r>
      <w:r>
        <w:t xml:space="preserve"> </w:t>
      </w:r>
      <w:r>
        <w:rPr>
          <w:rStyle w:val="VerbatimChar"/>
        </w:rPr>
        <w:t xml:space="preserve">Capture API</w:t>
      </w:r>
      <w:r>
        <w:t xml:space="preserve">,</w:t>
      </w:r>
      <w:r>
        <w:t xml:space="preserve"> </w:t>
      </w:r>
      <w:r>
        <w:rPr>
          <w:rStyle w:val="VerbatimChar"/>
        </w:rPr>
        <w:t xml:space="preserve">Idempotency &amp; Outbox Coordinator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Canonicalisation &amp; Profile Validator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Signature &amp; Authority Validator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Submission State Machine</w:t>
      </w:r>
      <w:r>
        <w:t xml:space="preserve">,</w:t>
      </w:r>
      <w:r>
        <w:t xml:space="preserve"> </w:t>
      </w:r>
      <w:r>
        <w:rPr>
          <w:rStyle w:val="VerbatimChar"/>
        </w:rPr>
        <w:t xml:space="preserve">Archive &amp; Anchor Orchestrator</w:t>
      </w:r>
      <w:r>
        <w:t xml:space="preserve">,</w:t>
      </w:r>
      <w:r>
        <w:t xml:space="preserve"> </w:t>
      </w:r>
      <w:r>
        <w:rPr>
          <w:rStyle w:val="VerbatimChar"/>
        </w:rPr>
        <w:t xml:space="preserve">Evidence Graph Builder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Confirmed Event Store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QueryPort</w:t>
      </w:r>
      <w:r>
        <w:t xml:space="preserve">.</w:t>
      </w:r>
      <w:r>
        <w:t xml:space="preserve"> </w:t>
      </w:r>
      <w:r>
        <w:t xml:space="preserve">Three properties carry the argument: the orchestrator owns the confirmation gate and records the archive intent,</w:t>
      </w:r>
      <w:r>
        <w:t xml:space="preserve"> </w:t>
      </w:r>
      <w:r>
        <w:t xml:space="preserve">while the worker role of the same image executes it;</w:t>
      </w:r>
      <w:r>
        <w:t xml:space="preserve"> </w:t>
      </w:r>
      <w:r>
        <w:rPr>
          <w:rStyle w:val="VerbatimChar"/>
        </w:rPr>
        <w:t xml:space="preserve">QueryPort</w:t>
      </w:r>
      <w:r>
        <w:t xml:space="preserve"> </w:t>
      </w:r>
      <w:r>
        <w:t xml:space="preserve">exposes two graph-shaped operations,</w:t>
      </w:r>
      <w:r>
        <w:t xml:space="preserve"> </w:t>
      </w:r>
      <w:r>
        <w:rPr>
          <w:rStyle w:val="VerbatimChar"/>
        </w:rPr>
        <w:t xml:space="preserve">edges()</w:t>
      </w:r>
      <w:r>
        <w:t xml:space="preserve"> </w:t>
      </w:r>
      <w:r>
        <w:t xml:space="preserve">and a bounded</w:t>
      </w:r>
      <w:r>
        <w:t xml:space="preserve"> </w:t>
      </w:r>
      <w:r>
        <w:rPr>
          <w:rStyle w:val="VerbatimChar"/>
        </w:rPr>
        <w:t xml:space="preserve">traverse()</w:t>
      </w:r>
      <w:r>
        <w:t xml:space="preserve">, and no operation that returns a business status; the store is append-only, so a</w:t>
      </w:r>
      <w:r>
        <w:t xml:space="preserve"> </w:t>
      </w:r>
      <w:r>
        <w:t xml:space="preserve">correction is a new event.</w:t>
      </w:r>
    </w:p>
    <w:p>
      <w:pPr>
        <w:pStyle w:val="CaptionedFigure"/>
      </w:pPr>
      <w:r>
        <w:drawing>
          <wp:inline>
            <wp:extent cx="5334000" cy="3604546"/>
            <wp:effectExtent b="0" l="0" r="0" t="0"/>
            <wp:docPr descr="Figure 5 — Relayer components" title="" id="34" name="Picture"/>
            <a:graphic>
              <a:graphicData uri="http://schemas.openxmlformats.org/drawingml/2006/picture">
                <pic:pic>
                  <pic:nvPicPr>
                    <pic:cNvPr descr="../docs/diagrams/preview/relayer-component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045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5 — Relayer components</w:t>
      </w:r>
    </w:p>
    <w:p>
      <w:pPr>
        <w:pStyle w:val="BodyText"/>
      </w:pPr>
      <w:r>
        <w:rPr>
          <w:i/>
          <w:iCs/>
        </w:rPr>
        <w:t xml:space="preserve">Figure 5 — Components of the relayer, the only container that touches a chain.</w:t>
      </w:r>
    </w:p>
    <w:p>
      <w:pPr>
        <w:pStyle w:val="BodyText"/>
      </w:pPr>
      <w:r>
        <w:t xml:space="preserve">The relayer is drawn separately because it is the only container with a credential that can spend money and</w:t>
      </w:r>
      <w:r>
        <w:t xml:space="preserve"> </w:t>
      </w:r>
      <w:r>
        <w:t xml:space="preserve">write to a public network. Six of its seven components need no private key; only</w:t>
      </w:r>
      <w:r>
        <w:t xml:space="preserve"> </w:t>
      </w:r>
      <w:r>
        <w:rPr>
          <w:rStyle w:val="VerbatimChar"/>
        </w:rPr>
        <w:t xml:space="preserve">Chain Submitter</w:t>
      </w:r>
      <w:r>
        <w:t xml:space="preserve"> </w:t>
      </w:r>
      <w:r>
        <w:t xml:space="preserve">does. Leaf</w:t>
      </w:r>
      <w:r>
        <w:t xml:space="preserve"> </w:t>
      </w:r>
      <w:r>
        <w:t xml:space="preserve">allocation is deterministic, so a retry cannot create a second leaf for the same event, and the manifest writer</w:t>
      </w:r>
      <w:r>
        <w:t xml:space="preserve"> </w:t>
      </w:r>
      <w:r>
        <w:t xml:space="preserve">places the batch manifest beside the payload, which is what lets recovery reconstruct which batch held an</w:t>
      </w:r>
      <w:r>
        <w:t xml:space="preserve"> </w:t>
      </w:r>
      <w:r>
        <w:t xml:space="preserve">event without the platform database.</w:t>
      </w:r>
    </w:p>
    <w:p>
      <w:pPr>
        <w:pStyle w:val="CaptionedFigure"/>
      </w:pPr>
      <w:r>
        <w:drawing>
          <wp:inline>
            <wp:extent cx="5334000" cy="4052582"/>
            <wp:effectExtent b="0" l="0" r="0" t="0"/>
            <wp:docPr descr="Figure 6 — Analytics Workspace components" title="" id="37" name="Picture"/>
            <a:graphic>
              <a:graphicData uri="http://schemas.openxmlformats.org/drawingml/2006/picture">
                <pic:pic>
                  <pic:nvPicPr>
                    <pic:cNvPr descr="../docs/diagrams/preview/analytics-componen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525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6 — Analytics Workspace components</w:t>
      </w:r>
    </w:p>
    <w:p>
      <w:pPr>
        <w:pStyle w:val="BodyText"/>
      </w:pPr>
      <w:r>
        <w:rPr>
          <w:i/>
          <w:iCs/>
        </w:rPr>
        <w:t xml:space="preserve">Figure 6 — Four components, inside the regulator’s account.</w:t>
      </w:r>
    </w:p>
    <w:p>
      <w:pPr>
        <w:pStyle w:val="BodyText"/>
      </w:pPr>
      <w:r>
        <w:rPr>
          <w:rStyle w:val="VerbatimChar"/>
        </w:rPr>
        <w:t xml:space="preserve">Dataset Intake</w:t>
      </w:r>
      <w:r>
        <w:t xml:space="preserve"> </w:t>
      </w:r>
      <w:r>
        <w:t xml:space="preserve">is the only entrance;</w:t>
      </w:r>
      <w:r>
        <w:t xml:space="preserve"> </w:t>
      </w:r>
      <w:r>
        <w:rPr>
          <w:rStyle w:val="VerbatimChar"/>
        </w:rPr>
        <w:t xml:space="preserve">Rule Loader &amp; Validator</w:t>
      </w:r>
      <w:r>
        <w:t xml:space="preserve"> </w:t>
      </w:r>
      <w:r>
        <w:t xml:space="preserve">verifies the regulator’s signature and the</w:t>
      </w:r>
      <w:r>
        <w:t xml:space="preserve"> </w:t>
      </w:r>
      <w:r>
        <w:t xml:space="preserve">rule’s applicability, not its content;</w:t>
      </w:r>
      <w:r>
        <w:t xml:space="preserve"> </w:t>
      </w:r>
      <w:r>
        <w:rPr>
          <w:rStyle w:val="VerbatimChar"/>
        </w:rPr>
        <w:t xml:space="preserve">Screening Runner</w:t>
      </w:r>
      <w:r>
        <w:t xml:space="preserve"> </w:t>
      </w:r>
      <w:r>
        <w:t xml:space="preserve">runs deterministic rules over one snapshot at one</w:t>
      </w:r>
      <w:r>
        <w:t xml:space="preserve"> </w:t>
      </w:r>
      <w:r>
        <w:t xml:space="preserve">watermark;</w:t>
      </w:r>
      <w:r>
        <w:t xml:space="preserve"> </w:t>
      </w:r>
      <w:r>
        <w:rPr>
          <w:rStyle w:val="VerbatimChar"/>
        </w:rPr>
        <w:t xml:space="preserve">Advisory Publisher</w:t>
      </w:r>
      <w:r>
        <w:t xml:space="preserve"> </w:t>
      </w:r>
      <w:r>
        <w:t xml:space="preserve">applies the disclosure policy and signs. There is no model loader and no review</w:t>
      </w:r>
      <w:r>
        <w:t xml:space="preserve"> </w:t>
      </w:r>
      <w:r>
        <w:t xml:space="preserve">queue in the first release, because it runs deterministic rules only.</w:t>
      </w:r>
    </w:p>
    <w:bookmarkEnd w:id="39"/>
    <w:bookmarkStart w:id="46" w:name="code-rubric-3.83.9"/>
    <w:p>
      <w:pPr>
        <w:pStyle w:val="Heading2"/>
      </w:pPr>
      <w:r>
        <w:t xml:space="preserve">3.5 Code — rubric 3.8–3.9</w:t>
      </w:r>
    </w:p>
    <w:p>
      <w:pPr>
        <w:pStyle w:val="CaptionedFigure"/>
      </w:pPr>
      <w:r>
        <w:drawing>
          <wp:inline>
            <wp:extent cx="5334000" cy="3005986"/>
            <wp:effectExtent b="0" l="0" r="0" t="0"/>
            <wp:docPr descr="Figure 7 — Core code view" title="" id="41" name="Picture"/>
            <a:graphic>
              <a:graphicData uri="http://schemas.openxmlformats.org/drawingml/2006/picture">
                <pic:pic>
                  <pic:nvPicPr>
                    <pic:cNvPr descr="../docs/diagrams/preview/core-code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059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 — Core code view</w:t>
      </w:r>
    </w:p>
    <w:p>
      <w:pPr>
        <w:pStyle w:val="BodyText"/>
      </w:pPr>
      <w:r>
        <w:rPr>
          <w:i/>
          <w:iCs/>
        </w:rPr>
        <w:t xml:space="preserve">Figure 7 — Thirteen classes, one interface, three enumerations.</w:t>
      </w:r>
    </w:p>
    <w:p>
      <w:pPr>
        <w:pStyle w:val="BodyText"/>
      </w:pPr>
      <w:r>
        <w:t xml:space="preserve">Four properties are visible in the type model.</w:t>
      </w:r>
      <w:r>
        <w:t xml:space="preserve"> </w:t>
      </w:r>
      <w:r>
        <w:rPr>
          <w:rStyle w:val="VerbatimChar"/>
        </w:rPr>
        <w:t xml:space="preserve">SignatureEnvelope</w:t>
      </w:r>
      <w:r>
        <w:t xml:space="preserve"> </w:t>
      </w:r>
      <w:r>
        <w:t xml:space="preserve">has no natural-person field, so attribution</w:t>
      </w:r>
      <w:r>
        <w:t xml:space="preserve"> </w:t>
      </w:r>
      <w:r>
        <w:t xml:space="preserve">cannot acquire an employee reference.</w:t>
      </w:r>
      <w:r>
        <w:t xml:space="preserve"> </w:t>
      </w:r>
      <w:r>
        <w:rPr>
          <w:rStyle w:val="VerbatimChar"/>
        </w:rPr>
        <w:t xml:space="preserve">AcceptanceReceipt</w:t>
      </w:r>
      <w:r>
        <w:t xml:space="preserve"> </w:t>
      </w:r>
      <w:r>
        <w:t xml:space="preserve">binds the</w:t>
      </w:r>
      <w:r>
        <w:t xml:space="preserve"> </w:t>
      </w:r>
      <w:r>
        <w:rPr>
          <w:rStyle w:val="VerbatimChar"/>
        </w:rPr>
        <w:t xml:space="preserve">ArchiveAck</w:t>
      </w:r>
      <w:r>
        <w:t xml:space="preserve"> </w:t>
      </w:r>
      <w:r>
        <w:t xml:space="preserve">digest, so a receipt can only</w:t>
      </w:r>
      <w:r>
        <w:t xml:space="preserve"> </w:t>
      </w:r>
      <w:r>
        <w:t xml:space="preserve">exist once an outside holder has confirmed persistence.</w:t>
      </w:r>
      <w:r>
        <w:t xml:space="preserve"> </w:t>
      </w:r>
      <w:r>
        <w:rPr>
          <w:rStyle w:val="VerbatimChar"/>
        </w:rPr>
        <w:t xml:space="preserve">QueryPort</w:t>
      </w:r>
      <w:r>
        <w:t xml:space="preserve"> </w:t>
      </w:r>
      <w:r>
        <w:t xml:space="preserve">returns edge groups, never a business</w:t>
      </w:r>
      <w:r>
        <w:t xml:space="preserve"> </w:t>
      </w:r>
      <w:r>
        <w:t xml:space="preserve">status, so no caller bypasses scope, non-collapsing or watermark.</w:t>
      </w:r>
      <w:r>
        <w:t xml:space="preserve"> </w:t>
      </w:r>
      <w:r>
        <w:rPr>
          <w:rStyle w:val="VerbatimChar"/>
        </w:rPr>
        <w:t xml:space="preserve">ProtectedResourceRef</w:t>
      </w:r>
      <w:r>
        <w:t xml:space="preserve"> </w:t>
      </w:r>
      <w:r>
        <w:t xml:space="preserve">holds a salted</w:t>
      </w:r>
      <w:r>
        <w:t xml:space="preserve"> </w:t>
      </w:r>
      <w:r>
        <w:t xml:space="preserve">commitment and a storage mode, never content. The three enumerations are published values: once in use, a value</w:t>
      </w:r>
      <w:r>
        <w:t xml:space="preserve"> </w:t>
      </w:r>
      <w:r>
        <w:t xml:space="preserve">cannot be silently added or removed.</w:t>
      </w:r>
    </w:p>
    <w:p>
      <w:pPr>
        <w:pStyle w:val="CaptionedFigure"/>
      </w:pPr>
      <w:r>
        <w:drawing>
          <wp:inline>
            <wp:extent cx="5334000" cy="6045679"/>
            <wp:effectExtent b="0" l="0" r="0" t="0"/>
            <wp:docPr descr="Figure 8 — Analytics code view" title="" id="44" name="Picture"/>
            <a:graphic>
              <a:graphicData uri="http://schemas.openxmlformats.org/drawingml/2006/picture">
                <pic:pic>
                  <pic:nvPicPr>
                    <pic:cNvPr descr="../docs/diagrams/preview/analytics-code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0456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8 — Analytics code view</w:t>
      </w:r>
    </w:p>
    <w:p>
      <w:pPr>
        <w:pStyle w:val="BodyText"/>
      </w:pPr>
      <w:r>
        <w:rPr>
          <w:i/>
          <w:iCs/>
        </w:rPr>
        <w:t xml:space="preserve">Figure 8 — Eight classes.</w:t>
      </w:r>
      <w:r>
        <w:t xml:space="preserve"> </w:t>
      </w:r>
      <w:r>
        <w:rPr>
          <w:rStyle w:val="VerbatimChar"/>
        </w:rPr>
        <w:t xml:space="preserve">RuleVersionManifest</w:t>
      </w:r>
      <w:r>
        <w:t xml:space="preserve"> </w:t>
      </w:r>
      <w:r>
        <w:t xml:space="preserve">is the only artefact of the rule domain that leaves the</w:t>
      </w:r>
      <w:r>
        <w:t xml:space="preserve"> </w:t>
      </w:r>
      <w:r>
        <w:t xml:space="preserve">regulator’s account, and it carries only a digest of the rule body.</w:t>
      </w:r>
      <w:r>
        <w:t xml:space="preserve"> </w:t>
      </w:r>
      <w:r>
        <w:rPr>
          <w:rStyle w:val="VerbatimChar"/>
        </w:rPr>
        <w:t xml:space="preserve">Finding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AdvisoryFinding</w:t>
      </w:r>
      <w:r>
        <w:t xml:space="preserve"> </w:t>
      </w:r>
      <w:r>
        <w:t xml:space="preserve">share a</w:t>
      </w:r>
      <w:r>
        <w:t xml:space="preserve"> </w:t>
      </w:r>
      <w:r>
        <w:rPr>
          <w:rStyle w:val="VerbatimChar"/>
        </w:rPr>
        <w:t xml:space="preserve">findingId</w:t>
      </w:r>
      <w:r>
        <w:t xml:space="preserve">, so an advisory is a disclosure of an existing finding and a retraction is the same identifier</w:t>
      </w:r>
      <w:r>
        <w:t xml:space="preserve"> </w:t>
      </w:r>
      <w:r>
        <w:t xml:space="preserve">re-signed;</w:t>
      </w:r>
      <w:r>
        <w:t xml:space="preserve"> </w:t>
      </w:r>
      <w:r>
        <w:rPr>
          <w:rStyle w:val="VerbatimChar"/>
        </w:rPr>
        <w:t xml:space="preserve">DisclosurePolicy</w:t>
      </w:r>
      <w:r>
        <w:t xml:space="preserve"> </w:t>
      </w:r>
      <w:r>
        <w:t xml:space="preserve">constrains advisories, not findings.</w:t>
      </w:r>
    </w:p>
    <w:bookmarkEnd w:id="46"/>
    <w:bookmarkStart w:id="47" w:name="cross-view-consistency-rubric-3.10"/>
    <w:p>
      <w:pPr>
        <w:pStyle w:val="Heading2"/>
      </w:pPr>
      <w:r>
        <w:t xml:space="preserve">3.6 Cross-view consistency — rubric 3.10</w:t>
      </w:r>
    </w:p>
    <w:p>
      <w:pPr>
        <w:pStyle w:val="FirstParagraph"/>
      </w:pPr>
      <w:r>
        <w:t xml:space="preserve">Every class is produced by one component and belongs to one container of Figure 2; Appendix A.2 is the full</w:t>
      </w:r>
      <w:r>
        <w:t xml:space="preserve"> </w:t>
      </w:r>
      <w:r>
        <w:t xml:space="preserve">mapping. Consistency is maintained by four rules rather than by review: one name per element across views, one</w:t>
      </w:r>
      <w:r>
        <w:t xml:space="preserve"> </w:t>
      </w:r>
      <w:r>
        <w:t xml:space="preserve">owning component per class, one interface per trust boundary, and enumerations treated as published contracts</w:t>
      </w:r>
      <w:r>
        <w:t xml:space="preserve"> </w:t>
      </w:r>
      <w:r>
        <w:t xml:space="preserve">rather than implementation detail.</w:t>
      </w:r>
    </w:p>
    <w:bookmarkEnd w:id="47"/>
    <w:bookmarkStart w:id="48" w:name="X8bddeb82cd471adb5594c01afa12952de20df12"/>
    <w:p>
      <w:pPr>
        <w:pStyle w:val="Heading2"/>
      </w:pPr>
      <w:r>
        <w:t xml:space="preserve">3.7 What these views deliberately do not model — no rubric row</w:t>
      </w:r>
    </w:p>
    <w:p>
      <w:pPr>
        <w:pStyle w:val="FirstParagraph"/>
      </w:pPr>
      <w:r>
        <w:t xml:space="preserve">Screens, routes and component state of the portal (they change weekly); persistence mapping (§2.2 and §4.2); and</w:t>
      </w:r>
      <w:r>
        <w:t xml:space="preserve"> </w:t>
      </w:r>
      <w:r>
        <w:t xml:space="preserve">generated clients, except where they are the contract. Deployment and dynamic behaviour are Section 4, where</w:t>
      </w:r>
      <w:r>
        <w:t xml:space="preserve"> </w:t>
      </w:r>
      <w:r>
        <w:t xml:space="preserve">they are used as evidence.</w:t>
      </w:r>
    </w:p>
    <w:bookmarkEnd w:id="48"/>
    <w:bookmarkEnd w:id="49"/>
    <w:bookmarkStart w:id="71" w:name="Xd6a749d4dd93bec69eae2961a982defe2fcb5bb"/>
    <w:p>
      <w:pPr>
        <w:pStyle w:val="Heading1"/>
      </w:pPr>
      <w:r>
        <w:t xml:space="preserve">4. Architectural rationale and decision-making</w:t>
      </w:r>
    </w:p>
    <w:p>
      <w:pPr>
        <w:pStyle w:val="FirstParagraph"/>
      </w:pPr>
      <w:r>
        <w:t xml:space="preserve">Section 3 says what the structure is. This section records the decisions behind it: one sentence each, the</w:t>
      </w:r>
      <w:r>
        <w:t xml:space="preserve"> </w:t>
      </w:r>
      <w:r>
        <w:t xml:space="preserve">reason, and — only where a plausible alternative existed — what was rejected instead.</w:t>
      </w:r>
    </w:p>
    <w:bookmarkStart w:id="50" w:name="how-the-application-is-cut-rubric-4.14.5"/>
    <w:p>
      <w:pPr>
        <w:pStyle w:val="Heading2"/>
      </w:pPr>
      <w:r>
        <w:t xml:space="preserve">4.1 How the application is cut — rubric 4.1–4.5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deployable, split by role rather than by service.</w:t>
      </w:r>
      <w:r>
        <w:t xml:space="preserve"> </w:t>
      </w:r>
      <w:r>
        <w:t xml:space="preserve">A service per concern would add a broker, sagas and</w:t>
      </w:r>
      <w:r>
        <w:t xml:space="preserve"> </w:t>
      </w:r>
      <w:r>
        <w:t xml:space="preserve">an operational platform to serve 10 000 events/day.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write path, with an outbox.</w:t>
      </w:r>
      <w:r>
        <w:t xml:space="preserve"> </w:t>
      </w:r>
      <w:r>
        <w:t xml:space="preserve">State, idempotency claim and archive intent commit together, so a crash</w:t>
      </w:r>
      <w:r>
        <w:t xml:space="preserve"> </w:t>
      </w:r>
      <w:r>
        <w:t xml:space="preserve">resumes instead of duplicating; the alternative is two-phase commit across services.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read entrance.</w:t>
      </w:r>
      <w:r>
        <w:t xml:space="preserve"> </w:t>
      </w:r>
      <w:r>
        <w:t xml:space="preserve">Modules read only through</w:t>
      </w:r>
      <w:r>
        <w:t xml:space="preserve"> </w:t>
      </w:r>
      <w:r>
        <w:rPr>
          <w:rStyle w:val="VerbatimChar"/>
        </w:rPr>
        <w:t xml:space="preserve">QueryPort</w:t>
      </w:r>
      <w:r>
        <w:t xml:space="preserve">, so scope, non-collapsing and watermark cannot be</w:t>
      </w:r>
      <w:r>
        <w:t xml:space="preserve"> </w:t>
      </w:r>
      <w:r>
        <w:t xml:space="preserve">bypassed by a caller that reads tables directly.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Append-only canonical records, everything else derived.</w:t>
      </w:r>
      <w:r>
        <w:t xml:space="preserve"> </w:t>
      </w:r>
      <w:r>
        <w:t xml:space="preserve">Lineage, recall and public views rebuild from the</w:t>
      </w:r>
      <w:r>
        <w:t xml:space="preserve"> </w:t>
      </w:r>
      <w:r>
        <w:t xml:space="preserve">log, which is what makes the record verifiable and replayable.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Notarised anchoring.</w:t>
      </w:r>
      <w:r>
        <w:t xml:space="preserve"> </w:t>
      </w:r>
      <w:r>
        <w:t xml:space="preserve">A public Merkle root every thirty minutes proves existence to anyone; it does not</w:t>
      </w:r>
      <w:r>
        <w:t xml:space="preserve"> </w:t>
      </w:r>
      <w:r>
        <w:t xml:space="preserve">prove truth, and it is why a permissioned ledger was unnecessary.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A port at every external edge.</w:t>
      </w:r>
      <w:r>
        <w:t xml:space="preserve"> </w:t>
      </w:r>
      <w:r>
        <w:t xml:space="preserve">Archive, KMS, chain and identity change through adapters, and the leaf binds</w:t>
      </w:r>
      <w:r>
        <w:t xml:space="preserve"> </w:t>
      </w:r>
      <w:r>
        <w:t xml:space="preserve">digests rather than chain specifics — a direct SDK call would have locked both in.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Signature and authority are separate checks.</w:t>
      </w:r>
      <w:r>
        <w:t xml:space="preserve"> </w:t>
      </w:r>
      <w:r>
        <w:t xml:space="preserve">A verifier checks the signature; a resolver decides whether</w:t>
      </w:r>
      <w:r>
        <w:t xml:space="preserve"> </w:t>
      </w:r>
      <w:r>
        <w:t xml:space="preserve">that organisation was authorised</w:t>
      </w:r>
      <w:r>
        <w:t xml:space="preserve"> </w:t>
      </w:r>
      <w:r>
        <w:rPr>
          <w:i/>
          <w:iCs/>
        </w:rPr>
        <w:t xml:space="preserve">then</w:t>
      </w:r>
      <w:r>
        <w:t xml:space="preserve">, so rotation never invalidates history.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signer is isolated.</w:t>
      </w:r>
      <w:r>
        <w:t xml:space="preserve"> </w:t>
      </w:r>
      <w:r>
        <w:t xml:space="preserve">Only the relayer holds the chain wallet, and it cannot read payloads; embedding the</w:t>
      </w:r>
      <w:r>
        <w:t xml:space="preserve"> </w:t>
      </w:r>
      <w:r>
        <w:t xml:space="preserve">wallet in the application would enlarge the key-exposure surface.</w:t>
      </w:r>
    </w:p>
    <w:p>
      <w:pPr>
        <w:pStyle w:val="FirstParagraph"/>
      </w:pPr>
      <w:r>
        <w:t xml:space="preserve">Those decisions are tactics. The quality each serves (rubric 4.1) and the pattern it forms (rubric 4.2–4.3) are named</w:t>
      </w:r>
      <w:r>
        <w:t xml:space="preserve"> </w:t>
      </w:r>
      <w:r>
        <w:t xml:space="preserve">here, with the alternative the pattern replaced.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Pattern</w:t>
            </w:r>
          </w:p>
        </w:tc>
        <w:tc>
          <w:tcPr/>
          <w:p>
            <w:pPr>
              <w:pStyle w:val="Compact"/>
            </w:pPr>
            <w:r>
              <w:t xml:space="preserve">Where it appears</w:t>
            </w:r>
          </w:p>
        </w:tc>
        <w:tc>
          <w:tcPr/>
          <w:p>
            <w:pPr>
              <w:pStyle w:val="Compact"/>
            </w:pPr>
            <w:r>
              <w:t xml:space="preserve">Quality served</w:t>
            </w:r>
          </w:p>
        </w:tc>
        <w:tc>
          <w:tcPr/>
          <w:p>
            <w:pPr>
              <w:pStyle w:val="Compact"/>
            </w:pPr>
            <w:r>
              <w:t xml:space="preserve">Rejected instead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Modular monolith, layered inside</w:t>
            </w:r>
          </w:p>
        </w:tc>
        <w:tc>
          <w:tcPr/>
          <w:p>
            <w:pPr>
              <w:pStyle w:val="Compact"/>
            </w:pPr>
            <w:r>
              <w:t xml:space="preserve">The one deployable</w:t>
            </w:r>
          </w:p>
        </w:tc>
        <w:tc>
          <w:tcPr/>
          <w:p>
            <w:pPr>
              <w:pStyle w:val="Compact"/>
            </w:pPr>
            <w:r>
              <w:t xml:space="preserve">Operability (SQ-10), modifiability</w:t>
            </w:r>
          </w:p>
        </w:tc>
        <w:tc>
          <w:tcPr/>
          <w:p>
            <w:pPr>
              <w:pStyle w:val="Compact"/>
            </w:pPr>
            <w:r>
              <w:t xml:space="preserve">Services: broker, sagas, platform team (§5.1, A4)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Ports and adapters at every external edge</w:t>
            </w:r>
          </w:p>
        </w:tc>
        <w:tc>
          <w:tcPr/>
          <w:p>
            <w:pPr>
              <w:pStyle w:val="Compact"/>
            </w:pPr>
            <w:r>
              <w:t xml:space="preserve">Archive, KMS, chain, identity</w:t>
            </w:r>
          </w:p>
        </w:tc>
        <w:tc>
          <w:tcPr/>
          <w:p>
            <w:pPr>
              <w:pStyle w:val="Compact"/>
            </w:pPr>
            <w:r>
              <w:t xml:space="preserve">Replaceability (SQ-8)</w:t>
            </w:r>
          </w:p>
        </w:tc>
        <w:tc>
          <w:tcPr/>
          <w:p>
            <w:pPr>
              <w:pStyle w:val="Compact"/>
            </w:pPr>
            <w:r>
              <w:t xml:space="preserve">Direct SDK calls bind the leaf to one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Transactional outbox</w:t>
            </w:r>
          </w:p>
        </w:tc>
        <w:tc>
          <w:tcPr/>
          <w:p>
            <w:pPr>
              <w:pStyle w:val="Compact"/>
            </w:pPr>
            <w:r>
              <w:t xml:space="preserve">Admission through to archive</w:t>
            </w:r>
          </w:p>
        </w:tc>
        <w:tc>
          <w:tcPr/>
          <w:p>
            <w:pPr>
              <w:pStyle w:val="Compact"/>
            </w:pPr>
            <w:r>
              <w:t xml:space="preserve">Reliability, RPO 0 (SQ-5)</w:t>
            </w:r>
          </w:p>
        </w:tc>
        <w:tc>
          <w:tcPr/>
          <w:p>
            <w:pPr>
              <w:pStyle w:val="Compact"/>
            </w:pPr>
            <w:r>
              <w:t xml:space="preserve">Two-phase commit across services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Read model derived from the log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QueryStore</w:t>
            </w:r>
            <w:r>
              <w:t xml:space="preserve">, public snapshots</w:t>
            </w:r>
          </w:p>
        </w:tc>
        <w:tc>
          <w:tcPr/>
          <w:p>
            <w:pPr>
              <w:pStyle w:val="Compact"/>
            </w:pPr>
            <w:r>
              <w:t xml:space="preserve">Performance (SQ-4), privacy (SQ-7)</w:t>
            </w:r>
          </w:p>
        </w:tc>
        <w:tc>
          <w:tcPr/>
          <w:p>
            <w:pPr>
              <w:pStyle w:val="Compact"/>
            </w:pPr>
            <w:r>
              <w:t xml:space="preserve">Decrypt per hop; per-field policy on immutable records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State machine with anchored transitions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ConfirmationStatus</w:t>
            </w:r>
          </w:p>
        </w:tc>
        <w:tc>
          <w:tcPr/>
          <w:p>
            <w:pPr>
              <w:pStyle w:val="Compact"/>
            </w:pPr>
            <w:r>
              <w:t xml:space="preserve">Integrity (SQ-1), auditability (SQ-9)</w:t>
            </w:r>
          </w:p>
        </w:tc>
        <w:tc>
          <w:tcPr/>
          <w:p>
            <w:pPr>
              <w:pStyle w:val="Compact"/>
            </w:pPr>
            <w:r>
              <w:t xml:space="preserve">A boolean</w:t>
            </w:r>
            <w:r>
              <w:t xml:space="preserve"> </w:t>
            </w:r>
            <w:r>
              <w:rPr>
                <w:rStyle w:val="VerbatimChar"/>
              </w:rPr>
              <w:t xml:space="preserve">processed</w:t>
            </w:r>
            <w:r>
              <w:t xml:space="preserve"> </w:t>
            </w:r>
            <w:r>
              <w:t xml:space="preserve">flag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Versioned contracts, published enumerations</w:t>
            </w:r>
          </w:p>
        </w:tc>
        <w:tc>
          <w:tcPr/>
          <w:p>
            <w:pPr>
              <w:pStyle w:val="Compact"/>
            </w:pPr>
            <w:r>
              <w:t xml:space="preserve">Profiles, code view</w:t>
            </w:r>
          </w:p>
        </w:tc>
        <w:tc>
          <w:tcPr/>
          <w:p>
            <w:pPr>
              <w:pStyle w:val="Compact"/>
            </w:pPr>
            <w:r>
              <w:t xml:space="preserve">Interoperability (SQ-8)</w:t>
            </w:r>
          </w:p>
        </w:tc>
        <w:tc>
          <w:tcPr/>
          <w:p>
            <w:pPr>
              <w:pStyle w:val="Compact"/>
            </w:pPr>
            <w:r>
              <w:t xml:space="preserve">Free-form strings, silent value drift</w:t>
            </w:r>
          </w:p>
        </w:tc>
      </w:tr>
    </w:tbl>
    <w:p>
      <w:pPr>
        <w:pStyle w:val="BodyText"/>
      </w:pPr>
      <w:r>
        <w:t xml:space="preserve">Five named smells, checked one by one (rubric 4.5).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Smell</w:t>
            </w:r>
          </w:p>
        </w:tc>
        <w:tc>
          <w:tcPr/>
          <w:p>
            <w:pPr>
              <w:pStyle w:val="Compact"/>
            </w:pPr>
            <w:r>
              <w:t xml:space="preserve">Where it would appear</w:t>
            </w:r>
          </w:p>
        </w:tc>
        <w:tc>
          <w:tcPr/>
          <w:p>
            <w:pPr>
              <w:pStyle w:val="Compact"/>
            </w:pPr>
            <w:r>
              <w:t xml:space="preserve">Evidence it does not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Feature concentration</w:t>
            </w:r>
          </w:p>
        </w:tc>
        <w:tc>
          <w:tcPr/>
          <w:p>
            <w:pPr>
              <w:pStyle w:val="Compact"/>
            </w:pPr>
            <w:r>
              <w:t xml:space="preserve">One application holding admission, the gate, the graph and reads</w:t>
            </w:r>
          </w:p>
        </w:tc>
        <w:tc>
          <w:tcPr/>
          <w:p>
            <w:pPr>
              <w:pStyle w:val="Compact"/>
            </w:pPr>
            <w:r>
              <w:t xml:space="preserve">Nine components split by reason to change:</w:t>
            </w:r>
            <w:r>
              <w:t xml:space="preserve"> </w:t>
            </w:r>
            <w:r>
              <w:rPr>
                <w:rStyle w:val="VerbatimChar"/>
              </w:rPr>
              <w:t xml:space="preserve">Capture API</w:t>
            </w:r>
            <w:r>
              <w:t xml:space="preserve"> </w:t>
            </w:r>
            <w:r>
              <w:t xml:space="preserve">validates, the orchestrator gates,</w:t>
            </w:r>
            <w:r>
              <w:t xml:space="preserve"> </w:t>
            </w:r>
            <w:r>
              <w:rPr>
                <w:rStyle w:val="VerbatimChar"/>
              </w:rPr>
              <w:t xml:space="preserve">QueryPort</w:t>
            </w:r>
            <w:r>
              <w:t xml:space="preserve"> </w:t>
            </w:r>
            <w:r>
              <w:t xml:space="preserve">reads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Scattered functionality</w:t>
            </w:r>
          </w:p>
        </w:tc>
        <w:tc>
          <w:tcPr/>
          <w:p>
            <w:pPr>
              <w:pStyle w:val="Compact"/>
            </w:pPr>
            <w:r>
              <w:t xml:space="preserve">Lineage or scope rules computed per module</w:t>
            </w:r>
          </w:p>
        </w:tc>
        <w:tc>
          <w:tcPr/>
          <w:p>
            <w:pPr>
              <w:pStyle w:val="Compact"/>
            </w:pPr>
            <w:r>
              <w:t xml:space="preserve">One</w:t>
            </w:r>
            <w:r>
              <w:t xml:space="preserve"> </w:t>
            </w:r>
            <w:r>
              <w:rPr>
                <w:rStyle w:val="VerbatimChar"/>
              </w:rPr>
              <w:t xml:space="preserve">Evidence Graph Builder</w:t>
            </w:r>
            <w:r>
              <w:t xml:space="preserve">; every read passes</w:t>
            </w:r>
            <w:r>
              <w:t xml:space="preserve"> </w:t>
            </w:r>
            <w:r>
              <w:rPr>
                <w:rStyle w:val="VerbatimChar"/>
              </w:rPr>
              <w:t xml:space="preserve">QueryPort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Dense structure</w:t>
            </w:r>
          </w:p>
        </w:tc>
        <w:tc>
          <w:tcPr/>
          <w:p>
            <w:pPr>
              <w:pStyle w:val="Compact"/>
            </w:pPr>
            <w:r>
              <w:t xml:space="preserve">The core component graph</w:t>
            </w:r>
          </w:p>
        </w:tc>
        <w:tc>
          <w:tcPr/>
          <w:p>
            <w:pPr>
              <w:pStyle w:val="Compact"/>
            </w:pPr>
            <w:r>
              <w:t xml:space="preserve">Acyclic;</w:t>
            </w:r>
            <w:r>
              <w:t xml:space="preserve"> </w:t>
            </w:r>
            <w:r>
              <w:rPr>
                <w:rStyle w:val="VerbatimChar"/>
              </w:rPr>
              <w:t xml:space="preserve">QueryPort</w:t>
            </w:r>
            <w:r>
              <w:t xml:space="preserve"> </w:t>
            </w:r>
            <w:r>
              <w:t xml:space="preserve">is the only fan-in and the orchestrator the only gate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Cyclic dependency</w:t>
            </w:r>
          </w:p>
        </w:tc>
        <w:tc>
          <w:tcPr/>
          <w:p>
            <w:pPr>
              <w:pStyle w:val="Compact"/>
            </w:pPr>
            <w:r>
              <w:t xml:space="preserve">Application and workers</w:t>
            </w:r>
          </w:p>
        </w:tc>
        <w:tc>
          <w:tcPr/>
          <w:p>
            <w:pPr>
              <w:pStyle w:val="Compact"/>
            </w:pPr>
            <w:r>
              <w:t xml:space="preserve">One direction — admission enqueues, workers execute, no callback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Unstable dependency</w:t>
            </w:r>
          </w:p>
        </w:tc>
        <w:tc>
          <w:tcPr/>
          <w:p>
            <w:pPr>
              <w:pStyle w:val="Compact"/>
            </w:pPr>
            <w:r>
              <w:t xml:space="preserve">Chain, archive and KMS SDKs</w:t>
            </w:r>
          </w:p>
        </w:tc>
        <w:tc>
          <w:tcPr/>
          <w:p>
            <w:pPr>
              <w:pStyle w:val="Compact"/>
            </w:pPr>
            <w:r>
              <w:t xml:space="preserve">All behind ports; the core imports no vendor package</w:t>
            </w:r>
          </w:p>
        </w:tc>
      </w:tr>
    </w:tbl>
    <w:p>
      <w:pPr>
        <w:pStyle w:val="BodyText"/>
      </w:pPr>
      <w:r>
        <w:t xml:space="preserve">SOLID is visible where it matters (rubric 4.4): responsibilities split by reason to change, a new custody mode arrives as</w:t>
      </w:r>
      <w:r>
        <w:t xml:space="preserve"> </w:t>
      </w:r>
      <w:r>
        <w:t xml:space="preserve">an addition, four modes share one envelope, the read interface has two operations, and dependencies point at</w:t>
      </w:r>
      <w:r>
        <w:t xml:space="preserve"> </w:t>
      </w:r>
      <w:r>
        <w:t xml:space="preserve">interfaces.</w:t>
      </w:r>
    </w:p>
    <w:bookmarkEnd w:id="50"/>
    <w:bookmarkStart w:id="54" w:name="X3b7817bf7af37b61a066ea274a97f3d86f97610"/>
    <w:p>
      <w:pPr>
        <w:pStyle w:val="Heading2"/>
      </w:pPr>
      <w:r>
        <w:t xml:space="preserve">4.2 What is authoritative, what is rebuildable — rubric 4.6–4.10</w:t>
      </w:r>
    </w:p>
    <w:p>
      <w:pPr>
        <w:pStyle w:val="FirstParagraph"/>
      </w:pPr>
      <w:r>
        <w:rPr>
          <w:b/>
          <w:bCs/>
        </w:rPr>
        <w:t xml:space="preserve">D1. The archive is the copy of record; the database is not.</w:t>
      </w:r>
      <w:r>
        <w:t xml:space="preserve"> </w:t>
      </w:r>
      <w:r>
        <w:t xml:space="preserve">No single party, including the operator, may be</w:t>
      </w:r>
      <w:r>
        <w:t xml:space="preserve"> </w:t>
      </w:r>
      <w:r>
        <w:t xml:space="preserve">able to destroy confirmed history, which is what makes RPO 0 possible (DM-3). A database plus WORM backup in the</w:t>
      </w:r>
      <w:r>
        <w:t xml:space="preserve"> </w:t>
      </w:r>
      <w:r>
        <w:t xml:space="preserve">operator’s own account would leave the operator as the sole verifier.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 role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Rebuildable?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record</w:t>
            </w:r>
          </w:p>
        </w:tc>
        <w:tc>
          <w:tcPr/>
          <w:p>
            <w:pPr>
              <w:pStyle w:val="Compact"/>
            </w:pPr>
            <w:r>
              <w:t xml:space="preserve">Operational PostgreSQL</w:t>
            </w:r>
          </w:p>
        </w:tc>
        <w:tc>
          <w:tcPr/>
          <w:p>
            <w:pPr>
              <w:pStyle w:val="Compact"/>
            </w:pPr>
            <w:r>
              <w:t xml:space="preserve">Yes, from canonical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Queryable canonical copy</w:t>
            </w:r>
          </w:p>
        </w:tc>
        <w:tc>
          <w:tcPr/>
          <w:p>
            <w:pPr>
              <w:pStyle w:val="Compact"/>
            </w:pPr>
            <w:r>
              <w:t xml:space="preserve">PostgreSQL (</w:t>
            </w:r>
            <w:r>
              <w:rPr>
                <w:rStyle w:val="VerbatimChar"/>
              </w:rPr>
              <w:t xml:space="preserve">QueryStore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Yes; excluded from recovery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Authoritative payload</w:t>
            </w:r>
          </w:p>
        </w:tc>
        <w:tc>
          <w:tcPr/>
          <w:p>
            <w:pPr>
              <w:pStyle w:val="Compact"/>
            </w:pPr>
            <w:r>
              <w:t xml:space="preserve">External archive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</w:t>
            </w:r>
            <w:r>
              <w:t xml:space="preserve"> </w:t>
            </w:r>
            <w:r>
              <w:t xml:space="preserve">— the copy of record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Public mart</w:t>
            </w:r>
          </w:p>
        </w:tc>
        <w:tc>
          <w:tcPr/>
          <w:p>
            <w:pPr>
              <w:pStyle w:val="Compact"/>
            </w:pPr>
            <w:r>
              <w:t xml:space="preserve">Snapshot origin plus CDN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Analytical mart</w:t>
            </w:r>
          </w:p>
        </w:tc>
        <w:tc>
          <w:tcPr/>
          <w:p>
            <w:pPr>
              <w:pStyle w:val="Compact"/>
            </w:pPr>
            <w:r>
              <w:t xml:space="preserve">Insights materialised views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Regulatory data</w:t>
            </w:r>
          </w:p>
        </w:tc>
        <w:tc>
          <w:tcPr/>
          <w:p>
            <w:pPr>
              <w:pStyle w:val="Compact"/>
            </w:pPr>
            <w:r>
              <w:t xml:space="preserve">Analytics stores, regulator account</w:t>
            </w:r>
          </w:p>
        </w:tc>
        <w:tc>
          <w:tcPr/>
          <w:p>
            <w:pPr>
              <w:pStyle w:val="Compact"/>
            </w:pPr>
            <w:r>
              <w:t xml:space="preserve">Rules signed; findings evidential</w:t>
            </w:r>
          </w:p>
        </w:tc>
      </w:tr>
    </w:tbl>
    <w:p>
      <w:pPr>
        <w:pStyle w:val="BodyText"/>
      </w:pPr>
      <w:r>
        <w:rPr>
          <w:b/>
          <w:bCs/>
        </w:rPr>
        <w:t xml:space="preserve">D2–D4. The read model, the classes and the deletion rule.</w:t>
      </w:r>
      <w:r>
        <w:t xml:space="preserve"> </w:t>
      </w:r>
      <w:r>
        <w:t xml:space="preserve">A plaintext copy stays in the platform because</w:t>
      </w:r>
      <w:r>
        <w:t xml:space="preserve"> </w:t>
      </w:r>
      <w:r>
        <w:t xml:space="preserve">lineage cannot decrypt per hop; three visibility classes exist and no middle tier, because per-field policy cannot</w:t>
      </w:r>
      <w:r>
        <w:t xml:space="preserve"> </w:t>
      </w:r>
      <w:r>
        <w:t xml:space="preserve">be enforced on an immutable record; retention is per class and deletion needs three parties, so nobody deletes</w:t>
      </w:r>
      <w:r>
        <w:t xml:space="preserve"> </w:t>
      </w:r>
      <w:r>
        <w:t xml:space="preserve">history alone (DM-4).</w:t>
      </w:r>
    </w:p>
    <w:p>
      <w:pPr>
        <w:pStyle w:val="BodyText"/>
      </w:pPr>
      <w:r>
        <w:rPr>
          <w:b/>
          <w:bCs/>
        </w:rPr>
        <w:t xml:space="preserve">D5. One relational database, append-only canonical tables.</w:t>
      </w:r>
      <w:r>
        <w:t xml:space="preserve"> </w:t>
      </w:r>
      <w:r>
        <w:t xml:space="preserve">EPCIS fields are typed, admission needs one atomic</w:t>
      </w:r>
      <w:r>
        <w:t xml:space="preserve"> </w:t>
      </w:r>
      <w:r>
        <w:t xml:space="preserve">step, traversal is a bounded recursive query and reporting is set-oriented (DM-1, SQ-4). A document store would</w:t>
      </w:r>
      <w:r>
        <w:t xml:space="preserve"> </w:t>
      </w:r>
      <w:r>
        <w:t xml:space="preserve">lose cross-event constraints and multi-row transactions, a graph database would make the derived graph the truth,</w:t>
      </w:r>
      <w:r>
        <w:t xml:space="preserve"> </w:t>
      </w:r>
      <w:r>
        <w:t xml:space="preserve">and event sourcing would model profiles and job state as events they are not.</w:t>
      </w:r>
    </w:p>
    <w:p>
      <w:pPr>
        <w:pStyle w:val="BodyText"/>
      </w:pPr>
      <w:r>
        <w:t xml:space="preserve">The model that follows: a submission materialises one canonical event; an event validates against one profile</w:t>
      </w:r>
      <w:r>
        <w:t xml:space="preserve"> </w:t>
      </w:r>
      <w:r>
        <w:t xml:space="preserve">version, is acknowledged by one or more holders, commits as one leaf and references zero or more evidence records;</w:t>
      </w:r>
      <w:r>
        <w:t xml:space="preserve"> </w:t>
      </w:r>
      <w:r>
        <w:t xml:space="preserve">a batch holds many leaves and chains to its predecessor.</w:t>
      </w:r>
    </w:p>
    <w:p>
      <w:pPr>
        <w:pStyle w:val="CaptionedFigure"/>
      </w:pPr>
      <w:r>
        <w:drawing>
          <wp:inline>
            <wp:extent cx="5334000" cy="3215151"/>
            <wp:effectExtent b="0" l="0" r="0" t="0"/>
            <wp:docPr descr="Figure 9 — Physical data model" title="" id="52" name="Picture"/>
            <a:graphic>
              <a:graphicData uri="http://schemas.openxmlformats.org/drawingml/2006/picture">
                <pic:pic>
                  <pic:nvPicPr>
                    <pic:cNvPr descr="../docs/diagrams/preview/core-physical-model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15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9 — Physical data model</w:t>
      </w:r>
    </w:p>
    <w:p>
      <w:pPr>
        <w:pStyle w:val="BodyText"/>
      </w:pPr>
      <w:r>
        <w:rPr>
          <w:i/>
          <w:iCs/>
        </w:rPr>
        <w:t xml:space="preserve">Figure 9 — Eight tables; the constraints that matter are named below.</w:t>
      </w:r>
    </w:p>
    <w:p>
      <w:pPr>
        <w:pStyle w:val="BodyText"/>
      </w:pPr>
      <w:r>
        <w:t xml:space="preserve">Five constraints matter:</w:t>
      </w:r>
      <w:r>
        <w:t xml:space="preserve"> </w:t>
      </w:r>
      <w:r>
        <w:rPr>
          <w:rStyle w:val="VerbatimChar"/>
        </w:rPr>
        <w:t xml:space="preserve">capture_record_id</w:t>
      </w:r>
      <w:r>
        <w:t xml:space="preserve"> </w:t>
      </w:r>
      <w:r>
        <w:t xml:space="preserve">is the primary key of submission and canonical event, so idempotency</w:t>
      </w:r>
      <w:r>
        <w:t xml:space="preserve"> </w:t>
      </w:r>
      <w:r>
        <w:t xml:space="preserve">identity is identity;</w:t>
      </w:r>
      <w:r>
        <w:t xml:space="preserve"> </w:t>
      </w:r>
      <w:r>
        <w:rPr>
          <w:rStyle w:val="VerbatimChar"/>
        </w:rPr>
        <w:t xml:space="preserve">merkle_leaf</w:t>
      </w:r>
      <w:r>
        <w:t xml:space="preserve"> </w:t>
      </w:r>
      <w:r>
        <w:t xml:space="preserve">is unique on</w:t>
      </w:r>
      <w:r>
        <w:t xml:space="preserve"> </w:t>
      </w:r>
      <w:r>
        <w:rPr>
          <w:rStyle w:val="VerbatimChar"/>
        </w:rPr>
        <w:t xml:space="preserve">capture_record_id</w:t>
      </w:r>
      <w:r>
        <w:t xml:space="preserve">, which makes anchoring idempotent;</w:t>
      </w:r>
      <w:r>
        <w:t xml:space="preserve"> </w:t>
      </w:r>
      <w:r>
        <w:rPr>
          <w:rStyle w:val="VerbatimChar"/>
        </w:rPr>
        <w:t xml:space="preserve">canonical_event</w:t>
      </w:r>
      <w:r>
        <w:t xml:space="preserve"> </w:t>
      </w:r>
      <w:r>
        <w:t xml:space="preserve">is partitioned monthly and append-only;</w:t>
      </w:r>
      <w:r>
        <w:t xml:space="preserve"> </w:t>
      </w:r>
      <w:r>
        <w:rPr>
          <w:rStyle w:val="VerbatimChar"/>
        </w:rPr>
        <w:t xml:space="preserve">payload</w:t>
      </w:r>
      <w:r>
        <w:t xml:space="preserve"> </w:t>
      </w:r>
      <w:r>
        <w:t xml:space="preserve">holds only fields the platform does not query;</w:t>
      </w:r>
      <w:r>
        <w:t xml:space="preserve"> </w:t>
      </w:r>
      <w:r>
        <w:t xml:space="preserve">row-level predicates on</w:t>
      </w:r>
      <w:r>
        <w:t xml:space="preserve"> </w:t>
      </w:r>
      <w:r>
        <w:rPr>
          <w:rStyle w:val="VerbatimChar"/>
        </w:rPr>
        <w:t xml:space="preserve">organisation_id</w:t>
      </w:r>
      <w:r>
        <w:t xml:space="preserve"> </w:t>
      </w:r>
      <w:r>
        <w:t xml:space="preserve">back the scope filter.</w:t>
      </w:r>
    </w:p>
    <w:p>
      <w:pPr>
        <w:pStyle w:val="BodyText"/>
      </w:pPr>
      <w:r>
        <w:rPr>
          <w:b/>
          <w:bCs/>
        </w:rPr>
        <w:t xml:space="preserve">D6. Analytics eats a minimised snapshot and returns messages.</w:t>
      </w:r>
      <w:r>
        <w:t xml:space="preserve"> </w:t>
      </w:r>
      <w:r>
        <w:t xml:space="preserve">The platform must not be able to read rules or</w:t>
      </w:r>
      <w:r>
        <w:t xml:space="preserve"> </w:t>
      </w:r>
      <w:r>
        <w:t xml:space="preserve">findings, and the regulator must not need raw tables (Figure 1). A platform-hosted tenant would give one</w:t>
      </w:r>
      <w:r>
        <w:t xml:space="preserve"> </w:t>
      </w:r>
      <w:r>
        <w:t xml:space="preserve">administrator both.</w:t>
      </w:r>
    </w:p>
    <w:p>
      <w:pPr>
        <w:pStyle w:val="BodyText"/>
      </w:pPr>
      <w:r>
        <w:rPr>
          <w:b/>
          <w:bCs/>
        </w:rPr>
        <w:t xml:space="preserve">D7. No warehouse or lake at pilot scale.</w:t>
      </w:r>
      <w:r>
        <w:t xml:space="preserve"> </w:t>
      </w:r>
      <w:r>
        <w:t xml:space="preserve">10 000 events/day is served by materialised views; a warehouse adds a</w:t>
      </w:r>
      <w:r>
        <w:t xml:space="preserve"> </w:t>
      </w:r>
      <w:r>
        <w:t xml:space="preserve">second consistency boundary and a lake would duplicate private content. Revisit when volume or query mix changes.</w:t>
      </w:r>
    </w:p>
    <w:p>
      <w:pPr>
        <w:pStyle w:val="BodyText"/>
      </w:pPr>
      <w:r>
        <w:t xml:space="preserve">These decisions satisfy DM-1 to DM-6: interpretability travels with the event, private content never lands, the</w:t>
      </w:r>
      <w:r>
        <w:t xml:space="preserve"> </w:t>
      </w:r>
      <w:r>
        <w:t xml:space="preserve">archive is authoritative, retention is a recorded state machine, no natural-person field exists, and findings</w:t>
      </w:r>
      <w:r>
        <w:t xml:space="preserve"> </w:t>
      </w:r>
      <w:r>
        <w:t xml:space="preserve">carry their rule version and watermark.</w:t>
      </w:r>
    </w:p>
    <w:bookmarkEnd w:id="54"/>
    <w:bookmarkStart w:id="61" w:name="X8022e6b8f38d652bd200e1384335a9ad87c1b93"/>
    <w:p>
      <w:pPr>
        <w:pStyle w:val="Heading2"/>
      </w:pPr>
      <w:r>
        <w:t xml:space="preserve">4.3 Where it runs, and who owns it — rubric 4.11–4.15</w:t>
      </w:r>
    </w:p>
    <w:p>
      <w:pPr>
        <w:pStyle w:val="FirstParagraph"/>
      </w:pPr>
      <w:r>
        <w:rPr>
          <w:b/>
          <w:bCs/>
        </w:rPr>
        <w:t xml:space="preserve">C1. Managed services, one image running as application or worker.</w:t>
      </w:r>
      <w:r>
        <w:t xml:space="preserve"> </w:t>
      </w:r>
      <w:r>
        <w:t xml:space="preserve">A small team has no operations capacity; IaaS</w:t>
      </w:r>
      <w:r>
        <w:t xml:space="preserve"> </w:t>
      </w:r>
      <w:r>
        <w:t xml:space="preserve">with a self-managed cluster would move patching, HA and backup onto it.</w:t>
      </w:r>
    </w:p>
    <w:p>
      <w:pPr>
        <w:pStyle w:val="BodyText"/>
      </w:pPr>
      <w:r>
        <w:rPr>
          <w:b/>
          <w:bCs/>
        </w:rPr>
        <w:t xml:space="preserve">C2. Four accounts, delivered declaratively.</w:t>
      </w:r>
      <w:r>
        <w:t xml:space="preserve"> </w:t>
      </w:r>
      <w:r>
        <w:t xml:space="preserve">This is what makes</w:t>
      </w:r>
      <w:r>
        <w:t xml:space="preserve"> </w:t>
      </w:r>
      <w:r>
        <w:t xml:space="preserve">“the platform can deploy into the regulator’s</w:t>
      </w:r>
      <w:r>
        <w:t xml:space="preserve"> </w:t>
      </w:r>
      <w:r>
        <w:t xml:space="preserve">account but cannot read from or operate it”</w:t>
      </w:r>
      <w:r>
        <w:t xml:space="preserve"> </w:t>
      </w:r>
      <w:r>
        <w:t xml:space="preserve">a property of the pipeline; one account would put an administrator in</w:t>
      </w:r>
      <w:r>
        <w:t xml:space="preserve"> </w:t>
      </w:r>
      <w:r>
        <w:t xml:space="preserve">reach of every control plane.</w:t>
      </w:r>
    </w:p>
    <w:p>
      <w:pPr>
        <w:pStyle w:val="BodyText"/>
      </w:pPr>
      <w:r>
        <w:rPr>
          <w:b/>
          <w:bCs/>
        </w:rPr>
        <w:t xml:space="preserve">C3. One region with warm copies, one primary with a reader, and an isolated relayer.</w:t>
      </w:r>
      <w:r>
        <w:t xml:space="preserve"> </w:t>
      </w:r>
      <w:r>
        <w:t xml:space="preserve">The availability target is</w:t>
      </w:r>
      <w:r>
        <w:t xml:space="preserve"> </w:t>
      </w:r>
      <w:r>
        <w:t xml:space="preserve">met without active-active; the relayer holds the only credential that can spend money, so it has no inbound path</w:t>
      </w:r>
      <w:r>
        <w:t xml:space="preserve"> </w:t>
      </w:r>
      <w:r>
        <w:t xml:space="preserve">and a single instance.</w:t>
      </w:r>
    </w:p>
    <w:p>
      <w:pPr>
        <w:pStyle w:val="CaptionedFigure"/>
      </w:pPr>
      <w:r>
        <w:drawing>
          <wp:inline>
            <wp:extent cx="5334000" cy="3027719"/>
            <wp:effectExtent b="0" l="0" r="0" t="0"/>
            <wp:docPr descr="Figure 10 — Logical deployment" title="" id="56" name="Picture"/>
            <a:graphic>
              <a:graphicData uri="http://schemas.openxmlformats.org/drawingml/2006/picture">
                <pic:pic>
                  <pic:nvPicPr>
                    <pic:cNvPr descr="../docs/diagrams/preview/c4-deployment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277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10 — Logical deployment</w:t>
      </w:r>
    </w:p>
    <w:p>
      <w:pPr>
        <w:pStyle w:val="BodyText"/>
      </w:pPr>
      <w:r>
        <w:rPr>
          <w:i/>
          <w:iCs/>
        </w:rPr>
        <w:t xml:space="preserve">Figure 10 — Logical placement: which control domain owns which node.</w:t>
      </w:r>
    </w:p>
    <w:p>
      <w:pPr>
        <w:pStyle w:val="CaptionedFigure"/>
      </w:pPr>
      <w:r>
        <w:drawing>
          <wp:inline>
            <wp:extent cx="5334000" cy="2397735"/>
            <wp:effectExtent b="0" l="0" r="0" t="0"/>
            <wp:docPr descr="Figure 11 — Reference deployment" title="" id="59" name="Picture"/>
            <a:graphic>
              <a:graphicData uri="http://schemas.openxmlformats.org/drawingml/2006/picture">
                <pic:pic>
                  <pic:nvPicPr>
                    <pic:cNvPr descr="../docs/diagrams/preview/c4-reference-deployment.png" id="60" name="Picture"/>
                    <pic:cNvPicPr>
                      <a:picLocks noChangeArrowheads="1"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77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11 — Reference deployment</w:t>
      </w:r>
    </w:p>
    <w:p>
      <w:pPr>
        <w:pStyle w:val="BodyText"/>
      </w:pPr>
      <w:r>
        <w:rPr>
          <w:i/>
          <w:iCs/>
        </w:rPr>
        <w:t xml:space="preserve">Figure 11 — A configuration that can be procured and built.</w:t>
      </w:r>
    </w:p>
    <w:p>
      <w:pPr>
        <w:pStyle w:val="BodyText"/>
      </w:pPr>
      <w:r>
        <w:t xml:space="preserve">The logical view answers who owns what; the reference view answers what we would buy. Seven workloads, each with</w:t>
      </w:r>
      <w:r>
        <w:t xml:space="preserve"> </w:t>
      </w:r>
      <w:r>
        <w:t xml:space="preserve">one credential and one scaling unit: application and workers on request rate and outbox lag, the database as a</w:t>
      </w:r>
      <w:r>
        <w:t xml:space="preserve"> </w:t>
      </w:r>
      <w:r>
        <w:t xml:space="preserve">managed primary with a reader, archive and KMS in a trustee account, public delivery behind a CDN.</w:t>
      </w:r>
    </w:p>
    <w:bookmarkEnd w:id="61"/>
    <w:bookmarkStart w:id="68" w:name="X305efbe7ffae7b99f4e472ebd5733135501ccce"/>
    <w:p>
      <w:pPr>
        <w:pStyle w:val="Heading2"/>
      </w:pPr>
      <w:r>
        <w:t xml:space="preserve">4.4 The write path and the recall path — rubric 4.16–4.17</w:t>
      </w:r>
    </w:p>
    <w:p>
      <w:pPr>
        <w:pStyle w:val="CaptionedFigure"/>
      </w:pPr>
      <w:r>
        <w:drawing>
          <wp:inline>
            <wp:extent cx="5334000" cy="4561880"/>
            <wp:effectExtent b="0" l="0" r="0" t="0"/>
            <wp:docPr descr="Figure 12 — Dynamic view: event acceptance" title="" id="63" name="Picture"/>
            <a:graphic>
              <a:graphicData uri="http://schemas.openxmlformats.org/drawingml/2006/picture">
                <pic:pic>
                  <pic:nvPicPr>
                    <pic:cNvPr descr="../docs/diagrams/preview/c4-dynamic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61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12 — Dynamic view: event acceptance</w:t>
      </w:r>
    </w:p>
    <w:p>
      <w:pPr>
        <w:pStyle w:val="BodyText"/>
      </w:pPr>
      <w:r>
        <w:rPr>
          <w:i/>
          <w:iCs/>
        </w:rPr>
        <w:t xml:space="preserve">Figure 12 — One event from submission to confirmed visibility, in five phases and sixteen steps.</w:t>
      </w:r>
    </w:p>
    <w:p>
      <w:pPr>
        <w:pStyle w:val="BodyText"/>
      </w:pPr>
      <w:r>
        <w:t xml:space="preserve">The ordering is the argument: a receipt follows an outside holder’s signature, and confirmation follows finality.</w:t>
      </w:r>
      <w:r>
        <w:t xml:space="preserve"> </w:t>
      </w:r>
      <w:r>
        <w:t xml:space="preserve">No timeout promotes an event, and a failure suspends it where it stands.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Steps</w:t>
            </w:r>
          </w:p>
        </w:tc>
        <w:tc>
          <w:tcPr/>
          <w:p>
            <w:pPr>
              <w:pStyle w:val="Compact"/>
            </w:pPr>
            <w:r>
              <w:t xml:space="preserve">Data crossing</w:t>
            </w:r>
          </w:p>
        </w:tc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Boundary crossed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t xml:space="preserve">Canonical event, signature, identifiers</w:t>
            </w:r>
          </w:p>
        </w:tc>
        <w:tc>
          <w:tcPr/>
          <w:p>
            <w:pPr>
              <w:pStyle w:val="Compact"/>
            </w:pPr>
            <w:r>
              <w:t xml:space="preserve">Consortium</w:t>
            </w:r>
          </w:p>
        </w:tc>
        <w:tc>
          <w:tcPr/>
          <w:p>
            <w:pPr>
              <w:pStyle w:val="Compact"/>
            </w:pPr>
            <w:r>
              <w:t xml:space="preserve">Participant to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4–7</w:t>
            </w:r>
          </w:p>
        </w:tc>
        <w:tc>
          <w:tcPr/>
          <w:p>
            <w:pPr>
              <w:pStyle w:val="Compact"/>
            </w:pPr>
            <w:r>
              <w:t xml:space="preserve">DEK, envelope, ciphertext, acknowledgement</w:t>
            </w:r>
          </w:p>
        </w:tc>
        <w:tc>
          <w:tcPr/>
          <w:p>
            <w:pPr>
              <w:pStyle w:val="Compact"/>
            </w:pPr>
            <w:r>
              <w:t xml:space="preserve">Consortium (encrypted)</w:t>
            </w:r>
          </w:p>
        </w:tc>
        <w:tc>
          <w:tcPr/>
          <w:p>
            <w:pPr>
              <w:pStyle w:val="Compact"/>
            </w:pPr>
            <w:r>
              <w:t xml:space="preserve">Platform to KMS and holder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8–9</w:t>
            </w:r>
          </w:p>
        </w:tc>
        <w:tc>
          <w:tcPr/>
          <w:p>
            <w:pPr>
              <w:pStyle w:val="Compact"/>
            </w:pPr>
            <w:r>
              <w:t xml:space="preserve">Receipt; anchor intent and leaf</w:t>
            </w:r>
          </w:p>
        </w:tc>
        <w:tc>
          <w:tcPr/>
          <w:p>
            <w:pPr>
              <w:pStyle w:val="Compact"/>
            </w:pPr>
            <w:r>
              <w:t xml:space="preserve">Consortium</w:t>
            </w:r>
          </w:p>
        </w:tc>
        <w:tc>
          <w:tcPr/>
          <w:p>
            <w:pPr>
              <w:pStyle w:val="Compact"/>
            </w:pPr>
            <w:r>
              <w:t xml:space="preserve">Platform to participant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10–13</w:t>
            </w:r>
          </w:p>
        </w:tc>
        <w:tc>
          <w:tcPr/>
          <w:p>
            <w:pPr>
              <w:pStyle w:val="Compact"/>
            </w:pPr>
            <w:r>
              <w:t xml:space="preserve">Merkle root, transaction reference, inclusion proof</w:t>
            </w:r>
          </w:p>
        </w:tc>
        <w:tc>
          <w:tcPr/>
          <w:p>
            <w:pPr>
              <w:pStyle w:val="Compact"/>
            </w:pPr>
            <w:r>
              <w:t xml:space="preserve">Public commitment</w:t>
            </w:r>
          </w:p>
        </w:tc>
        <w:tc>
          <w:tcPr/>
          <w:p>
            <w:pPr>
              <w:pStyle w:val="Compact"/>
            </w:pPr>
            <w:r>
              <w:t xml:space="preserve">Platform to chain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14–15</w:t>
            </w:r>
          </w:p>
        </w:tc>
        <w:tc>
          <w:tcPr/>
          <w:p>
            <w:pPr>
              <w:pStyle w:val="Compact"/>
            </w:pPr>
            <w:r>
              <w:t xml:space="preserve">Versioned public projection</w:t>
            </w:r>
          </w:p>
        </w:tc>
        <w:tc>
          <w:tcPr/>
          <w:p>
            <w:pPr>
              <w:pStyle w:val="Compact"/>
            </w:pPr>
            <w:r>
              <w:t xml:space="preserve">Public</w:t>
            </w:r>
          </w:p>
        </w:tc>
        <w:tc>
          <w:tcPr/>
          <w:p>
            <w:pPr>
              <w:pStyle w:val="Compact"/>
            </w:pPr>
            <w:r>
              <w:t xml:space="preserve">Platform to CDN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r>
              <w:t xml:space="preserve">Trace page for the submitter</w:t>
            </w:r>
          </w:p>
        </w:tc>
        <w:tc>
          <w:tcPr/>
          <w:p>
            <w:pPr>
              <w:pStyle w:val="Compact"/>
            </w:pPr>
            <w:r>
              <w:t xml:space="preserve">Consortium</w:t>
            </w:r>
          </w:p>
        </w:tc>
        <w:tc>
          <w:tcPr/>
          <w:p>
            <w:pPr>
              <w:pStyle w:val="Compact"/>
            </w:pPr>
            <w:r>
              <w:t xml:space="preserve">Application to portal</w:t>
            </w:r>
          </w:p>
        </w:tc>
      </w:tr>
    </w:tbl>
    <w:p>
      <w:pPr>
        <w:pStyle w:val="BodyText"/>
      </w:pPr>
      <w:r>
        <w:t xml:space="preserve">Step 16 is the submitter reading the event back; the consumer read comes from the CDN at step 15 and never reaches</w:t>
      </w:r>
      <w:r>
        <w:t xml:space="preserve"> </w:t>
      </w:r>
      <w:r>
        <w:t xml:space="preserve">the application.</w:t>
      </w:r>
    </w:p>
    <w:p>
      <w:pPr>
        <w:pStyle w:val="CaptionedFigure"/>
      </w:pPr>
      <w:r>
        <w:drawing>
          <wp:inline>
            <wp:extent cx="5334000" cy="5394417"/>
            <wp:effectExtent b="0" l="0" r="0" t="0"/>
            <wp:docPr descr="Figure 13 — Dynamic view: recall investigation" title="" id="66" name="Picture"/>
            <a:graphic>
              <a:graphicData uri="http://schemas.openxmlformats.org/drawingml/2006/picture">
                <pic:pic>
                  <pic:nvPicPr>
                    <pic:cNvPr descr="../docs/diagrams/preview/c4-dynamic-recall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944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13 — Dynamic view: recall investigation</w:t>
      </w:r>
    </w:p>
    <w:p>
      <w:pPr>
        <w:pStyle w:val="BodyText"/>
      </w:pPr>
      <w:r>
        <w:rPr>
          <w:i/>
          <w:iCs/>
        </w:rPr>
        <w:t xml:space="preserve">Figure 13 — Scope at a watermark, evidence request, signed notice.</w:t>
      </w:r>
    </w:p>
    <w:p>
      <w:pPr>
        <w:pStyle w:val="BodyText"/>
      </w:pPr>
      <w:r>
        <w:t xml:space="preserve">The recall path is where privacy is decided: scope at a fixed watermark with provisional claims kept apart, an</w:t>
      </w:r>
      <w:r>
        <w:t xml:space="preserve"> </w:t>
      </w:r>
      <w:r>
        <w:t xml:space="preserve">evidence request that becomes an audit record rather than a data pull, and a notice published as</w:t>
      </w:r>
      <w:r>
        <w:t xml:space="preserve"> </w:t>
      </w:r>
      <w:r>
        <w:rPr>
          <w:rStyle w:val="VerbatimChar"/>
        </w:rPr>
        <w:t xml:space="preserve">PENDING_ANCHOR</w:t>
      </w:r>
      <w:r>
        <w:t xml:space="preserve"> </w:t>
      </w:r>
      <w:r>
        <w:t xml:space="preserve">before it is</w:t>
      </w:r>
      <w:r>
        <w:t xml:space="preserve"> </w:t>
      </w:r>
      <w:r>
        <w:rPr>
          <w:rStyle w:val="VerbatimChar"/>
        </w:rPr>
        <w:t xml:space="preserve">CONFIRMED</w:t>
      </w:r>
      <w:r>
        <w:t xml:space="preserve">.</w:t>
      </w:r>
    </w:p>
    <w:bookmarkEnd w:id="68"/>
    <w:bookmarkStart w:id="69" w:name="Xd270f0c15d9a0d0f1fe91239be39fef8e9bb0fe"/>
    <w:p>
      <w:pPr>
        <w:pStyle w:val="Heading2"/>
      </w:pPr>
      <w:r>
        <w:t xml:space="preserve">4.5 What is protected, and what is accepted — rubric 4.18–4.20</w:t>
      </w:r>
    </w:p>
    <w:p>
      <w:pPr>
        <w:pStyle w:val="FirstParagraph"/>
      </w:pPr>
      <w:r>
        <w:rPr>
          <w:b/>
          <w:bCs/>
        </w:rPr>
        <w:t xml:space="preserve">S1. An event is confirmed only after a signature from outside the platform’s account.</w:t>
      </w:r>
      <w:r>
        <w:t xml:space="preserve"> </w:t>
      </w:r>
      <w:r>
        <w:t xml:space="preserve">Otherwise the operator</w:t>
      </w:r>
      <w:r>
        <w:t xml:space="preserve"> </w:t>
      </w:r>
      <w:r>
        <w:t xml:space="preserve">can manufacture a confirmed claim; a platform-signed timestamp would do exactly that.</w:t>
      </w:r>
    </w:p>
    <w:p>
      <w:pPr>
        <w:pStyle w:val="BodyText"/>
      </w:pPr>
      <w:r>
        <w:rPr>
          <w:b/>
          <w:bCs/>
        </w:rPr>
        <w:t xml:space="preserve">S2. Each event has its own data key, wrapped by a consortium key held outside the platform.</w:t>
      </w:r>
      <w:r>
        <w:t xml:space="preserve"> </w:t>
      </w:r>
      <w:r>
        <w:t xml:space="preserve">The archive then</w:t>
      </w:r>
      <w:r>
        <w:t xml:space="preserve"> </w:t>
      </w:r>
      <w:r>
        <w:t xml:space="preserve">holds ciphertext it cannot read, so compromising the archive is not disclosing content; a platform-held KEK would</w:t>
      </w:r>
      <w:r>
        <w:t xml:space="preserve"> </w:t>
      </w:r>
      <w:r>
        <w:t xml:space="preserve">make the archive’s independence decorative.</w:t>
      </w:r>
    </w:p>
    <w:p>
      <w:pPr>
        <w:pStyle w:val="BodyText"/>
      </w:pPr>
      <w:r>
        <w:rPr>
          <w:b/>
          <w:bCs/>
        </w:rPr>
        <w:t xml:space="preserve">S3. One envelope covers four custody modes, and authority is judged as of signing time.</w:t>
      </w:r>
      <w:r>
        <w:t xml:space="preserve"> </w:t>
      </w:r>
      <w:r>
        <w:t xml:space="preserve">Rotation or a later</w:t>
      </w:r>
      <w:r>
        <w:t xml:space="preserve"> </w:t>
      </w:r>
      <w:r>
        <w:t xml:space="preserve">compromise must not invalidate history; a format per mode and status-at-check-time would.</w:t>
      </w:r>
    </w:p>
    <w:p>
      <w:pPr>
        <w:pStyle w:val="BodyText"/>
      </w:pPr>
      <w:r>
        <w:rPr>
          <w:b/>
          <w:bCs/>
        </w:rPr>
        <w:t xml:space="preserve">S4. Private evidence never reaches the platform, and no natural-person field enters the record.</w:t>
      </w:r>
      <w:r>
        <w:t xml:space="preserve"> </w:t>
      </w:r>
      <w:r>
        <w:t xml:space="preserve">The platform</w:t>
      </w:r>
      <w:r>
        <w:t xml:space="preserve"> </w:t>
      </w:r>
      <w:r>
        <w:t xml:space="preserve">cannot be compelled to hand over what it does not hold, and deletion never has to negotiate with an immutable log;</w:t>
      </w:r>
      <w:r>
        <w:t xml:space="preserve"> </w:t>
      </w:r>
      <w:r>
        <w:t xml:space="preserve">field-level encryption on the platform would leave it holding the keys.</w:t>
      </w:r>
    </w:p>
    <w:p>
      <w:pPr>
        <w:pStyle w:val="BodyText"/>
      </w:pPr>
      <w:r>
        <w:rPr>
          <w:b/>
          <w:bCs/>
        </w:rPr>
        <w:t xml:space="preserve">S5. Staff have no standing access; break-glass is dual-approved, recorded and anchored.</w:t>
      </w:r>
      <w:r>
        <w:t xml:space="preserve"> </w:t>
      </w:r>
      <w:r>
        <w:t xml:space="preserve">The insider is the</w:t>
      </w:r>
      <w:r>
        <w:t xml:space="preserve"> </w:t>
      </w:r>
      <w:r>
        <w:t xml:space="preserve">highest-privilege threat, and a refusal is itself evidence.</w:t>
      </w:r>
    </w:p>
    <w:p>
      <w:pPr>
        <w:pStyle w:val="BodyText"/>
      </w:pPr>
      <w:r>
        <w:rPr>
          <w:b/>
          <w:bCs/>
        </w:rPr>
        <w:t xml:space="preserve">S6. Every principal that can write, read or disclose gets one enforced entry point.</w:t>
      </w:r>
      <w:r>
        <w:t xml:space="preserve"> </w:t>
      </w:r>
      <w:r>
        <w:t xml:space="preserve">Participant-facing (API,</w:t>
      </w:r>
      <w:r>
        <w:t xml:space="preserve"> </w:t>
      </w:r>
      <w:r>
        <w:t xml:space="preserve">portal, onboarding), leaving the account (archive, key service, chain, regulator) and internal (staff, evidence</w:t>
      </w:r>
      <w:r>
        <w:t xml:space="preserve"> </w:t>
      </w:r>
      <w:r>
        <w:t xml:space="preserve">owner) each cross once, which is why STRIDE is a coverage check rather than a generator.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Threat</w:t>
            </w:r>
          </w:p>
        </w:tc>
        <w:tc>
          <w:tcPr/>
          <w:p>
            <w:pPr>
              <w:pStyle w:val="Compact"/>
            </w:pPr>
            <w:r>
              <w:t xml:space="preserve">Mitigation</w:t>
            </w:r>
          </w:p>
        </w:tc>
        <w:tc>
          <w:tcPr/>
          <w:p>
            <w:pPr>
              <w:pStyle w:val="Compact"/>
            </w:pPr>
            <w:r>
              <w:t xml:space="preserve">Residual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Spoofing</w:t>
            </w:r>
          </w:p>
        </w:tc>
        <w:tc>
          <w:tcPr/>
          <w:p>
            <w:pPr>
              <w:pStyle w:val="Compact"/>
            </w:pPr>
            <w:r>
              <w:t xml:space="preserve">A participant claims to be another; a device claims another’s identity</w:t>
            </w:r>
          </w:p>
        </w:tc>
        <w:tc>
          <w:tcPr/>
          <w:p>
            <w:pPr>
              <w:pStyle w:val="Compact"/>
            </w:pPr>
            <w:r>
              <w:t xml:space="preserve">Envelope bound to a verified organisation and key; acting organisation; device delegations</w:t>
            </w:r>
          </w:p>
        </w:tc>
        <w:tc>
          <w:tcPr/>
          <w:p>
            <w:pPr>
              <w:pStyle w:val="Compact"/>
            </w:pPr>
            <w:r>
              <w:t xml:space="preserve">Compromised participant credentials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Tampering</w:t>
            </w:r>
          </w:p>
        </w:tc>
        <w:tc>
          <w:tcPr/>
          <w:p>
            <w:pPr>
              <w:pStyle w:val="Compact"/>
            </w:pPr>
            <w:r>
              <w:t xml:space="preserve">A row or a batch is altered or skipped</w:t>
            </w:r>
          </w:p>
        </w:tc>
        <w:tc>
          <w:tcPr/>
          <w:p>
            <w:pPr>
              <w:pStyle w:val="Compact"/>
            </w:pPr>
            <w:r>
              <w:t xml:space="preserve">Signed digest; append-only; roots commit to the previous root; consistency proofs</w:t>
            </w:r>
          </w:p>
        </w:tc>
        <w:tc>
          <w:tcPr/>
          <w:p>
            <w:pPr>
              <w:pStyle w:val="Compact"/>
            </w:pPr>
            <w:r>
              <w:t xml:space="preserve">Finality is asynchronous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Repudiation</w:t>
            </w:r>
          </w:p>
        </w:tc>
        <w:tc>
          <w:tcPr/>
          <w:p>
            <w:pPr>
              <w:pStyle w:val="Compact"/>
            </w:pPr>
            <w:r>
              <w:t xml:space="preserve">A publisher denies an event; the operator denies an advisory</w:t>
            </w:r>
          </w:p>
        </w:tc>
        <w:tc>
          <w:tcPr/>
          <w:p>
            <w:pPr>
              <w:pStyle w:val="Compact"/>
            </w:pPr>
            <w:r>
              <w:t xml:space="preserve">Non-repudiable signatures; key history; issuer keeps its copy</w:t>
            </w:r>
          </w:p>
        </w:tc>
        <w:tc>
          <w:tcPr/>
          <w:p>
            <w:pPr>
              <w:pStyle w:val="Compact"/>
            </w:pPr>
            <w:r>
              <w:t xml:space="preserve">Keys held by third parties shift the question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Information disclosure</w:t>
            </w:r>
          </w:p>
        </w:tc>
        <w:tc>
          <w:tcPr/>
          <w:p>
            <w:pPr>
              <w:pStyle w:val="Compact"/>
            </w:pPr>
            <w:r>
              <w:t xml:space="preserve">Private evidence leaks; a member reads outside scope</w:t>
            </w:r>
          </w:p>
        </w:tc>
        <w:tc>
          <w:tcPr/>
          <w:p>
            <w:pPr>
              <w:pStyle w:val="Compact"/>
            </w:pPr>
            <w:r>
              <w:t xml:space="preserve">Content never on platform; owner-encrypted recipients; scope at the single read entrance</w:t>
            </w:r>
          </w:p>
        </w:tc>
        <w:tc>
          <w:tcPr/>
          <w:p>
            <w:pPr>
              <w:pStyle w:val="Compact"/>
            </w:pPr>
            <w:r>
              <w:t xml:space="preserve">Metadata and access patterns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Denial of service</w:t>
            </w:r>
          </w:p>
        </w:tc>
        <w:tc>
          <w:tcPr/>
          <w:p>
            <w:pPr>
              <w:pStyle w:val="Compact"/>
            </w:pPr>
            <w:r>
              <w:t xml:space="preserve">Event flood; a holder set that never acknowledges</w:t>
            </w:r>
          </w:p>
        </w:tc>
        <w:tc>
          <w:tcPr/>
          <w:p>
            <w:pPr>
              <w:pStyle w:val="Compact"/>
            </w:pPr>
            <w:r>
              <w:t xml:space="preserve">Quotas, backpressure, bounded queues; two configured holders</w:t>
            </w:r>
          </w:p>
        </w:tc>
        <w:tc>
          <w:tcPr/>
          <w:p>
            <w:pPr>
              <w:pStyle w:val="Compact"/>
            </w:pPr>
            <w:r>
              <w:t xml:space="preserve">A sustained flood degrades others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Elevation of privilege</w:t>
            </w:r>
          </w:p>
        </w:tc>
        <w:tc>
          <w:tcPr/>
          <w:p>
            <w:pPr>
              <w:pStyle w:val="Compact"/>
            </w:pPr>
            <w:r>
              <w:t xml:space="preserve">An operator reads plaintext; a regulator reaches evidence</w:t>
            </w:r>
          </w:p>
        </w:tc>
        <w:tc>
          <w:tcPr/>
          <w:p>
            <w:pPr>
              <w:pStyle w:val="Compact"/>
            </w:pPr>
            <w:r>
              <w:t xml:space="preserve">No standing access; case-scoped grants; anchored access record</w:t>
            </w:r>
          </w:p>
        </w:tc>
        <w:tc>
          <w:tcPr/>
          <w:p>
            <w:pPr>
              <w:pStyle w:val="Compact"/>
            </w:pPr>
            <w:r>
              <w:t xml:space="preserve">A compromised break-glass path is a high-severity incident</w:t>
            </w:r>
          </w:p>
        </w:tc>
      </w:tr>
    </w:tbl>
    <w:p>
      <w:pPr>
        <w:pStyle w:val="BodyText"/>
      </w:pPr>
      <w:r>
        <w:t xml:space="preserve">Accepted, per requirement: compromised credentials (SP-1), provider-held keys (SP-2), metadata (SP-3), indirect</w:t>
      </w:r>
      <w:r>
        <w:t xml:space="preserve"> </w:t>
      </w:r>
      <w:r>
        <w:t xml:space="preserve">identification (SP-4), colluding approvers (SP-5), a runtime that reads consortium plaintext (SP-6), a compelled</w:t>
      </w:r>
      <w:r>
        <w:t xml:space="preserve"> </w:t>
      </w:r>
      <w:r>
        <w:t xml:space="preserve">regulator mirror (SP-7). SP-8 states the rest in the interface.</w:t>
      </w:r>
    </w:p>
    <w:p>
      <w:pPr>
        <w:pStyle w:val="BodyText"/>
      </w:pPr>
      <w:r>
        <w:t xml:space="preserve">No personal field in the record means deletion never negotiates with immutability; content off the platform means</w:t>
      </w:r>
      <w:r>
        <w:t xml:space="preserve"> </w:t>
      </w:r>
      <w:r>
        <w:t xml:space="preserve">there is nothing to compel; classification by construction means no</w:t>
      </w:r>
      <w:r>
        <w:t xml:space="preserve"> </w:t>
      </w:r>
      <w:r>
        <w:t xml:space="preserve">“sensitive but shared”</w:t>
      </w:r>
      <w:r>
        <w:t xml:space="preserve"> </w:t>
      </w:r>
      <w:r>
        <w:t xml:space="preserve">tier can appear. Three</w:t>
      </w:r>
      <w:r>
        <w:t xml:space="preserve"> </w:t>
      </w:r>
      <w:r>
        <w:t xml:space="preserve">risks remain stated rather than mitigated: a compromised runtime, a resourced colluder, and a holder’s own legal</w:t>
      </w:r>
      <w:r>
        <w:t xml:space="preserve"> </w:t>
      </w:r>
      <w:r>
        <w:t xml:space="preserve">obligations.</w:t>
      </w:r>
    </w:p>
    <w:bookmarkEnd w:id="69"/>
    <w:bookmarkStart w:id="70" w:name="X36e5a56224af50f9acd2822c02679c7a7d9b6b9"/>
    <w:p>
      <w:pPr>
        <w:pStyle w:val="Heading2"/>
      </w:pPr>
      <w:r>
        <w:t xml:space="preserve">4.6 Device evidence and screening, in the architecture — rubric 4.B, bonus</w:t>
      </w:r>
    </w:p>
    <w:p>
      <w:pPr>
        <w:pStyle w:val="FirstParagraph"/>
      </w:pPr>
      <w:r>
        <w:rPr>
          <w:b/>
          <w:bCs/>
        </w:rPr>
        <w:t xml:space="preserve">AI.</w:t>
      </w:r>
      <w:r>
        <w:t xml:space="preserve"> </w:t>
      </w:r>
      <w:r>
        <w:t xml:space="preserve">Screening runs in the regulator’s workspace over signed rule versions: a model is an alternative</w:t>
      </w:r>
      <w:r>
        <w:t xml:space="preserve"> </w:t>
      </w:r>
      <w:r>
        <w:t xml:space="preserve">implementation of the same interface, which is why the first release has no model loader. Every finding carries</w:t>
      </w:r>
      <w:r>
        <w:t xml:space="preserve"> </w:t>
      </w:r>
      <w:r>
        <w:t xml:space="preserve">its rule or model version and input watermark, so it reproduces; no output becomes an action without an officer’s</w:t>
      </w:r>
      <w:r>
        <w:t xml:space="preserve"> </w:t>
      </w:r>
      <w:r>
        <w:t xml:space="preserve">signature. Rejected: ML at admission (makes a model an adjudicator) and training on the platform’s own copy.</w:t>
      </w:r>
    </w:p>
    <w:p>
      <w:pPr>
        <w:pStyle w:val="BodyText"/>
      </w:pPr>
      <w:r>
        <w:rPr>
          <w:b/>
          <w:bCs/>
        </w:rPr>
        <w:t xml:space="preserve">IoT.</w:t>
      </w:r>
      <w:r>
        <w:t xml:space="preserve"> </w:t>
      </w:r>
      <w:r>
        <w:t xml:space="preserve">The boundary sits at the participant: profile-required summaries enter the record, raw readings stay</w:t>
      </w:r>
      <w:r>
        <w:t xml:space="preserve"> </w:t>
      </w:r>
      <w:r>
        <w:t xml:space="preserve">behind a commitment, and devices are organisation delegations rather than users. Collection and alarming are</w:t>
      </w:r>
      <w:r>
        <w:t xml:space="preserve"> </w:t>
      </w:r>
      <w:r>
        <w:t xml:space="preserve">local, availability is the platform’s, verifiability is the archive’s. Rejected: raw telemetry upload and</w:t>
      </w:r>
      <w:r>
        <w:t xml:space="preserve"> </w:t>
      </w:r>
      <w:r>
        <w:t xml:space="preserve">platform-side real-time alerting, which would duplicate the participant’s control loop.</w:t>
      </w:r>
    </w:p>
    <w:bookmarkEnd w:id="70"/>
    <w:bookmarkEnd w:id="71"/>
    <w:bookmarkStart w:id="76" w:name="architecture-evaluation-and-alternatives"/>
    <w:p>
      <w:pPr>
        <w:pStyle w:val="Heading1"/>
      </w:pPr>
      <w:r>
        <w:t xml:space="preserve">5. Architecture evaluation and alternatives</w:t>
      </w:r>
    </w:p>
    <w:p>
      <w:pPr>
        <w:pStyle w:val="FirstParagraph"/>
      </w:pPr>
      <w:r>
        <w:t xml:space="preserve">This section tests the promises made in Sections 1–4 against what the architecture delivers, and names where they</w:t>
      </w:r>
      <w:r>
        <w:t xml:space="preserve"> </w:t>
      </w:r>
      <w:r>
        <w:t xml:space="preserve">fall short.</w:t>
      </w:r>
    </w:p>
    <w:bookmarkStart w:id="75" w:name="how-well-it-does-rubric-5.15.4"/>
    <w:p>
      <w:pPr>
        <w:pStyle w:val="Heading2"/>
      </w:pPr>
      <w:r>
        <w:t xml:space="preserve">5.1 How well it does — rubric 5.1–5.4</w:t>
      </w:r>
    </w:p>
    <w:bookmarkStart w:id="72" w:name="Xfcd46863cc4599d70d65f1de5c21c9b695f3f38"/>
    <w:p>
      <w:pPr>
        <w:pStyle w:val="Heading3"/>
      </w:pPr>
      <w:r>
        <w:t xml:space="preserve">The objectives, and how each is met — rubric 5.1–5.2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Business objective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t xml:space="preserve">Evidence and residual gap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BO-1</w:t>
            </w:r>
          </w:p>
        </w:tc>
        <w:tc>
          <w:tcPr/>
          <w:p>
            <w:pPr>
              <w:pStyle w:val="Compact"/>
            </w:pPr>
            <w:r>
              <w:t xml:space="preserve">An immutable, attributable record of every stage</w:t>
            </w:r>
          </w:p>
        </w:tc>
        <w:tc>
          <w:tcPr/>
          <w:p>
            <w:pPr>
              <w:pStyle w:val="Compact"/>
            </w:pPr>
            <w:r>
              <w:t xml:space="preserve">brief 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Envelope, holder-signed acknowledgement, Merkle inclusion; collusion is detectable, not prevented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BO-2</w:t>
            </w:r>
          </w:p>
        </w:tc>
        <w:tc>
          <w:tcPr/>
          <w:p>
            <w:pPr>
              <w:pStyle w:val="Compact"/>
            </w:pPr>
            <w:r>
              <w:t xml:space="preserve">Farmers, distributors, retailers and consumers all act, not only read</w:t>
            </w:r>
          </w:p>
        </w:tc>
        <w:tc>
          <w:tcPr/>
          <w:p>
            <w:pPr>
              <w:pStyle w:val="Compact"/>
            </w:pPr>
            <w:r>
              <w:t xml:space="preserve">brief 2, 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Met, conditionally</w:t>
            </w:r>
          </w:p>
        </w:tc>
        <w:tc>
          <w:tcPr/>
          <w:p>
            <w:pPr>
              <w:pStyle w:val="Compact"/>
            </w:pPr>
            <w:r>
              <w:t xml:space="preserve">Browser capture, offline queue, device-bound signing, WCAG 2.2 AA; a keyless device drafts and signs later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BO-3</w:t>
            </w:r>
          </w:p>
        </w:tc>
        <w:tc>
          <w:tcPr/>
          <w:p>
            <w:pPr>
              <w:pStyle w:val="Compact"/>
            </w:pPr>
            <w:r>
              <w:t xml:space="preserve">A regulator establishes incident scope quickly and defensibly</w:t>
            </w:r>
          </w:p>
        </w:tc>
        <w:tc>
          <w:tcPr/>
          <w:p>
            <w:pPr>
              <w:pStyle w:val="Compact"/>
            </w:pPr>
            <w:r>
              <w:t xml:space="preserve">brief 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Traversal at a watermark with per-edge provenance, cited to the Food Act and Code (Appendix B)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BO-4</w:t>
            </w:r>
          </w:p>
        </w:tc>
        <w:tc>
          <w:tcPr/>
          <w:p>
            <w:pPr>
              <w:pStyle w:val="Compact"/>
            </w:pPr>
            <w:r>
              <w:t xml:space="preserve">Consumers see a truthful, current-enough view</w:t>
            </w:r>
          </w:p>
        </w:tc>
        <w:tc>
          <w:tcPr/>
          <w:p>
            <w:pPr>
              <w:pStyle w:val="Compact"/>
            </w:pPr>
            <w:r>
              <w:t xml:space="preserve">brief 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Versioned snapshots with explicit states; a cached snapshot can lag a notice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BO-5</w:t>
            </w:r>
          </w:p>
        </w:tc>
        <w:tc>
          <w:tcPr/>
          <w:p>
            <w:pPr>
              <w:pStyle w:val="Compact"/>
            </w:pPr>
            <w:r>
              <w:t xml:space="preserve">Commercial and personal data are not exposed</w:t>
            </w:r>
          </w:p>
        </w:tc>
        <w:tc>
          <w:tcPr/>
          <w:p>
            <w:pPr>
              <w:pStyle w:val="Compact"/>
            </w:pPr>
            <w:r>
              <w:t xml:space="preserve">implied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Met, with residual risk</w:t>
            </w:r>
          </w:p>
        </w:tc>
        <w:tc>
          <w:tcPr/>
          <w:p>
            <w:pPr>
              <w:pStyle w:val="Compact"/>
            </w:pPr>
            <w:r>
              <w:t xml:space="preserve">Content off-platform with owner-chosen recipients; metadata stays visible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BO-6</w:t>
            </w:r>
          </w:p>
        </w:tc>
        <w:tc>
          <w:tcPr/>
          <w:p>
            <w:pPr>
              <w:pStyle w:val="Compact"/>
            </w:pPr>
            <w:r>
              <w:t xml:space="preserve">Growth across products and regions without a rebuild</w:t>
            </w:r>
          </w:p>
        </w:tc>
        <w:tc>
          <w:tcPr/>
          <w:p>
            <w:pPr>
              <w:pStyle w:val="Compact"/>
            </w:pPr>
            <w:r>
              <w:t xml:space="preserve">brief 4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Partly met</w:t>
            </w:r>
          </w:p>
        </w:tc>
        <w:tc>
          <w:tcPr/>
          <w:p>
            <w:pPr>
              <w:pStyle w:val="Compact"/>
            </w:pPr>
            <w:r>
              <w:t xml:space="preserve">Profiles are additive; a region still needs a deployment and governance step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BO-7</w:t>
            </w:r>
          </w:p>
        </w:tc>
        <w:tc>
          <w:tcPr/>
          <w:p>
            <w:pPr>
              <w:pStyle w:val="Compact"/>
            </w:pPr>
            <w:r>
              <w:t xml:space="preserve">Operable by a small team at pilot scale</w:t>
            </w:r>
          </w:p>
        </w:tc>
        <w:tc>
          <w:tcPr/>
          <w:p>
            <w:pPr>
              <w:pStyle w:val="Compact"/>
            </w:pPr>
            <w:r>
              <w:t xml:space="preserve">C6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 at pilot scale</w:t>
            </w:r>
          </w:p>
        </w:tc>
        <w:tc>
          <w:tcPr/>
          <w:p>
            <w:pPr>
              <w:pStyle w:val="Compact"/>
            </w:pPr>
            <w:r>
              <w:t xml:space="preserve">Managed services, one deployable; two more operated environments exist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BO-8</w:t>
            </w:r>
          </w:p>
        </w:tc>
        <w:tc>
          <w:tcPr/>
          <w:p>
            <w:pPr>
              <w:pStyle w:val="Compact"/>
            </w:pPr>
            <w:r>
              <w:t xml:space="preserve">Device evidence without handing over raw telemetry</w:t>
            </w:r>
          </w:p>
        </w:tc>
        <w:tc>
          <w:tcPr/>
          <w:p>
            <w:pPr>
              <w:pStyle w:val="Compact"/>
            </w:pPr>
            <w:r>
              <w:t xml:space="preserve">brief 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Met, conditionally</w:t>
            </w:r>
          </w:p>
        </w:tc>
        <w:tc>
          <w:tcPr/>
          <w:p>
            <w:pPr>
              <w:pStyle w:val="Compact"/>
            </w:pPr>
            <w:r>
              <w:t xml:space="preserve">Collection and alarming stay local; summaries are attributable, coverage follows instrumentation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BO-9</w:t>
            </w:r>
          </w:p>
        </w:tc>
        <w:tc>
          <w:tcPr/>
          <w:p>
            <w:pPr>
              <w:pStyle w:val="Compact"/>
            </w:pPr>
            <w:r>
              <w:t xml:space="preserve">Regulatory screening as a capability, ML optional</w:t>
            </w:r>
          </w:p>
        </w:tc>
        <w:tc>
          <w:tcPr/>
          <w:p>
            <w:pPr>
              <w:pStyle w:val="Compact"/>
            </w:pPr>
            <w:r>
              <w:t xml:space="preserve">bonus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 structurally</w:t>
            </w:r>
          </w:p>
        </w:tc>
        <w:tc>
          <w:tcPr/>
          <w:p>
            <w:pPr>
              <w:pStyle w:val="Compact"/>
            </w:pPr>
            <w:r>
              <w:t xml:space="preserve">Analytics at all three C4 levels; depends on the regulator operating its runtime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BO-10</w:t>
            </w:r>
          </w:p>
        </w:tc>
        <w:tc>
          <w:tcPr/>
          <w:p>
            <w:pPr>
              <w:pStyle w:val="Compact"/>
            </w:pPr>
            <w:r>
              <w:t xml:space="preserve">Supply-chain insight is readable, not merely queryable</w:t>
            </w:r>
          </w:p>
        </w:tc>
        <w:tc>
          <w:tcPr/>
          <w:p>
            <w:pPr>
              <w:pStyle w:val="Compact"/>
            </w:pPr>
            <w:r>
              <w:t xml:space="preserve">brief 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Partly met</w:t>
            </w:r>
          </w:p>
        </w:tc>
        <w:tc>
          <w:tcPr/>
          <w:p>
            <w:pPr>
              <w:pStyle w:val="Compact"/>
            </w:pPr>
            <w:r>
              <w:t xml:space="preserve">Aggregation and scope designed; the view layer is a thin client, not specified</w:t>
            </w:r>
          </w:p>
        </w:tc>
      </w:tr>
    </w:tbl>
    <w:p>
      <w:pPr>
        <w:pStyle w:val="BodyText"/>
      </w:pPr>
      <w:r>
        <w:t xml:space="preserve">The evidentiary objectives are met strongly; both</w:t>
      </w:r>
      <w:r>
        <w:t xml:space="preserve"> </w:t>
      </w:r>
      <w:r>
        <w:rPr>
          <w:rStyle w:val="VerbatimChar"/>
        </w:rPr>
        <w:t xml:space="preserve">Partly met</w:t>
      </w:r>
      <w:r>
        <w:t xml:space="preserve"> </w:t>
      </w:r>
      <w:r>
        <w:t xml:space="preserve">rows are what the design cannot close alone — a second</w:t>
      </w:r>
      <w:r>
        <w:t xml:space="preserve"> </w:t>
      </w:r>
      <w:r>
        <w:t xml:space="preserve">region is a governance act, and a view layer is a client this report does not specify.</w:t>
      </w:r>
    </w:p>
    <w:bookmarkEnd w:id="72"/>
    <w:bookmarkStart w:id="73" w:name="X4127547ad29cb020ec8d2c9b020164405f0c3ba"/>
    <w:p>
      <w:pPr>
        <w:pStyle w:val="Heading3"/>
      </w:pPr>
      <w:r>
        <w:t xml:space="preserve">ATAM: what breaks, what does not, what trades off — rubric 5.3</w:t>
      </w:r>
    </w:p>
    <w:p>
      <w:pPr>
        <w:pStyle w:val="FirstParagraph"/>
      </w:pPr>
      <w:r>
        <w:t xml:space="preserve">ATAM rather than HAZOP: no physical process is controlled, and failure modes are already enumerated as lifecycle</w:t>
      </w:r>
      <w:r>
        <w:t xml:space="preserve"> </w:t>
      </w:r>
      <w:r>
        <w:t xml:space="preserve">states.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Driver</w:t>
            </w:r>
          </w:p>
        </w:tc>
        <w:tc>
          <w:tcPr/>
          <w:p>
            <w:pPr>
              <w:pStyle w:val="Compact"/>
            </w:pPr>
            <w:r>
              <w:t xml:space="preserve">Quality</w:t>
            </w:r>
          </w:p>
        </w:tc>
        <w:tc>
          <w:tcPr/>
          <w:p>
            <w:pPr>
              <w:pStyle w:val="Compact"/>
            </w:pPr>
            <w:r>
              <w:t xml:space="preserve">Scenario</w:t>
            </w:r>
          </w:p>
        </w:tc>
        <w:tc>
          <w:tcPr/>
          <w:p>
            <w:pPr>
              <w:pStyle w:val="Compact"/>
            </w:pPr>
            <w:r>
              <w:t xml:space="preserve">Importance</w:t>
            </w:r>
          </w:p>
        </w:tc>
        <w:tc>
          <w:tcPr/>
          <w:p>
            <w:pPr>
              <w:pStyle w:val="Compact"/>
            </w:pPr>
            <w:r>
              <w:t xml:space="preserve">Difficulty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BO-1</w:t>
            </w:r>
          </w:p>
        </w:tc>
        <w:tc>
          <w:tcPr/>
          <w:p>
            <w:pPr>
              <w:pStyle w:val="Compact"/>
            </w:pPr>
            <w:r>
              <w:t xml:space="preserve">Integrity</w:t>
            </w:r>
          </w:p>
        </w:tc>
        <w:tc>
          <w:tcPr/>
          <w:p>
            <w:pPr>
              <w:pStyle w:val="Compact"/>
            </w:pPr>
            <w:r>
              <w:t xml:space="preserve">QS-1 operator deletes a batch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BO-1</w:t>
            </w:r>
          </w:p>
        </w:tc>
        <w:tc>
          <w:tcPr/>
          <w:p>
            <w:pPr>
              <w:pStyle w:val="Compact"/>
            </w:pPr>
            <w:r>
              <w:t xml:space="preserve">Non-repudiation</w:t>
            </w:r>
          </w:p>
        </w:tc>
        <w:tc>
          <w:tcPr/>
          <w:p>
            <w:pPr>
              <w:pStyle w:val="Compact"/>
            </w:pPr>
            <w:r>
              <w:t xml:space="preserve">QS-2 event verified after two rotations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BO-1</w:t>
            </w:r>
          </w:p>
        </w:tc>
        <w:tc>
          <w:tcPr/>
          <w:p>
            <w:pPr>
              <w:pStyle w:val="Compact"/>
            </w:pPr>
            <w:r>
              <w:t xml:space="preserve">Recoverability</w:t>
            </w:r>
          </w:p>
        </w:tc>
        <w:tc>
          <w:tcPr/>
          <w:p>
            <w:pPr>
              <w:pStyle w:val="Compact"/>
            </w:pPr>
            <w:r>
              <w:t xml:space="preserve">QS-5 account lost after a receipt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BO-3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QS-3 recall during an archive outage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BO-4</w:t>
            </w:r>
          </w:p>
        </w:tc>
        <w:tc>
          <w:tcPr/>
          <w:p>
            <w:pPr>
              <w:pStyle w:val="Compact"/>
            </w:pPr>
            <w:r>
              <w:t xml:space="preserve">Performance</w:t>
            </w:r>
          </w:p>
        </w:tc>
        <w:tc>
          <w:tcPr/>
          <w:p>
            <w:pPr>
              <w:pStyle w:val="Compact"/>
            </w:pPr>
            <w:r>
              <w:t xml:space="preserve">QS-4 5 000 scans/s after a media story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BO-2</w:t>
            </w:r>
          </w:p>
        </w:tc>
        <w:tc>
          <w:tcPr/>
          <w:p>
            <w:pPr>
              <w:pStyle w:val="Compact"/>
            </w:pPr>
            <w:r>
              <w:t xml:space="preserve">Usability</w:t>
            </w:r>
          </w:p>
        </w:tc>
        <w:tc>
          <w:tcPr/>
          <w:p>
            <w:pPr>
              <w:pStyle w:val="Compact"/>
            </w:pPr>
            <w:r>
              <w:t xml:space="preserve">QS-6 capture with 36 hours without signal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BO-5</w:t>
            </w:r>
          </w:p>
        </w:tc>
        <w:tc>
          <w:tcPr/>
          <w:p>
            <w:pPr>
              <w:pStyle w:val="Compact"/>
            </w:pPr>
            <w:r>
              <w:t xml:space="preserve">Confidentiality</w:t>
            </w:r>
          </w:p>
        </w:tc>
        <w:tc>
          <w:tcPr/>
          <w:p>
            <w:pPr>
              <w:pStyle w:val="Compact"/>
            </w:pPr>
            <w:r>
              <w:t xml:space="preserve">QS-7 evidence request; QS-8 operations cannot read findings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H/M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BO-9</w:t>
            </w:r>
          </w:p>
        </w:tc>
        <w:tc>
          <w:tcPr/>
          <w:p>
            <w:pPr>
              <w:pStyle w:val="Compact"/>
            </w:pPr>
            <w:r>
              <w:t xml:space="preserve">Availability</w:t>
            </w:r>
          </w:p>
        </w:tc>
        <w:tc>
          <w:tcPr/>
          <w:p>
            <w:pPr>
              <w:pStyle w:val="Compact"/>
            </w:pPr>
            <w:r>
              <w:t xml:space="preserve">QS-11 analytics down while a case is open</w:t>
            </w:r>
          </w:p>
        </w:tc>
        <w:tc>
          <w:tcPr/>
          <w:p>
            <w:pPr>
              <w:pStyle w:val="Compact"/>
            </w:pPr>
            <w:r>
              <w:t xml:space="preserve">H</w:t>
            </w:r>
          </w:p>
        </w:tc>
        <w:tc>
          <w:tcPr/>
          <w:p>
            <w:pPr>
              <w:pStyle w:val="Compact"/>
            </w:pPr>
            <w:r>
              <w:t xml:space="preserve">M</w:t>
            </w:r>
          </w:p>
        </w:tc>
      </w:tr>
    </w:tbl>
    <w:p>
      <w:pPr>
        <w:pStyle w:val="BodyText"/>
      </w:pPr>
      <w:r>
        <w:rPr>
          <w:b/>
          <w:bCs/>
        </w:rPr>
        <w:t xml:space="preserve">Risks.</w:t>
      </w:r>
      <w:r>
        <w:t xml:space="preserve"> </w:t>
      </w:r>
      <w:r>
        <w:t xml:space="preserve">The confirmation gate depends on parties outside the design: a holder or the chain can stall ingestion,</w:t>
      </w:r>
      <w:r>
        <w:t xml:space="preserve"> </w:t>
      </w:r>
      <w:r>
        <w:t xml:space="preserve">and one relayer holds the only wallet (quorum of one, outbox buffering, key in KMS, deterministic leaves allow</w:t>
      </w:r>
      <w:r>
        <w:t xml:space="preserve"> </w:t>
      </w:r>
      <w:r>
        <w:t xml:space="preserve">re-anchoring). A flat read scope leaves admission as the only confidentiality control (entity verification,</w:t>
      </w:r>
      <w:r>
        <w:t xml:space="preserve"> </w:t>
      </w:r>
      <w:r>
        <w:t xml:space="preserve">sponsor, dual approval). The regulator may not operate its runtime (analytics is optional). A regional loss can take</w:t>
      </w:r>
      <w:r>
        <w:t xml:space="preserve"> </w:t>
      </w:r>
      <w:r>
        <w:t xml:space="preserve">24 hours, a target proven only by drill. The field floor grows and burdens the smallest participants; retirement is</w:t>
      </w:r>
      <w:r>
        <w:t xml:space="preserve"> </w:t>
      </w:r>
      <w:r>
        <w:t xml:space="preserve">a gap.</w:t>
      </w:r>
    </w:p>
    <w:p>
      <w:pPr>
        <w:pStyle w:val="BodyText"/>
      </w:pPr>
      <w:r>
        <w:rPr>
          <w:b/>
          <w:bCs/>
        </w:rPr>
        <w:t xml:space="preserve">Non-risks.</w:t>
      </w:r>
      <w:r>
        <w:t xml:space="preserve"> </w:t>
      </w:r>
      <w:r>
        <w:t xml:space="preserve">A monolith that will not scale — 10 000 events/day is one write every eight seconds. Chain cost</w:t>
      </w:r>
      <w:r>
        <w:t xml:space="preserve"> </w:t>
      </w:r>
      <w:r>
        <w:t xml:space="preserve">exploding — one transaction per window. A plaintext copy contradicting privacy — it holds what the platform may</w:t>
      </w:r>
      <w:r>
        <w:t xml:space="preserve"> </w:t>
      </w:r>
      <w:r>
        <w:t xml:space="preserve">already read, is rebuildable, and never holds private content. An immutable log defeating deletion — no</w:t>
      </w:r>
      <w:r>
        <w:t xml:space="preserve"> </w:t>
      </w:r>
      <w:r>
        <w:t xml:space="preserve">natural-person field enters it.</w:t>
      </w:r>
    </w:p>
    <w:p>
      <w:pPr>
        <w:pStyle w:val="BodyText"/>
      </w:pPr>
      <w:r>
        <w:rPr>
          <w:b/>
          <w:bCs/>
        </w:rPr>
        <w:t xml:space="preserve">Trade-offs.</w:t>
      </w:r>
      <w:r>
        <w:t xml:space="preserve"> </w:t>
      </w:r>
      <w:r>
        <w:t xml:space="preserve">Finality versus freshness: a shorter window improves visibility and raises cost; the provisional</w:t>
      </w:r>
      <w:r>
        <w:t xml:space="preserve"> </w:t>
      </w:r>
      <w:r>
        <w:t xml:space="preserve">plane is the compromise. Shared visibility versus confidentiality: a narrower scope would strengthen</w:t>
      </w:r>
      <w:r>
        <w:t xml:space="preserve"> </w:t>
      </w:r>
      <w:r>
        <w:t xml:space="preserve">confidentiality and weaken the recall-authority story. Evidentiary strength versus forensics: hosting private</w:t>
      </w:r>
      <w:r>
        <w:t xml:space="preserve"> </w:t>
      </w:r>
      <w:r>
        <w:t xml:space="preserve">content would help investigations and destroy the privacy claim.</w:t>
      </w:r>
    </w:p>
    <w:bookmarkEnd w:id="73"/>
    <w:bookmarkStart w:id="74" w:name="Xccc50b5a5f1fab7f2c03bfe5f2b04ef04f3d720"/>
    <w:p>
      <w:pPr>
        <w:pStyle w:val="Heading3"/>
      </w:pPr>
      <w:r>
        <w:t xml:space="preserve">What else could have been built — rubric 5.4</w:t>
      </w:r>
    </w:p>
    <w:p>
      <w:pPr>
        <w:pStyle w:val="FirstParagraph"/>
      </w:pPr>
      <w:r>
        <w:rPr>
          <w:b/>
          <w:bCs/>
        </w:rPr>
        <w:t xml:space="preserve">A1 — Permissioned consortium ledger.</w:t>
      </w:r>
      <w:r>
        <w:t xml:space="preserve"> </w:t>
      </w:r>
      <w:r>
        <w:t xml:space="preserve">Four to seven validators with BFT consensus give seconds-level finality and</w:t>
      </w:r>
      <w:r>
        <w:t xml:space="preserve"> </w:t>
      </w:r>
      <w:r>
        <w:t xml:space="preserve">finer privacy, but need four independent operators with HSMs, on-call and a charter; none exists (R1). It wins if an</w:t>
      </w:r>
      <w:r>
        <w:t xml:space="preserve"> </w:t>
      </w:r>
      <w:r>
        <w:t xml:space="preserve">industry body funds them.</w:t>
      </w:r>
    </w:p>
    <w:p>
      <w:pPr>
        <w:pStyle w:val="BodyText"/>
      </w:pPr>
      <w:r>
        <w:rPr>
          <w:b/>
          <w:bCs/>
        </w:rPr>
        <w:t xml:space="preserve">A2 — Trusted timestamping plus a transparency log.</w:t>
      </w:r>
      <w:r>
        <w:t xml:space="preserve"> </w:t>
      </w:r>
      <w:r>
        <w:t xml:space="preserve">WORM storage, RFC 3161 timestamps per batch digest and roots</w:t>
      </w:r>
      <w:r>
        <w:t xml:space="preserve"> </w:t>
      </w:r>
      <w:r>
        <w:t xml:space="preserve">in an auditor-co-signed append-only log: two or three trusted institutions instead of a public network, far cheaper,</w:t>
      </w:r>
      <w:r>
        <w:t xml:space="preserve"> </w:t>
      </w:r>
      <w:r>
        <w:t xml:space="preserve">and the strongest fallback. It wins if chain cost, finality variance or policy makes a public network untenable.</w:t>
      </w:r>
    </w:p>
    <w:p>
      <w:pPr>
        <w:pStyle w:val="BodyText"/>
      </w:pPr>
      <w:r>
        <w:rPr>
          <w:b/>
          <w:bCs/>
        </w:rPr>
        <w:t xml:space="preserve">A3 — Layer-2 anchoring.</w:t>
      </w:r>
      <w:r>
        <w:t xml:space="preserve"> </w:t>
      </w:r>
      <w:r>
        <w:t xml:space="preserve">The same envelope, leaves and proofs under a rollup: cost down by orders of magnitude and</w:t>
      </w:r>
      <w:r>
        <w:t xml:space="preserve"> </w:t>
      </w:r>
      <w:r>
        <w:t xml:space="preserve">faster confirmation, at the price of a sequencer and a seven-year bet on that L2.</w:t>
      </w:r>
    </w:p>
    <w:p>
      <w:pPr>
        <w:pStyle w:val="BodyText"/>
      </w:pPr>
      <w:r>
        <w:rPr>
          <w:b/>
          <w:bCs/>
        </w:rPr>
        <w:t xml:space="preserve">A4 — Microservices with an event bus.</w:t>
      </w:r>
      <w:r>
        <w:t xml:space="preserve"> </w:t>
      </w:r>
      <w:r>
        <w:t xml:space="preserve">The same responsibilities as separate services with per-service databases:</w:t>
      </w:r>
      <w:r>
        <w:t xml:space="preserve"> </w:t>
      </w:r>
      <w:r>
        <w:t xml:space="preserve">independent scaling, paid for with sagas, a broker, a registry and a platform team. Cost without benefit at 10 000</w:t>
      </w:r>
      <w:r>
        <w:t xml:space="preserve"> </w:t>
      </w:r>
      <w:r>
        <w:t xml:space="preserve">events/day.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Criterion</w:t>
            </w:r>
          </w:p>
        </w:tc>
        <w:tc>
          <w:tcPr/>
          <w:p>
            <w:pPr>
              <w:pStyle w:val="Compact"/>
            </w:pPr>
            <w:r>
              <w:t xml:space="preserve">Chosen</w:t>
            </w:r>
          </w:p>
        </w:tc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t xml:space="preserve">A4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verifiability</w:t>
            </w:r>
          </w:p>
        </w:tc>
        <w:tc>
          <w:tcPr/>
          <w:p>
            <w:pPr>
              <w:pStyle w:val="Compact"/>
            </w:pPr>
            <w:r>
              <w:t xml:space="preserve">Any third party</w:t>
            </w:r>
          </w:p>
        </w:tc>
        <w:tc>
          <w:tcPr/>
          <w:p>
            <w:pPr>
              <w:pStyle w:val="Compact"/>
            </w:pPr>
            <w:r>
              <w:t xml:space="preserve">Members only</w:t>
            </w:r>
          </w:p>
        </w:tc>
        <w:tc>
          <w:tcPr/>
          <w:p>
            <w:pPr>
              <w:pStyle w:val="Compact"/>
            </w:pPr>
            <w:r>
              <w:t xml:space="preserve">TSA plus auditor</w:t>
            </w:r>
          </w:p>
        </w:tc>
        <w:tc>
          <w:tcPr/>
          <w:p>
            <w:pPr>
              <w:pStyle w:val="Compact"/>
            </w:pPr>
            <w:r>
              <w:t xml:space="preserve">Public via L2</w:t>
            </w:r>
          </w:p>
        </w:tc>
        <w:tc>
          <w:tcPr/>
          <w:p>
            <w:pPr>
              <w:pStyle w:val="Compact"/>
            </w:pPr>
            <w:r>
              <w:t xml:space="preserve">Same as 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Independence</w:t>
            </w:r>
          </w:p>
        </w:tc>
        <w:tc>
          <w:tcPr/>
          <w:p>
            <w:pPr>
              <w:pStyle w:val="Compact"/>
            </w:pPr>
            <w:r>
              <w:t xml:space="preserve">Holder, KMS, chain</w:t>
            </w:r>
          </w:p>
        </w:tc>
        <w:tc>
          <w:tcPr/>
          <w:p>
            <w:pPr>
              <w:pStyle w:val="Compact"/>
            </w:pPr>
            <w:r>
              <w:t xml:space="preserve">Validator set</w:t>
            </w:r>
          </w:p>
        </w:tc>
        <w:tc>
          <w:tcPr/>
          <w:p>
            <w:pPr>
              <w:pStyle w:val="Compact"/>
            </w:pPr>
            <w:r>
              <w:t xml:space="preserve">TSA and log operator</w:t>
            </w:r>
          </w:p>
        </w:tc>
        <w:tc>
          <w:tcPr/>
          <w:p>
            <w:pPr>
              <w:pStyle w:val="Compact"/>
            </w:pPr>
            <w:r>
              <w:t xml:space="preserve">Same as chosen</w:t>
            </w:r>
          </w:p>
        </w:tc>
        <w:tc>
          <w:tcPr/>
          <w:p>
            <w:pPr>
              <w:pStyle w:val="Compact"/>
            </w:pPr>
            <w:r>
              <w:t xml:space="preserve">Same as chosen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burden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Lowest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t xml:space="preserve">Feasibility now (C6)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Indicative annual cost</w:t>
            </w:r>
          </w:p>
        </w:tc>
        <w:tc>
          <w:tcPr/>
          <w:p>
            <w:pPr>
              <w:pStyle w:val="Compact"/>
            </w:pPr>
            <w:r>
              <w:t xml:space="preserve">Cloud plus A$40–80k anchoring</w:t>
            </w:r>
          </w:p>
        </w:tc>
        <w:tc>
          <w:tcPr/>
          <w:p>
            <w:pPr>
              <w:pStyle w:val="Compact"/>
            </w:pPr>
            <w:r>
              <w:t xml:space="preserve">Staff plus infrastructure</w:t>
            </w:r>
          </w:p>
        </w:tc>
        <w:tc>
          <w:tcPr/>
          <w:p>
            <w:pPr>
              <w:pStyle w:val="Compact"/>
            </w:pPr>
            <w:r>
              <w:t xml:space="preserve">Cloud plus TSA fees</w:t>
            </w:r>
          </w:p>
        </w:tc>
        <w:tc>
          <w:tcPr/>
          <w:p>
            <w:pPr>
              <w:pStyle w:val="Compact"/>
            </w:pPr>
            <w:r>
              <w:t xml:space="preserve">Cloud plus negligible anchoring</w:t>
            </w:r>
          </w:p>
        </w:tc>
        <w:tc>
          <w:tcPr/>
          <w:p>
            <w:pPr>
              <w:pStyle w:val="Compact"/>
            </w:pPr>
            <w:r>
              <w:t xml:space="preserve">Cloud plus platform team</w:t>
            </w:r>
          </w:p>
        </w:tc>
      </w:tr>
    </w:tbl>
    <w:p>
      <w:pPr>
        <w:pStyle w:val="BodyText"/>
      </w:pPr>
      <w:r>
        <w:t xml:space="preserve">The chosen design is not the best in the abstract but the cheapest that keeps BO-1’s promise without institutions</w:t>
      </w:r>
      <w:r>
        <w:t xml:space="preserve"> </w:t>
      </w:r>
      <w:r>
        <w:t xml:space="preserve">that do not exist. Every alternative changes the edges, not the core.</w:t>
      </w:r>
    </w:p>
    <w:bookmarkEnd w:id="74"/>
    <w:bookmarkEnd w:id="75"/>
    <w:bookmarkEnd w:id="76"/>
    <w:bookmarkStart w:id="79" w:name="appendix-a-traceability"/>
    <w:p>
      <w:pPr>
        <w:pStyle w:val="Heading1"/>
      </w:pPr>
      <w:r>
        <w:t xml:space="preserve">Appendix A — Traceability</w:t>
      </w:r>
    </w:p>
    <w:p>
      <w:pPr>
        <w:pStyle w:val="FirstParagraph"/>
      </w:pPr>
      <w:r>
        <w:t xml:space="preserve">This appendix carries the two matrices that the body refers to, because they are reference material: a reader</w:t>
      </w:r>
      <w:r>
        <w:t xml:space="preserve"> </w:t>
      </w:r>
      <w:r>
        <w:t xml:space="preserve">consults them to check a link, not to understand the design.</w:t>
      </w:r>
    </w:p>
    <w:bookmarkStart w:id="77" w:name="Xd4090330fb7444a67a1b0d031de8c0872bd5f0a"/>
    <w:p>
      <w:pPr>
        <w:pStyle w:val="Heading2"/>
      </w:pPr>
      <w:r>
        <w:t xml:space="preserve">A.1 Quality requirement to mechanism to component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Requirement</w:t>
            </w:r>
          </w:p>
        </w:tc>
        <w:tc>
          <w:tcPr/>
          <w:p>
            <w:pPr>
              <w:pStyle w:val="Compact"/>
            </w:pPr>
            <w:r>
              <w:t xml:space="preserve">Mechanism</w:t>
            </w:r>
          </w:p>
        </w:tc>
        <w:tc>
          <w:tcPr/>
          <w:p>
            <w:pPr>
              <w:pStyle w:val="Compact"/>
            </w:pPr>
            <w:r>
              <w:t xml:space="preserve">Where it lives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SQ-1 Integrity</w:t>
            </w:r>
          </w:p>
        </w:tc>
        <w:tc>
          <w:tcPr/>
          <w:p>
            <w:pPr>
              <w:pStyle w:val="Compact"/>
            </w:pPr>
            <w:r>
              <w:t xml:space="preserve">Append-only records, signed digest, external acknowledgement, Merkle inclusion, verifiable batch sequence</w:t>
            </w:r>
          </w:p>
        </w:tc>
        <w:tc>
          <w:tcPr/>
          <w:p>
            <w:pPr>
              <w:pStyle w:val="Compact"/>
            </w:pPr>
            <w:r>
              <w:t xml:space="preserve">Orchestrator; relayer; archive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SQ-2 Non-repudiation</w:t>
            </w:r>
          </w:p>
        </w:tc>
        <w:tc>
          <w:tcPr/>
          <w:p>
            <w:pPr>
              <w:pStyle w:val="Compact"/>
            </w:pPr>
            <w:r>
              <w:t xml:space="preserve">One envelope for all custody modes; key history retained; acceptance-time authority kept separate from cryptographic validity</w:t>
            </w:r>
          </w:p>
        </w:tc>
        <w:tc>
          <w:tcPr/>
          <w:p>
            <w:pPr>
              <w:pStyle w:val="Compact"/>
            </w:pPr>
            <w:r>
              <w:t xml:space="preserve">Signature &amp; Authority Validator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SQ-3 Availability</w:t>
            </w:r>
          </w:p>
        </w:tc>
        <w:tc>
          <w:tcPr/>
          <w:p>
            <w:pPr>
              <w:pStyle w:val="Compact"/>
            </w:pPr>
            <w:r>
              <w:t xml:space="preserve">Fail-closed writes with idempotent retry; reads from materialised data; analytics never in the write path</w:t>
            </w:r>
          </w:p>
        </w:tc>
        <w:tc>
          <w:tcPr/>
          <w:p>
            <w:pPr>
              <w:pStyle w:val="Compact"/>
            </w:pPr>
            <w:r>
              <w:t xml:space="preserve">State machine; workers; outbox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SQ-4 Performance</w:t>
            </w:r>
          </w:p>
        </w:tc>
        <w:tc>
          <w:tcPr/>
          <w:p>
            <w:pPr>
              <w:pStyle w:val="Compact"/>
            </w:pPr>
            <w:r>
              <w:t xml:space="preserve">Edge snapshots; lineage from the plaintext query copy; bounded synchronous traversal</w:t>
            </w:r>
          </w:p>
        </w:tc>
        <w:tc>
          <w:tcPr/>
          <w:p>
            <w:pPr>
              <w:pStyle w:val="Compact"/>
            </w:pPr>
            <w:r>
              <w:t xml:space="preserve">Snapshot delivery;</w:t>
            </w:r>
            <w:r>
              <w:t xml:space="preserve"> </w:t>
            </w:r>
            <w:r>
              <w:rPr>
                <w:rStyle w:val="VerbatimChar"/>
              </w:rPr>
              <w:t xml:space="preserve">QueryStore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QueryPort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SQ-5 Recoverability</w:t>
            </w:r>
          </w:p>
        </w:tc>
        <w:tc>
          <w:tcPr/>
          <w:p>
            <w:pPr>
              <w:pStyle w:val="Compact"/>
            </w:pPr>
            <w:r>
              <w:t xml:space="preserve">The archive, not the database, is the copy of record; a recovery identity outside the platform rebuilds</w:t>
            </w:r>
          </w:p>
        </w:tc>
        <w:tc>
          <w:tcPr/>
          <w:p>
            <w:pPr>
              <w:pStyle w:val="Compact"/>
            </w:pPr>
            <w:r>
              <w:t xml:space="preserve">Archive; recovery identity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SQ-6 Usability and accessibility</w:t>
            </w:r>
          </w:p>
        </w:tc>
        <w:tc>
          <w:tcPr/>
          <w:p>
            <w:pPr>
              <w:pStyle w:val="Compact"/>
            </w:pPr>
            <w:r>
              <w:t xml:space="preserve">Browser-first capture, durable offline queue, client-generated identifiers, device-bound signing</w:t>
            </w:r>
          </w:p>
        </w:tc>
        <w:tc>
          <w:tcPr/>
          <w:p>
            <w:pPr>
              <w:pStyle w:val="Compact"/>
            </w:pPr>
            <w:r>
              <w:t xml:space="preserve">Portal;</w:t>
            </w:r>
            <w:r>
              <w:t xml:space="preserve"> </w:t>
            </w:r>
            <w:r>
              <w:rPr>
                <w:rStyle w:val="VerbatimChar"/>
              </w:rPr>
              <w:t xml:space="preserve">CaptureSubmission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SQ-7 Privacy</w:t>
            </w:r>
          </w:p>
        </w:tc>
        <w:tc>
          <w:tcPr/>
          <w:p>
            <w:pPr>
              <w:pStyle w:val="Compact"/>
            </w:pPr>
            <w:r>
              <w:t xml:space="preserve">Three visibility classes with no middle tier; content off-platform behind a salted commitment; no natural-person field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ProtectedResourceRef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SignatureEnvelope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SQ-8 Interoperability</w:t>
            </w:r>
          </w:p>
        </w:tc>
        <w:tc>
          <w:tcPr/>
          <w:p>
            <w:pPr>
              <w:pStyle w:val="Compact"/>
            </w:pPr>
            <w:r>
              <w:t xml:space="preserve">EPCIS 2.0 / CBV; versioned profiles; chain-agnostic leaves</w:t>
            </w:r>
          </w:p>
        </w:tc>
        <w:tc>
          <w:tcPr/>
          <w:p>
            <w:pPr>
              <w:pStyle w:val="Compact"/>
            </w:pPr>
            <w:r>
              <w:t xml:space="preserve">Canonicalisation; profile registry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SQ-9 Auditability</w:t>
            </w:r>
          </w:p>
        </w:tc>
        <w:tc>
          <w:tcPr/>
          <w:p>
            <w:pPr>
              <w:pStyle w:val="Compact"/>
            </w:pPr>
            <w:r>
              <w:t xml:space="preserve">Watermarks on every projection; replayable derivation; findings bound to rule version and watermark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QueryPort</w:t>
            </w:r>
            <w:r>
              <w:t xml:space="preserve">; graph builder; manifest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SQ-10 Cost</w:t>
            </w:r>
          </w:p>
        </w:tc>
        <w:tc>
          <w:tcPr/>
          <w:p>
            <w:pPr>
              <w:pStyle w:val="Compact"/>
            </w:pPr>
            <w:r>
              <w:t xml:space="preserve">One modular application, one managed database, no broker, batched anchoring</w:t>
            </w:r>
          </w:p>
        </w:tc>
        <w:tc>
          <w:tcPr/>
          <w:p>
            <w:pPr>
              <w:pStyle w:val="Compact"/>
            </w:pPr>
            <w:r>
              <w:t xml:space="preserve">Container and deployment 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SQ-11 Device evidence</w:t>
            </w:r>
          </w:p>
        </w:tc>
        <w:tc>
          <w:tcPr/>
          <w:p>
            <w:pPr>
              <w:pStyle w:val="Compact"/>
            </w:pPr>
            <w:r>
              <w:t xml:space="preserve">Summary fields declared by the profile, carried as extension fields, raw data behind a reference</w:t>
            </w:r>
          </w:p>
        </w:tc>
        <w:tc>
          <w:tcPr/>
          <w:p>
            <w:pPr>
              <w:pStyle w:val="Compact"/>
            </w:pPr>
            <w:r>
              <w:t xml:space="preserve">Profile validator;</w:t>
            </w:r>
            <w:r>
              <w:t xml:space="preserve"> </w:t>
            </w:r>
            <w:r>
              <w:rPr>
                <w:rStyle w:val="VerbatimChar"/>
              </w:rPr>
              <w:t xml:space="preserve">ProtectedResourceRef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SQ-12 Regulatory screening</w:t>
            </w:r>
          </w:p>
        </w:tc>
        <w:tc>
          <w:tcPr/>
          <w:p>
            <w:pPr>
              <w:pStyle w:val="Compact"/>
            </w:pPr>
            <w:r>
              <w:t xml:space="preserve">Signed rule versions run in the regulator’s workspace; the advisory returns as a signed message</w:t>
            </w:r>
          </w:p>
        </w:tc>
        <w:tc>
          <w:tcPr/>
          <w:p>
            <w:pPr>
              <w:pStyle w:val="Compact"/>
            </w:pPr>
            <w:r>
              <w:t xml:space="preserve">Analytics workspace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SQ-13 Analysability</w:t>
            </w:r>
          </w:p>
        </w:tc>
        <w:tc>
          <w:tcPr/>
          <w:p>
            <w:pPr>
              <w:pStyle w:val="Compact"/>
            </w:pPr>
            <w:r>
              <w:t xml:space="preserve">Aggregates materialised over the confirmed projection at a watermark, under the same scope rules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Insights</w:t>
            </w:r>
            <w:r>
              <w:t xml:space="preserve"> </w:t>
            </w:r>
            <w:r>
              <w:t xml:space="preserve">module</w:t>
            </w:r>
          </w:p>
        </w:tc>
      </w:tr>
    </w:tbl>
    <w:bookmarkEnd w:id="77"/>
    <w:bookmarkStart w:id="78" w:name="a.2-class-to-component-to-container"/>
    <w:p>
      <w:pPr>
        <w:pStyle w:val="Heading2"/>
      </w:pPr>
      <w:r>
        <w:t xml:space="preserve">A.2 Class to component to container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Container</w:t>
            </w:r>
          </w:p>
        </w:tc>
        <w:tc>
          <w:tcPr/>
          <w:p>
            <w:pPr>
              <w:pStyle w:val="Compact"/>
            </w:pPr>
            <w:r>
              <w:t xml:space="preserve">Classes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Capture API, Idempotency</w:t>
            </w:r>
          </w:p>
        </w:tc>
        <w:tc>
          <w:tcPr/>
          <w:p>
            <w:pPr>
              <w:pStyle w:val="Compact"/>
            </w:pPr>
            <w:r>
              <w:t xml:space="preserve">Traceability Application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CaptureSubmission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ProtectedResourceRef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Canonicalisation, Signature Validator</w:t>
            </w:r>
          </w:p>
        </w:tc>
        <w:tc>
          <w:tcPr/>
          <w:p>
            <w:pPr>
              <w:pStyle w:val="Compact"/>
            </w:pPr>
            <w:r>
              <w:t xml:space="preserve">Traceability Application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CanonicalEvent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ProfileVersion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SignatureEnvelope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Archive &amp; Anchor Orchestrator</w:t>
            </w:r>
          </w:p>
        </w:tc>
        <w:tc>
          <w:tcPr/>
          <w:p>
            <w:pPr>
              <w:pStyle w:val="Compact"/>
            </w:pPr>
            <w:r>
              <w:t xml:space="preserve">Traceability Application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ArchiveEnvelope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ArchiveAck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MerkleLeaf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AnchorBatch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AcceptanceReceipt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Store, Graph Builder, QueryPort</w:t>
            </w:r>
          </w:p>
        </w:tc>
        <w:tc>
          <w:tcPr/>
          <w:p>
            <w:pPr>
              <w:pStyle w:val="Compact"/>
            </w:pPr>
            <w:r>
              <w:t xml:space="preserve">Traceability Application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EvidenceEdge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EdgeType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EdgeQuery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EdgeGroup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Anchor Intent Reader, Leaf Allocator, Batch Builder, Chain Submitter, Finality Watcher</w:t>
            </w:r>
          </w:p>
        </w:tc>
        <w:tc>
          <w:tcPr/>
          <w:p>
            <w:pPr>
              <w:pStyle w:val="Compact"/>
            </w:pPr>
            <w:r>
              <w:t xml:space="preserve">Batch Builder &amp; Relayer</w:t>
            </w:r>
          </w:p>
        </w:tc>
        <w:tc>
          <w:tcPr/>
          <w:p>
            <w:pPr>
              <w:pStyle w:val="Compact"/>
            </w:pPr>
            <w:r>
              <w:t xml:space="preserve">— (operates on</w:t>
            </w:r>
            <w:r>
              <w:t xml:space="preserve"> </w:t>
            </w:r>
            <w:r>
              <w:rPr>
                <w:rStyle w:val="VerbatimChar"/>
              </w:rPr>
              <w:t xml:space="preserve">MerkleLeaf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AnchorBatch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Analytics Workspace components</w:t>
            </w:r>
          </w:p>
        </w:tc>
        <w:tc>
          <w:tcPr/>
          <w:p>
            <w:pPr>
              <w:pStyle w:val="Compact"/>
            </w:pPr>
            <w:r>
              <w:t xml:space="preserve">Analytics Workspace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DatasetSnapshot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ScreeningRun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RuleVersion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RuleVersionManifest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AdvisoryFinding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DisclosurePolicy</w:t>
            </w:r>
          </w:p>
        </w:tc>
      </w:tr>
    </w:tbl>
    <w:bookmarkEnd w:id="78"/>
    <w:bookmarkEnd w:id="79"/>
    <w:bookmarkStart w:id="80" w:name="appendix-b-regulation"/>
    <w:p>
      <w:pPr>
        <w:pStyle w:val="Heading1"/>
      </w:pPr>
      <w:r>
        <w:t xml:space="preserve">Appendix B — Regulation</w:t>
      </w:r>
    </w:p>
    <w:p>
      <w:pPr>
        <w:pStyle w:val="FirstParagraph"/>
      </w:pPr>
      <w:r>
        <w:t xml:space="preserve">The body cites obligations in passing. This appendix says what each citation requires and where the design</w:t>
      </w:r>
      <w:r>
        <w:t xml:space="preserve"> </w:t>
      </w:r>
      <w:r>
        <w:t xml:space="preserve">answers 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Obligation</w:t>
            </w:r>
          </w:p>
        </w:tc>
        <w:tc>
          <w:tcPr/>
          <w:p>
            <w:pPr>
              <w:pStyle w:val="Compact"/>
            </w:pPr>
            <w:r>
              <w:t xml:space="preserve">What it requires</w:t>
            </w:r>
          </w:p>
        </w:tc>
        <w:tc>
          <w:tcPr/>
          <w:p>
            <w:pPr>
              <w:pStyle w:val="Compact"/>
            </w:pPr>
            <w:r>
              <w:t xml:space="preserve">Where the design answers 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Food safety duties and recall powers (NSW Food Act 2003; Food Standards Code)</w:t>
            </w:r>
          </w:p>
        </w:tc>
        <w:tc>
          <w:tcPr/>
          <w:p>
            <w:pPr>
              <w:pStyle w:val="Compact"/>
            </w:pPr>
            <w:r>
              <w:t xml:space="preserve">Conservative recall traversal, signed official notices, and a clear split between</w:t>
            </w:r>
            <w:r>
              <w:t xml:space="preserve"> </w:t>
            </w:r>
            <w:r>
              <w:t xml:space="preserve">“possibly affected”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“confirmed unsafe”</w:t>
            </w:r>
          </w:p>
        </w:tc>
        <w:tc>
          <w:tcPr/>
          <w:p>
            <w:pPr>
              <w:pStyle w:val="Compact"/>
            </w:pPr>
            <w:r>
              <w:t xml:space="preserve">Recall scope at a fixed watermark with provisional set labelled (BO-3); signed notices as canonical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Australian Privacy Principles; NSW PPIP Act 1998</w:t>
            </w:r>
          </w:p>
        </w:tc>
        <w:tc>
          <w:tcPr/>
          <w:p>
            <w:pPr>
              <w:pStyle w:val="Compact"/>
            </w:pPr>
            <w:r>
              <w:t xml:space="preserve">No personal identifiers in an immutable trace, minimisation at ingestion, correction and deletion in the mutable layer</w:t>
            </w:r>
          </w:p>
        </w:tc>
        <w:tc>
          <w:tcPr/>
          <w:p>
            <w:pPr>
              <w:pStyle w:val="Compact"/>
            </w:pPr>
            <w:r>
              <w:t xml:space="preserve">Three visibility classes; no natural-person field in the event model; private evidence off-platform (SP-3, SP-4)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Records retention and legal hold</w:t>
            </w:r>
          </w:p>
        </w:tc>
        <w:tc>
          <w:tcPr/>
          <w:p>
            <w:pPr>
              <w:pStyle w:val="Compact"/>
            </w:pPr>
            <w:r>
              <w:t xml:space="preserve">Per-class retention, terminal deletion states, defensible deletion records</w:t>
            </w:r>
          </w:p>
        </w:tc>
        <w:tc>
          <w:tcPr/>
          <w:p>
            <w:pPr>
              <w:pStyle w:val="Compact"/>
            </w:pPr>
            <w:r>
              <w:t xml:space="preserve">Retention state machine, three-party deletion, anchored deletion record (2.3–2.4)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Evidentiary expectations</w:t>
            </w:r>
          </w:p>
        </w:tc>
        <w:tc>
          <w:tcPr/>
          <w:p>
            <w:pPr>
              <w:pStyle w:val="Compact"/>
            </w:pPr>
            <w:r>
              <w:t xml:space="preserve">Chain of custody, authentication, reproducible derivation</w:t>
            </w:r>
          </w:p>
        </w:tc>
        <w:tc>
          <w:tcPr/>
          <w:p>
            <w:pPr>
              <w:pStyle w:val="Compact"/>
            </w:pPr>
            <w:r>
              <w:t xml:space="preserve">Signed declarations, holder acknowledgement, inclusion and consistency proofs, replayable derivation (SQ-1, SQ-9)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Government procurement and residency</w:t>
            </w:r>
          </w:p>
        </w:tc>
        <w:tc>
          <w:tcPr/>
          <w:p>
            <w:pPr>
              <w:pStyle w:val="Compact"/>
            </w:pPr>
            <w:r>
              <w:t xml:space="preserve">Australian regions for non-public data; analytics in the regulator’s own account</w:t>
            </w:r>
          </w:p>
        </w:tc>
        <w:tc>
          <w:tcPr/>
          <w:p>
            <w:pPr>
              <w:pStyle w:val="Compact"/>
            </w:pPr>
            <w:r>
              <w:t xml:space="preserve">Sydney primary with Melbourne copies; four accounts (2.5–2.6, 4.14)</w:t>
            </w:r>
          </w:p>
        </w:tc>
      </w:tr>
    </w:tbl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3" Target="media/rId43.png" /><Relationship Type="http://schemas.openxmlformats.org/officeDocument/2006/relationships/image" Id="rId36" Target="media/rId36.png" /><Relationship Type="http://schemas.openxmlformats.org/officeDocument/2006/relationships/image" Id="rId26" Target="media/rId26.png" /><Relationship Type="http://schemas.openxmlformats.org/officeDocument/2006/relationships/image" Id="rId19" Target="media/rId19.png" /><Relationship Type="http://schemas.openxmlformats.org/officeDocument/2006/relationships/image" Id="rId55" Target="media/rId55.png" /><Relationship Type="http://schemas.openxmlformats.org/officeDocument/2006/relationships/image" Id="rId65" Target="media/rId65.png" /><Relationship Type="http://schemas.openxmlformats.org/officeDocument/2006/relationships/image" Id="rId62" Target="media/rId62.png" /><Relationship Type="http://schemas.openxmlformats.org/officeDocument/2006/relationships/image" Id="rId58" Target="media/rId58.png" /><Relationship Type="http://schemas.openxmlformats.org/officeDocument/2006/relationships/image" Id="rId40" Target="media/rId40.png" /><Relationship Type="http://schemas.openxmlformats.org/officeDocument/2006/relationships/image" Id="rId30" Target="media/rId30.png" /><Relationship Type="http://schemas.openxmlformats.org/officeDocument/2006/relationships/image" Id="rId23" Target="media/rId23.png" /><Relationship Type="http://schemas.openxmlformats.org/officeDocument/2006/relationships/image" Id="rId51" Target="media/rId51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2026-10-18T11:41:15Z</dcterms:created>
  <dcterms:modified xsi:type="dcterms:W3CDTF">2026-10-18T11:41:15Z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