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558"/>
        <w:gridCol w:w="1370"/>
        <w:gridCol w:w="1417"/>
        <w:gridCol w:w="1843"/>
        <w:gridCol w:w="2368"/>
        <w:gridCol w:w="2168"/>
        <w:gridCol w:w="1331"/>
      </w:tblGrid>
      <w:tr w:rsidR="00B110A5" w:rsidTr="001E3E2D">
        <w:tc>
          <w:tcPr>
            <w:tcW w:w="895" w:type="dxa"/>
          </w:tcPr>
          <w:p w:rsidR="00B110A5" w:rsidRDefault="00B110A5">
            <w:r>
              <w:t>item</w:t>
            </w:r>
          </w:p>
        </w:tc>
        <w:tc>
          <w:tcPr>
            <w:tcW w:w="1558" w:type="dxa"/>
          </w:tcPr>
          <w:p w:rsidR="00B110A5" w:rsidRDefault="00B110A5">
            <w:r>
              <w:t>C</w:t>
            </w:r>
            <w:r>
              <w:rPr>
                <w:rFonts w:hint="eastAsia"/>
              </w:rPr>
              <w:t xml:space="preserve">omponent </w:t>
            </w:r>
          </w:p>
        </w:tc>
        <w:tc>
          <w:tcPr>
            <w:tcW w:w="1370" w:type="dxa"/>
          </w:tcPr>
          <w:p w:rsidR="00B110A5" w:rsidRDefault="00B110A5">
            <w:r>
              <w:rPr>
                <w:rFonts w:hint="eastAsia"/>
              </w:rPr>
              <w:t>s/c fault</w:t>
            </w:r>
          </w:p>
        </w:tc>
        <w:tc>
          <w:tcPr>
            <w:tcW w:w="1417" w:type="dxa"/>
          </w:tcPr>
          <w:p w:rsidR="00B110A5" w:rsidRDefault="00B110A5">
            <w:r>
              <w:rPr>
                <w:rFonts w:hint="eastAsia"/>
              </w:rPr>
              <w:t>o/c fault</w:t>
            </w:r>
          </w:p>
        </w:tc>
        <w:tc>
          <w:tcPr>
            <w:tcW w:w="1843" w:type="dxa"/>
          </w:tcPr>
          <w:p w:rsidR="00B110A5" w:rsidRDefault="00B110A5">
            <w:r>
              <w:t>H</w:t>
            </w:r>
            <w:r>
              <w:rPr>
                <w:rFonts w:hint="eastAsia"/>
              </w:rPr>
              <w:t>azard</w:t>
            </w:r>
            <w:r>
              <w:t xml:space="preserve"> of fault</w:t>
            </w:r>
          </w:p>
        </w:tc>
        <w:tc>
          <w:tcPr>
            <w:tcW w:w="2368" w:type="dxa"/>
          </w:tcPr>
          <w:p w:rsidR="00B110A5" w:rsidRDefault="00B110A5">
            <w:r>
              <w:t>R</w:t>
            </w:r>
            <w:r>
              <w:rPr>
                <w:rFonts w:hint="eastAsia"/>
              </w:rPr>
              <w:t xml:space="preserve">esponse </w:t>
            </w:r>
            <w:r>
              <w:t>of hardware/software</w:t>
            </w:r>
          </w:p>
        </w:tc>
        <w:tc>
          <w:tcPr>
            <w:tcW w:w="2168" w:type="dxa"/>
          </w:tcPr>
          <w:p w:rsidR="00B110A5" w:rsidRDefault="00B110A5">
            <w:r>
              <w:t>R</w:t>
            </w:r>
            <w:r>
              <w:rPr>
                <w:rFonts w:hint="eastAsia"/>
              </w:rPr>
              <w:t xml:space="preserve">esponse </w:t>
            </w:r>
            <w:r>
              <w:t>time of hardware/software</w:t>
            </w:r>
          </w:p>
        </w:tc>
        <w:tc>
          <w:tcPr>
            <w:tcW w:w="1331" w:type="dxa"/>
          </w:tcPr>
          <w:p w:rsidR="00B110A5" w:rsidRDefault="00B110A5">
            <w:r>
              <w:t>remark</w:t>
            </w:r>
          </w:p>
        </w:tc>
      </w:tr>
      <w:tr w:rsidR="002B6E0F" w:rsidTr="001E3E2D">
        <w:tc>
          <w:tcPr>
            <w:tcW w:w="895" w:type="dxa"/>
            <w:vMerge w:val="restart"/>
          </w:tcPr>
          <w:p w:rsidR="002B6E0F" w:rsidRPr="001E3E2D" w:rsidRDefault="002B6E0F">
            <w:pPr>
              <w:rPr>
                <w:sz w:val="20"/>
                <w:szCs w:val="20"/>
              </w:rPr>
            </w:pPr>
            <w:r w:rsidRPr="001E3E2D">
              <w:rPr>
                <w:sz w:val="20"/>
                <w:szCs w:val="20"/>
              </w:rPr>
              <w:t>1. Over temp.</w:t>
            </w: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 w:val="restart"/>
          </w:tcPr>
          <w:p w:rsidR="002B6E0F" w:rsidRPr="001E3E2D" w:rsidRDefault="002B6E0F">
            <w:pPr>
              <w:rPr>
                <w:sz w:val="20"/>
                <w:szCs w:val="20"/>
              </w:rPr>
            </w:pPr>
            <w:r w:rsidRPr="001E3E2D">
              <w:rPr>
                <w:sz w:val="20"/>
                <w:szCs w:val="20"/>
              </w:rPr>
              <w:t>2. Over current</w:t>
            </w: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Pr="001E3E2D" w:rsidRDefault="002B6E0F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 w:val="restart"/>
          </w:tcPr>
          <w:p w:rsidR="002B6E0F" w:rsidRPr="001E3E2D" w:rsidRDefault="002B6E0F">
            <w:pPr>
              <w:rPr>
                <w:sz w:val="20"/>
                <w:szCs w:val="20"/>
              </w:rPr>
            </w:pPr>
            <w:r w:rsidRPr="001E3E2D">
              <w:rPr>
                <w:sz w:val="20"/>
                <w:szCs w:val="20"/>
              </w:rPr>
              <w:t>3. Over voltage</w:t>
            </w:r>
          </w:p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Default="002B6E0F"/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Default="002B6E0F"/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  <w:tr w:rsidR="002B6E0F" w:rsidTr="001E3E2D">
        <w:tc>
          <w:tcPr>
            <w:tcW w:w="895" w:type="dxa"/>
            <w:vMerge/>
          </w:tcPr>
          <w:p w:rsidR="002B6E0F" w:rsidRDefault="002B6E0F"/>
        </w:tc>
        <w:tc>
          <w:tcPr>
            <w:tcW w:w="1558" w:type="dxa"/>
          </w:tcPr>
          <w:p w:rsidR="002B6E0F" w:rsidRDefault="002B6E0F"/>
        </w:tc>
        <w:tc>
          <w:tcPr>
            <w:tcW w:w="1370" w:type="dxa"/>
          </w:tcPr>
          <w:p w:rsidR="002B6E0F" w:rsidRDefault="002B6E0F"/>
        </w:tc>
        <w:tc>
          <w:tcPr>
            <w:tcW w:w="1417" w:type="dxa"/>
          </w:tcPr>
          <w:p w:rsidR="002B6E0F" w:rsidRDefault="002B6E0F"/>
        </w:tc>
        <w:tc>
          <w:tcPr>
            <w:tcW w:w="1843" w:type="dxa"/>
          </w:tcPr>
          <w:p w:rsidR="002B6E0F" w:rsidRDefault="002B6E0F"/>
        </w:tc>
        <w:tc>
          <w:tcPr>
            <w:tcW w:w="2368" w:type="dxa"/>
          </w:tcPr>
          <w:p w:rsidR="002B6E0F" w:rsidRDefault="002B6E0F"/>
        </w:tc>
        <w:tc>
          <w:tcPr>
            <w:tcW w:w="2168" w:type="dxa"/>
          </w:tcPr>
          <w:p w:rsidR="002B6E0F" w:rsidRDefault="002B6E0F"/>
        </w:tc>
        <w:tc>
          <w:tcPr>
            <w:tcW w:w="1331" w:type="dxa"/>
          </w:tcPr>
          <w:p w:rsidR="002B6E0F" w:rsidRDefault="002B6E0F"/>
        </w:tc>
      </w:tr>
    </w:tbl>
    <w:p w:rsidR="0024337B" w:rsidRDefault="0024337B"/>
    <w:p w:rsidR="00162EB0" w:rsidRDefault="00162EB0">
      <w:r>
        <w:rPr>
          <w:rFonts w:hint="eastAsia"/>
        </w:rPr>
        <w:t>分别列出充电过温，充电过压，充电过流这三个保护电路中的重要元件，然后分析这些元件的单一失效情况。</w:t>
      </w:r>
    </w:p>
    <w:sectPr w:rsidR="00162EB0" w:rsidSect="00B110A5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0A5"/>
    <w:rsid w:val="00090324"/>
    <w:rsid w:val="00162EB0"/>
    <w:rsid w:val="001E3E2D"/>
    <w:rsid w:val="0024337B"/>
    <w:rsid w:val="002B6E0F"/>
    <w:rsid w:val="004476CA"/>
    <w:rsid w:val="00B1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B324"/>
  <w15:chartTrackingRefBased/>
  <w15:docId w15:val="{C937CEC1-6E1D-4029-A6A1-58737A3F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6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Silvia</dc:creator>
  <cp:keywords/>
  <dc:description/>
  <cp:lastModifiedBy>Zeng, Victor</cp:lastModifiedBy>
  <cp:revision>1</cp:revision>
  <dcterms:created xsi:type="dcterms:W3CDTF">2021-08-05T01:27:00Z</dcterms:created>
  <dcterms:modified xsi:type="dcterms:W3CDTF">2021-08-05T01:27:00Z</dcterms:modified>
</cp:coreProperties>
</file>