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论文调研进展报告</w:t>
      </w:r>
    </w:p>
    <w:p>
      <w:pPr>
        <w:spacing w:after="360"/>
        <w:jc w:val="center"/>
      </w:pPr>
      <w:r>
        <w:rPr>
          <w:rFonts w:ascii="黑体" w:hAnsi="黑体" w:eastAsia="黑体"/>
          <w:color w:val="505050"/>
          <w:sz w:val="24"/>
        </w:rPr>
        <w:t>儿童能力画像与儿童 AI 交互方向</w:t>
      </w:r>
    </w:p>
    <w:p>
      <w:pPr>
        <w:pStyle w:val="BodyText"/>
      </w:pPr>
      <w:r>
        <w:t>本周围绕项目可能形成论文的研究空间开展了初步调研。调研先从与项目相关的研究方向入手，梳理代表性论文的研究动机、系统设计、方法与贡献，再将已有工作与当前项目进行比较，重点寻找可以借鉴的研究路径、尚未被充分讨论的问题，以及能够进一步转化为论文研究问题的切入点。目前已形成四类文献主题，并在儿童纠错、家长参与和双端呈现等方向上完成了进一步阅读。</w:t>
      </w:r>
    </w:p>
    <w:p>
      <w:pPr>
        <w:pStyle w:val="Heading1"/>
      </w:pPr>
      <w:r>
        <w:t>一 调研目标与思路</w:t>
      </w:r>
    </w:p>
    <w:p>
      <w:pPr>
        <w:pStyle w:val="BodyText"/>
      </w:pPr>
      <w:r>
        <w:t>本阶段调研的主要目标不是完整覆盖某一领域，而是围绕项目快速建立研究坐标：了解相近系统已经解决了什么问题、采用了什么研究方法、贡献通常如何表述，并据此判断我们的项目还可以补充哪些实证工作或设计贡献。</w:t>
      </w:r>
    </w:p>
    <w:p>
      <w:pPr>
        <w:pStyle w:val="BodyText"/>
      </w:pPr>
      <w:r>
        <w:t>具体过程分为三步：第一，查找儿童能力评估、儿童与生成式 AI 交互、家庭参与等相关论文；第二，比较这些工作与项目在研究对象、交互流程、证据来源和结果呈现上的共性与差异；第三，根据比较结果提出可能的论文方向，并继续阅读与这些方向直接相关的论文。</w:t>
      </w:r>
    </w:p>
    <w:p>
      <w:pPr>
        <w:pStyle w:val="Heading1"/>
      </w:pPr>
      <w:r>
        <w:t>二 已调研的主要内容</w:t>
      </w:r>
    </w:p>
    <w:p>
      <w:pPr>
        <w:pStyle w:val="Heading2"/>
      </w:pPr>
      <w:r>
        <w:t>1 多元能力与游戏化评估</w:t>
      </w:r>
    </w:p>
    <w:p>
      <w:pPr>
        <w:pStyle w:val="BodyText"/>
      </w:pPr>
      <w:r>
        <w:t>该方向主要关注如何把多元智能或兴趣特征转化为可观察、可记录的指标，并通过数字化系统完成评分、可视化和建议生成。已阅读的 MULIA 等工作表明，相关研究通常强调指标设计、专家验证、评分一致性和系统可用性，并谨慎地将结果表述为可变化的学习偏好，而不是对儿童能力作永久诊断。另一类在线识别系统则通过问卷和简单加权形成多维画像，但普遍较依赖自陈数据，缺少活动过程与行为证据的共同解释。</w:t>
      </w:r>
    </w:p>
    <w:p>
      <w:pPr>
        <w:pStyle w:val="Heading2"/>
      </w:pPr>
      <w:r>
        <w:t>2 儿童与 AI 共创 学习和过程证据</w:t>
      </w:r>
    </w:p>
    <w:p>
      <w:pPr>
        <w:pStyle w:val="BodyText"/>
      </w:pPr>
      <w:r>
        <w:t>该方向关注 AI 进入故事创作、阅读、绘画、编程或问题解决活动后，如何影响儿童的参与、表达、学习与创造。已有工作主要把 AI 视为共创伙伴或学习支架，通过追问、提示和任务调整降低参与门槛。与项目相关的启发是，研究重点可以从最终得分转向儿童在自然活动中的行为过程，并将过程证据用于解释画像，而不是只给出一个结论。</w:t>
      </w:r>
    </w:p>
    <w:p>
      <w:pPr>
        <w:pStyle w:val="Heading2"/>
      </w:pPr>
      <w:r>
        <w:t>3 儿童对 AI 的理解 信任和纠错</w:t>
      </w:r>
    </w:p>
    <w:p>
      <w:pPr>
        <w:pStyle w:val="BodyText"/>
      </w:pPr>
      <w:r>
        <w:t>该方向主要讨论儿童如何理解 AI 推理、是否信任 AI 信息，以及在发现错误时如何反应。相关研究显示，儿童会持续追问，也能够在一定条件下识别并质疑 AI 错误，但总体上仍可能对 AI 保持较高信任。关于儿童能动性的综述进一步提出，儿童应能够拒绝建议、修改输出、要求重新生成，并理解系统能力与局限。这为项目中的儿童纠错机制提供了较直接的理论依据。</w:t>
      </w:r>
    </w:p>
    <w:p>
      <w:pPr>
        <w:pStyle w:val="Heading2"/>
      </w:pPr>
      <w:r>
        <w:t>4 家长参与 双端呈现和家庭协商</w:t>
      </w:r>
    </w:p>
    <w:p>
      <w:pPr>
        <w:pStyle w:val="BodyText"/>
      </w:pPr>
      <w:r>
        <w:t>该方向关注 AI 进入家庭后，儿童、家长、教师或专业人员如何共同理解信息并作出决定。已进一步阅读家长需求调研、StoryMate、SET-PAiREd 和 Teddy AI 等工作。它们共同说明，家长不应只是查看后台数据的旁观者，而应成为儿童活动的支持者、信息解释者或共同讲述者；同时，家长参与程度需要根据时间、能力和动机等情境变化，儿童端与家长端也应采用差异化的内容与交互方式。</w:t>
      </w:r>
    </w:p>
    <w:p>
      <w:pPr>
        <w:pStyle w:val="Heading1"/>
      </w:pPr>
      <w:r>
        <w:t>三 代表性论文与项目关联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tblHeader w:val="true"/>
        </w:trPr>
        <w:tc>
          <w:tcPr>
            <w:tcW w:type="dxa" w:w="2891"/>
            <w:vAlign w:val="center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代表性工作</w:t>
            </w:r>
          </w:p>
        </w:tc>
        <w:tc>
          <w:tcPr>
            <w:tcW w:type="dxa" w:w="2835"/>
            <w:vAlign w:val="center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主要关注点</w:t>
            </w:r>
          </w:p>
        </w:tc>
        <w:tc>
          <w:tcPr>
            <w:tcW w:type="dxa" w:w="3005"/>
            <w:vAlign w:val="center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对项目的启发</w:t>
            </w:r>
          </w:p>
        </w:tc>
      </w:tr>
      <w:tr>
        <w:tc>
          <w:tcPr>
            <w:tcW w:type="dxa" w:w="28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宋体" w:hAnsi="宋体" w:eastAsia="宋体"/>
                <w:sz w:val="18"/>
              </w:rPr>
              <w:t>MULIA</w:t>
            </w:r>
          </w:p>
        </w:tc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宋体" w:hAnsi="宋体" w:eastAsia="宋体"/>
                <w:sz w:val="18"/>
              </w:rPr>
              <w:t>将多元智能转化为幼儿可观察行为，并进行多层验证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宋体" w:hAnsi="宋体" w:eastAsia="宋体"/>
                <w:sz w:val="18"/>
              </w:rPr>
              <w:t>画像需要可解释的行为指标，并明确结果边界</w:t>
            </w:r>
          </w:p>
        </w:tc>
      </w:tr>
      <w:tr>
        <w:tc>
          <w:tcPr>
            <w:tcW w:type="dxa" w:w="28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EF3F8"/>
          </w:tcPr>
          <w:p>
            <w:pPr>
              <w:spacing w:after="0" w:line="283" w:lineRule="auto"/>
            </w:pPr>
            <w:r>
              <w:rPr>
                <w:rFonts w:ascii="宋体" w:hAnsi="宋体" w:eastAsia="宋体"/>
                <w:sz w:val="18"/>
              </w:rPr>
              <w:t>Children’s Mental Models of AI Reasoning</w:t>
            </w:r>
          </w:p>
        </w:tc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EF3F8"/>
          </w:tcPr>
          <w:p>
            <w:pPr>
              <w:spacing w:after="0" w:line="283" w:lineRule="auto"/>
            </w:pPr>
            <w:r>
              <w:rPr>
                <w:rFonts w:ascii="宋体" w:hAnsi="宋体" w:eastAsia="宋体"/>
                <w:sz w:val="18"/>
              </w:rPr>
              <w:t>研究儿童如何理解和质疑 AI 推理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EF3F8"/>
          </w:tcPr>
          <w:p>
            <w:pPr>
              <w:spacing w:after="0" w:line="283" w:lineRule="auto"/>
            </w:pPr>
            <w:r>
              <w:rPr>
                <w:rFonts w:ascii="宋体" w:hAnsi="宋体" w:eastAsia="宋体"/>
                <w:sz w:val="18"/>
              </w:rPr>
              <w:t>把纠错从识别 AI 错误迁移到质疑 AI 对自己的画像</w:t>
            </w:r>
          </w:p>
        </w:tc>
      </w:tr>
      <w:tr>
        <w:tc>
          <w:tcPr>
            <w:tcW w:type="dxa" w:w="28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宋体" w:hAnsi="宋体" w:eastAsia="宋体"/>
                <w:sz w:val="18"/>
              </w:rPr>
              <w:t>SET-PAiREd</w:t>
            </w:r>
          </w:p>
        </w:tc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宋体" w:hAnsi="宋体" w:eastAsia="宋体"/>
                <w:sz w:val="18"/>
              </w:rPr>
              <w:t>根据技能 动力和时间设计不同家长参与情境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宋体" w:hAnsi="宋体" w:eastAsia="宋体"/>
                <w:sz w:val="18"/>
              </w:rPr>
              <w:t>家长反问应情境化，重点是校准而不是增加提问数量</w:t>
            </w:r>
          </w:p>
        </w:tc>
      </w:tr>
      <w:tr>
        <w:tc>
          <w:tcPr>
            <w:tcW w:type="dxa" w:w="289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EF3F8"/>
          </w:tcPr>
          <w:p>
            <w:pPr>
              <w:spacing w:after="0" w:line="283" w:lineRule="auto"/>
            </w:pPr>
            <w:r>
              <w:rPr>
                <w:rFonts w:ascii="宋体" w:hAnsi="宋体" w:eastAsia="宋体"/>
                <w:sz w:val="18"/>
              </w:rPr>
              <w:t>Teddy AI</w:t>
            </w:r>
          </w:p>
        </w:tc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EF3F8"/>
          </w:tcPr>
          <w:p>
            <w:pPr>
              <w:spacing w:after="0" w:line="283" w:lineRule="auto"/>
            </w:pPr>
            <w:r>
              <w:rPr>
                <w:rFonts w:ascii="宋体" w:hAnsi="宋体" w:eastAsia="宋体"/>
                <w:sz w:val="18"/>
              </w:rPr>
              <w:t>儿童对话界面与家长仪表板的双端架构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EF3F8"/>
          </w:tcPr>
          <w:p>
            <w:pPr>
              <w:spacing w:after="0" w:line="283" w:lineRule="auto"/>
            </w:pPr>
            <w:r>
              <w:rPr>
                <w:rFonts w:ascii="宋体" w:hAnsi="宋体" w:eastAsia="宋体"/>
                <w:sz w:val="18"/>
              </w:rPr>
              <w:t>比较儿童端与家长端的差异化呈现及反馈回流</w:t>
            </w:r>
          </w:p>
        </w:tc>
      </w:tr>
    </w:tbl>
    <w:p>
      <w:pPr>
        <w:pStyle w:val="Heading1"/>
      </w:pPr>
      <w:r>
        <w:t>四 阶段性发现</w:t>
      </w:r>
    </w:p>
    <w:p>
      <w:pPr>
        <w:pStyle w:val="ListBullet"/>
      </w:pPr>
      <w:r>
        <w:t>现有儿童能力评估研究多以问卷、教师观察或固定指标形成结果，项目可以进一步强调活动过程证据，并解释画像结论如何由具体行为产生。</w:t>
      </w:r>
    </w:p>
    <w:p>
      <w:pPr>
        <w:pStyle w:val="ListBullet"/>
      </w:pPr>
      <w:r>
        <w:t>对儿童的描述不宜被包装成稳定、永久的能力诊断，更适合表述为当前活动中的行为倾向、兴趣线索或可继续探索的方向。</w:t>
      </w:r>
    </w:p>
    <w:p>
      <w:pPr>
        <w:pStyle w:val="ListBullet"/>
      </w:pPr>
      <w:r>
        <w:t>儿童并非只能接受 AI 结论。拒绝、修改、举出反例和决定是否保留证据，都可以成为可观察的能动性指标。</w:t>
      </w:r>
    </w:p>
    <w:p>
      <w:pPr>
        <w:pStyle w:val="ListBullet"/>
      </w:pPr>
      <w:r>
        <w:t>家长端不应只是儿童结果的展示后台。更有研究价值的问题是，家长如何补充证据、理解不确定性，并与儿童共同协商画像。</w:t>
      </w:r>
    </w:p>
    <w:p>
      <w:pPr>
        <w:pStyle w:val="ListBullet"/>
      </w:pPr>
      <w:r>
        <w:t>同一份数据需要面向儿童和家长采用不同叙事。儿童端应支持理解与表达异议，家长端应呈现证据、解释边界并支持后续行动。</w:t>
      </w:r>
    </w:p>
    <w:p>
      <w:pPr>
        <w:pStyle w:val="Heading1"/>
      </w:pPr>
      <w:r>
        <w:t>五 初步形成的论文方向</w:t>
      </w:r>
    </w:p>
    <w:p>
      <w:pPr>
        <w:pStyle w:val="BodyText"/>
      </w:pPr>
      <w:r>
        <w:rPr>
          <w:b/>
        </w:rPr>
        <w:t>方向一 过程证据驱动的儿童画像。</w:t>
      </w:r>
      <w:r>
        <w:t>研究如何从故事共创、阅读或其他自然活动中提取行为证据，并将其组织为可理解、可追溯的倾向描述。重点比较仅展示结论与同时展示行为证据时，儿童和家长对画像的理解与信任差异。</w:t>
      </w:r>
    </w:p>
    <w:p>
      <w:pPr>
        <w:pStyle w:val="BodyText"/>
      </w:pPr>
      <w:r>
        <w:rPr>
          <w:b/>
        </w:rPr>
        <w:t>方向二 儿童对 AI 自我画像的纠错与能动性。</w:t>
      </w:r>
      <w:r>
        <w:t>把已有研究中儿童识别 AI 推理错误的问题迁移到自我表征场景，考察儿童能否理解画像来源、拒绝不符合自己的描述、给出反例，并使系统结果发生可见变化。</w:t>
      </w:r>
    </w:p>
    <w:p>
      <w:pPr>
        <w:pStyle w:val="BodyText"/>
      </w:pPr>
      <w:r>
        <w:rPr>
          <w:b/>
        </w:rPr>
        <w:t>方向三 家长作为画像校准者的参与机制。</w:t>
      </w:r>
      <w:r>
        <w:t>研究家长在 AI 画像与日常观察一致、互补或冲突时的接受度和行动反应，并探索何时提问、问什么、如何让家长补充证据，而不是简单增加家长控制。</w:t>
      </w:r>
    </w:p>
    <w:p>
      <w:pPr>
        <w:pStyle w:val="BodyText"/>
      </w:pPr>
      <w:r>
        <w:rPr>
          <w:b/>
        </w:rPr>
        <w:t>方向四 双端差异化呈现与家庭协商。</w:t>
      </w:r>
      <w:r>
        <w:t>围绕同一组儿童行为数据，设计儿童端和家长端的差异化报告，比较家长是否能看到行为证据、是否能反馈修改等变量对信任、理解和亲子讨论的影响。</w:t>
      </w:r>
    </w:p>
    <w:p>
      <w:pPr>
        <w:pStyle w:val="Heading1"/>
      </w:pPr>
      <w:r>
        <w:t>六 当前进展与下一步计划</w:t>
      </w:r>
    </w:p>
    <w:p>
      <w:pPr>
        <w:pStyle w:val="BodyText"/>
      </w:pPr>
      <w:r>
        <w:t>目前已完成相关研究方向的初步划分，梳理了多篇代表性论文的研究贡献与共性，并围绕家长参与、儿童纠错和双端呈现进行了进一步阅读。现阶段较有潜力的主线是：以活动过程证据形成儿童画像，同时让儿童拥有纠错权，让家长以校准者和共同讲述者的方式参与。该主线能够把项目现有功能与儿童能动性、多利益相关者参与和可解释画像等研究议题连接起来。</w:t>
      </w:r>
    </w:p>
    <w:p>
      <w:pPr>
        <w:pStyle w:val="BodyText"/>
      </w:pPr>
      <w:r>
        <w:t>下一步将继续收敛论文问题，优先明确研究对象、核心变量和评价指标；补充与儿童自我表征、家庭协商和可解释 AI 相关的文献；在项目流程中标出可直接用于实验对比的关键环节，并据此形成一版研究问题与实验设计草案。</w:t>
      </w:r>
    </w:p>
    <w:sectPr w:rsidR="00FC693F" w:rsidRPr="0006063C" w:rsidSect="00034616">
      <w:footerReference w:type="default" r:id="rId9"/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46464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48" w:lineRule="auto"/>
      <w:ind w:firstLine="420"/>
      <w:jc w:val="both"/>
    </w:pPr>
    <w:rPr>
      <w:rFonts w:ascii="宋体" w:hAnsi="宋体" w:eastAsia="宋体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80"/>
      <w:ind w:left="420" w:hanging="238"/>
      <w:contextualSpacing/>
    </w:pPr>
    <w:rPr>
      <w:rFonts w:ascii="宋体" w:hAnsi="宋体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论文调研进展报告</dc:title>
  <dc:subject>儿童能力画像与儿童 AI 交互方向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