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ind w:left="0"/>
      </w:pPr>
      <w:r>
        <w:t xml:space="preserve">I CAPÍTULO I</w:t>
      </w:r>
    </w:p>
    <w:p>
      <w:pPr>
        <w:pStyle w:val="Heading2"/>
        <w:ind w:left="400"/>
      </w:pPr>
      <w:r>
        <w:t xml:space="preserve">1.2 ASPECTOS ACADÉMICOS</w:t>
      </w:r>
    </w:p>
    <w:p>
      <w:pPr>
        <w:ind w:left="400"/>
      </w:pPr>
      <w:r>
        <w:br/>
        <w:t xml:space="preserve">probando la edicion de texto</w:t>
      </w:r>
    </w:p>
    <w:p>
      <w:pPr>
        <w:pStyle w:val="Heading4"/>
        <w:ind w:left="1200"/>
      </w:pPr>
      <w:r>
        <w:t xml:space="preserve"> ACTIVIDADES DE INVESTIGACIÓN, DESARROLLO CIENTÍFICO, TECNOLÓGICO, INNOVACIÓN Y EMPRENDIMIENTO</w:t>
      </w:r>
    </w:p>
    <w:p>
      <w:pPr>
        <w:ind w:left="1200"/>
      </w:pPr>
      <w:r>
        <w:br/>
        <w:t xml:space="preserve">esto funciona ya edita texto 😁😁</w:t>
      </w:r>
    </w:p>
    <w:p>
      <w:pPr>
        <w:pStyle w:val="Heading4"/>
        <w:ind w:left="1200"/>
      </w:pPr>
      <w:r>
        <w:t xml:space="preserve"> IMPULSO AL LIDERAZGO, LA REPRESENTACIÓN Y LA ORGANIZACIÓN ESTUDIANTIL</w:t>
      </w:r>
    </w:p>
    <w:p>
      <w:pPr>
        <w:ind w:left="1200"/>
      </w:pPr>
      <w:r>
        <w:br/>
        <w:t xml:space="preserve">esto ya funciona jejej
si se&amp;ntilde;or
ya funciona
hola
si
no
no
</w:t>
      </w:r>
    </w:p>
    <w:p>
      <w:pPr>
        <w:pStyle w:val="Heading4"/>
        <w:ind w:left="1200"/>
      </w:pPr>
      <w:r>
        <w:t xml:space="preserve"> Torneo WER Nacional 2025</w:t>
      </w:r>
    </w:p>
    <w:p>
      <w:pPr>
        <w:ind w:left="1200"/>
      </w:pPr>
      <w:r>
        <w:br/>
        <w:t xml:space="preserve">En f&amp;iacute;sica nuclear, la fisi&amp;oacute;n (no confundir con la fusi&amp;oacute;n nuclear) es la divisi&amp;oacute;n de un n&amp;uacute;cleo en n&amp;uacute;cleos m&amp;aacute;s livianos,​​ adem&amp;aacute;s de algunos subproductos como neutrones libres, fotones (generalmente rayos gamma)&amp;nbsp;</w:t>
      </w:r>
    </w:p>
    <w:p>
      <w:pPr>
        <w:pStyle w:val="Heading3"/>
        <w:ind w:left="800"/>
      </w:pPr>
      <w:r>
        <w:t xml:space="preserve">2.6 Semana Tecnológica 2024</w:t>
      </w:r>
    </w:p>
    <w:p>
      <w:pPr>
        <w:pStyle w:val="Heading3"/>
        <w:ind w:left="800"/>
      </w:pPr>
      <w:r>
        <w:t xml:space="preserve">2.7 Congreso Latin Food</w:t>
      </w:r>
    </w:p>
    <w:p>
      <w:pPr>
        <w:pStyle w:val="Heading4"/>
        <w:ind w:left="1200"/>
      </w:pPr>
      <w:r>
        <w:t xml:space="preserve"> Día del Ingeniero en Gestión Empresarial</w:t>
      </w:r>
    </w:p>
    <w:p>
      <w:pPr>
        <w:ind w:left="1200"/>
      </w:pPr>
      <w:r>
        <w:br/>
        <w:t xml:space="preserve">dia del ingeniero en GEM</w:t>
      </w:r>
    </w:p>
    <w:p>
      <w:pPr>
        <w:pStyle w:val="Heading4"/>
        <w:ind w:left="1200"/>
      </w:pPr>
      <w:r>
        <w:t xml:space="preserve"> Foro interinstitucional de Emprendimiento Social UG/ITESG</w:t>
      </w:r>
    </w:p>
    <w:p>
      <w:pPr>
        <w:pStyle w:val="Heading4"/>
        <w:ind w:left="1200"/>
      </w:pPr>
      <w:r>
        <w:t xml:space="preserve"> PROMOCIÓN E IMPULSO A LA INVESTIGACIÓN Y A LAS VOCACIONES CIENTÍFICAS</w:t>
      </w:r>
    </w:p>
    <w:p>
      <w:pPr>
        <w:ind w:left="1200"/>
      </w:pPr>
      <w:r>
        <w:br/>
        <w:t xml:space="preserve">el texto se deberia de generar en esta seccion jijijij</w:t>
      </w:r>
    </w:p>
    <w:p>
      <w:pPr>
        <w:pStyle w:val="Heading3"/>
        <w:ind w:left="800"/>
      </w:pPr>
      <w:r>
        <w:t xml:space="preserve">2.11 Eventos Académicos</w:t>
      </w:r>
    </w:p>
    <w:p>
      <w:pPr>
        <w:pStyle w:val="Heading2"/>
        <w:ind w:left="400"/>
      </w:pPr>
      <w:r>
        <w:t xml:space="preserve">1.12 FORMACIÓN INTEGRAL DE LOS ESTUDIANTES</w:t>
      </w:r>
    </w:p>
    <w:p>
      <w:pPr>
        <w:pStyle w:val="Heading4"/>
        <w:ind w:left="1200"/>
      </w:pPr>
      <w:r>
        <w:t xml:space="preserve"> Proyecto cultural</w:t>
      </w:r>
    </w:p>
    <w:p>
      <w:pPr>
        <w:pStyle w:val="Heading2"/>
        <w:ind w:left="400"/>
      </w:pPr>
      <w:r>
        <w:t xml:space="preserve">1.14 PROGRAMA DE FORMACIÓN DUAL</w:t>
      </w:r>
    </w:p>
    <w:p>
      <w:pPr>
        <w:pStyle w:val="Heading2"/>
        <w:ind w:left="400"/>
      </w:pPr>
      <w:r>
        <w:t xml:space="preserve">1.15 PROGRAMA DE TUTORÍAS</w:t>
      </w:r>
    </w:p>
    <w:p>
      <w:pPr>
        <w:pStyle w:val="Heading2"/>
        <w:ind w:left="400"/>
      </w:pPr>
      <w:r>
        <w:t xml:space="preserve">1.16 PROGRAMA INSTITUCIONAL DE TUTORÍAS</w:t>
      </w:r>
    </w:p>
    <w:p>
      <w:pPr>
        <w:pStyle w:val="Heading4"/>
        <w:ind w:left="1200"/>
      </w:pPr>
      <w:r>
        <w:t xml:space="preserve"> Enseñanza del Idioma inglés</w:t>
      </w:r>
    </w:p>
    <w:p>
      <w:pPr>
        <w:pStyle w:val="Heading2"/>
        <w:ind w:left="400"/>
      </w:pPr>
      <w:r>
        <w:t xml:space="preserve">1.18 RESIDENCIAS</w:t>
      </w:r>
    </w:p>
    <w:p>
      <w:pPr>
        <w:pStyle w:val="Heading3"/>
        <w:ind w:left="800"/>
      </w:pPr>
      <w:r>
        <w:t xml:space="preserve">18.19 Visitas Industriales</w:t>
      </w:r>
    </w:p>
    <w:p>
      <w:pPr>
        <w:pStyle w:val="Heading2"/>
        <w:ind w:left="400"/>
      </w:pPr>
      <w:r>
        <w:t xml:space="preserve">1.20 ESTUDIANTES EN RIESGO</w:t>
      </w:r>
    </w:p>
    <w:p>
      <w:pPr>
        <w:pStyle w:val="Heading3"/>
        <w:ind w:left="800"/>
      </w:pPr>
      <w:r>
        <w:t xml:space="preserve">20.21 Atención Psicológica</w:t>
      </w:r>
    </w:p>
    <w:p>
      <w:pPr>
        <w:pStyle w:val="Heading4"/>
        <w:ind w:left="1200"/>
      </w:pPr>
      <w:r>
        <w:t xml:space="preserve"> ASPECTOS ACADÉMICOS Y DE LA FORMACIÓN PROFESIONAL</w:t>
      </w:r>
    </w:p>
    <w:p>
      <w:pPr>
        <w:pStyle w:val="Heading2"/>
        <w:ind w:left="400"/>
      </w:pPr>
      <w:r>
        <w:t xml:space="preserve">1.23 PROGRAMAS EDUCATIVOS</w:t>
      </w:r>
    </w:p>
    <w:p>
      <w:pPr>
        <w:pStyle w:val="Heading2"/>
        <w:ind w:left="400"/>
      </w:pPr>
      <w:r>
        <w:t xml:space="preserve">1.24 OFERTA EDUCATIVA DEL NIVEL SUPERIOR</w:t>
      </w:r>
    </w:p>
    <w:p>
      <w:pPr>
        <w:pStyle w:val="Heading2"/>
        <w:ind w:left="400"/>
      </w:pPr>
      <w:r>
        <w:t xml:space="preserve">1.25 IMPLEMENTACIÓN DEL MODELO EDUCATIVO</w:t>
      </w:r>
    </w:p>
    <w:p>
      <w:pPr>
        <w:pStyle w:val="Heading2"/>
        <w:ind w:left="400"/>
      </w:pPr>
      <w:r>
        <w:t xml:space="preserve">1.26 ESTRUCTURA DE CARGA HORARIA</w:t>
      </w:r>
    </w:p>
    <w:p>
      <w:pPr>
        <w:pStyle w:val="Heading2"/>
        <w:ind w:left="400"/>
      </w:pPr>
      <w:r>
        <w:t xml:space="preserve">1.27 SISTEMA DE EDUCACIÓN DIGITAL</w:t>
      </w:r>
    </w:p>
    <w:p>
      <w:pPr>
        <w:pStyle w:val="Heading4"/>
        <w:ind w:left="1200"/>
      </w:pPr>
      <w:r>
        <w:t xml:space="preserve"> RECONOCIMIENTO A LA CALIDAD DE LA OFERTA EDUCATIVA</w:t>
      </w:r>
    </w:p>
    <w:p>
      <w:pPr>
        <w:pStyle w:val="Heading4"/>
        <w:ind w:left="1200"/>
      </w:pPr>
      <w:r>
        <w:t xml:space="preserve"> ACTIVIDADES RELEVANTES DE LAS ACADEMIAS ITESG</w:t>
      </w:r>
    </w:p>
    <w:p>
      <w:pPr>
        <w:pStyle w:val="Heading2"/>
        <w:ind w:left="400"/>
      </w:pPr>
      <w:r>
        <w:t xml:space="preserve">1.30 ACADEMIA DE INGENIERÍA INDUSTRIAL</w:t>
      </w:r>
    </w:p>
    <w:p>
      <w:pPr>
        <w:pStyle w:val="Heading2"/>
        <w:ind w:left="400"/>
      </w:pPr>
      <w:r>
        <w:t xml:space="preserve">1.31 ACADEMIA DE INGENIERÍA EN MECATRÓNICA</w:t>
      </w:r>
    </w:p>
    <w:p>
      <w:pPr>
        <w:pStyle w:val="Heading4"/>
        <w:ind w:left="1200"/>
      </w:pPr>
      <w:r>
        <w:t xml:space="preserve"> ACADEMIA DE INGENIERÍA EN SISTEMAS COMPUTACIONALES</w:t>
      </w:r>
    </w:p>
    <w:p>
      <w:pPr>
        <w:pStyle w:val="Heading4"/>
        <w:ind w:left="1200"/>
      </w:pPr>
      <w:r>
        <w:t xml:space="preserve"> ACADEMIA DE INGENIERÍA EN INDUSTRIAS ALIMENTARIAS</w:t>
      </w:r>
    </w:p>
    <w:p>
      <w:pPr>
        <w:pStyle w:val="Heading4"/>
        <w:ind w:left="1200"/>
      </w:pPr>
      <w:r>
        <w:t xml:space="preserve"> ACADEMIA DE INGENIERÍA EN GESTIÓN EMPRESARIAL</w:t>
      </w:r>
    </w:p>
    <w:p>
      <w:pPr>
        <w:pStyle w:val="Heading2"/>
        <w:ind w:left="400"/>
      </w:pPr>
      <w:r>
        <w:t xml:space="preserve">1.35 ACADEMIA DE INGLÉS</w:t>
      </w:r>
    </w:p>
    <w:p>
      <w:pPr>
        <w:pStyle w:val="Heading3"/>
        <w:ind w:left="800"/>
      </w:pPr>
      <w:r>
        <w:t xml:space="preserve">1.35.1 prueba</w:t>
      </w:r>
    </w:p>
    <w:p>
      <w:pPr>
        <w:ind w:left="800"/>
      </w:pPr>
      <w:r>
        <w:br/>
        <w:t xml:space="preserve">la acdemia de ingles se basa en blablablabla</w:t>
      </w:r>
    </w:p>
    <w:p>
      <w:pPr>
        <w:pStyle w:val="Heading2"/>
        <w:ind w:left="400"/>
      </w:pPr>
      <w:r>
        <w:t xml:space="preserve">1.36 ACADEMIA DE CIENCIAS BÁSICAS</w:t>
      </w:r>
    </w:p>
    <w:p>
      <w:pPr>
        <w:pStyle w:val="Heading2"/>
        <w:ind w:left="400"/>
      </w:pPr>
      <w:r>
        <w:t xml:space="preserve">1.37 ACADEMIA DE ACTIVIDADES EXTRAESCOLARES</w:t>
      </w:r>
    </w:p>
    <w:p>
      <w:pPr>
        <w:pStyle w:val="Heading3"/>
        <w:ind w:left="800"/>
      </w:pPr>
      <w:r>
        <w:t xml:space="preserve">37.38 Curso Propedéutico</w:t>
      </w:r>
    </w:p>
    <w:p>
      <w:pPr>
        <w:pStyle w:val="Heading4"/>
        <w:ind w:left="1200"/>
      </w:pPr>
      <w:r>
        <w:t xml:space="preserve"> Registro Público de Derechos de Autor</w:t>
      </w:r>
    </w:p>
    <w:p>
      <w:pPr>
        <w:pStyle w:val="Heading2"/>
        <w:ind w:left="400"/>
      </w:pPr>
      <w:r>
        <w:t xml:space="preserve">1.40 CIDETEG</w:t>
      </w:r>
    </w:p>
    <w:p>
      <w:pPr>
        <w:pStyle w:val="Heading3"/>
        <w:ind w:left="800"/>
      </w:pPr>
      <w:r>
        <w:t xml:space="preserve">40.41 Innovatecnm</w:t>
      </w:r>
    </w:p>
    <w:p>
      <w:pPr>
        <w:pStyle w:val="Heading2"/>
        <w:ind w:left="400"/>
      </w:pPr>
      <w:r>
        <w:t xml:space="preserve">1.42 DESEMPEÑO DEL PROFESORADO</w:t>
      </w:r>
    </w:p>
    <w:p>
      <w:pPr>
        <w:pStyle w:val="Heading2"/>
        <w:ind w:left="400"/>
      </w:pPr>
      <w:r>
        <w:t xml:space="preserve">1.43 CAPACITACIÓN DOCENTE</w:t>
      </w:r>
    </w:p>
    <w:p>
      <w:pPr>
        <w:pStyle w:val="Heading2"/>
        <w:ind w:left="400"/>
      </w:pPr>
      <w:r>
        <w:t xml:space="preserve">1.44 PROFESORES CON ESTUDIOS DE POSGRADO</w:t>
      </w:r>
    </w:p>
    <w:p>
      <w:pPr>
        <w:pStyle w:val="Heading2"/>
        <w:ind w:left="400"/>
      </w:pPr>
      <w:r>
        <w:t xml:space="preserve">1.45 CALIDAD DEL PROFESORADO</w:t>
      </w:r>
    </w:p>
    <w:p>
      <w:pPr>
        <w:pStyle w:val="Heading2"/>
        <w:ind w:left="400"/>
      </w:pPr>
      <w:r>
        <w:t xml:space="preserve">1.46 PROFESORES MIEMBROS DEL SNI (CONACYT)</w:t>
      </w:r>
    </w:p>
    <w:p>
      <w:pPr>
        <w:pStyle w:val="Heading2"/>
        <w:ind w:left="400"/>
      </w:pPr>
      <w:r>
        <w:t xml:space="preserve">1.47 CUERPOS ACADÉMICOS</w:t>
      </w:r>
    </w:p>
    <w:p>
      <w:pPr>
        <w:pStyle w:val="Heading2"/>
        <w:ind w:left="400"/>
      </w:pPr>
      <w:r>
        <w:t xml:space="preserve">1.48 PROFESORES CON PERFIL PRODEP</w:t>
      </w:r>
    </w:p>
    <w:p>
      <w:pPr>
        <w:pStyle w:val="Heading1"/>
        <w:ind w:left="0"/>
      </w:pPr>
      <w:r>
        <w:t xml:space="preserve">II CAPÍTULO II</w:t>
      </w:r>
    </w:p>
    <w:p>
      <w:pPr>
        <w:pStyle w:val="Heading2"/>
        <w:ind w:left="400"/>
      </w:pPr>
      <w:r>
        <w:t xml:space="preserve">49.50 PLANEACIÓN Y VINCULACIÓN</w:t>
      </w:r>
    </w:p>
    <w:p>
      <w:pPr>
        <w:pStyle w:val="Heading2"/>
        <w:ind w:left="400"/>
      </w:pPr>
      <w:r>
        <w:t xml:space="preserve">49.51 GESTIÓN INTEGRAL INSTITUCIONAL</w:t>
      </w:r>
    </w:p>
    <w:p>
      <w:pPr>
        <w:pStyle w:val="Heading2"/>
        <w:ind w:left="400"/>
      </w:pPr>
      <w:r>
        <w:t xml:space="preserve">49.52 PROGRAMA DE PASE REGULADO</w:t>
      </w:r>
    </w:p>
    <w:p>
      <w:pPr>
        <w:pStyle w:val="Heading2"/>
        <w:ind w:left="400"/>
      </w:pPr>
      <w:r>
        <w:t xml:space="preserve">49.53 MATRÍCULA</w:t>
      </w:r>
    </w:p>
    <w:p>
      <w:pPr>
        <w:pStyle w:val="Heading2"/>
        <w:ind w:left="400"/>
      </w:pPr>
      <w:r>
        <w:t xml:space="preserve">49.54 REPROBACIÓN</w:t>
      </w:r>
    </w:p>
    <w:p>
      <w:pPr>
        <w:pStyle w:val="Heading4"/>
        <w:ind w:left="1200"/>
      </w:pPr>
      <w:r>
        <w:t xml:space="preserve"> Promedio académico</w:t>
      </w:r>
    </w:p>
    <w:p>
      <w:pPr>
        <w:pStyle w:val="Heading2"/>
        <w:ind w:left="400"/>
      </w:pPr>
      <w:r>
        <w:t xml:space="preserve">49.56 EFICIENCIA TERMINAL</w:t>
      </w:r>
    </w:p>
    <w:p>
      <w:pPr>
        <w:pStyle w:val="Heading4"/>
        <w:ind w:left="1200"/>
      </w:pPr>
      <w:r>
        <w:t xml:space="preserve"> BECAS, APOYOS Y ESTÍMULOS PARA LA TRAYECTORIA ESCOLAR DE LOS ESTUDIANTES</w:t>
      </w:r>
    </w:p>
    <w:p>
      <w:pPr>
        <w:pStyle w:val="Heading2"/>
        <w:ind w:left="400"/>
      </w:pPr>
      <w:r>
        <w:t xml:space="preserve">49.58 EGRESADOS</w:t>
      </w:r>
    </w:p>
    <w:p>
      <w:pPr>
        <w:pStyle w:val="Heading2"/>
        <w:ind w:left="400"/>
      </w:pPr>
      <w:r>
        <w:t xml:space="preserve">49.59 SEGUIMIENTO A EGRESADOS</w:t>
      </w:r>
    </w:p>
    <w:p>
      <w:pPr>
        <w:pStyle w:val="Heading3"/>
        <w:ind w:left="800"/>
      </w:pPr>
      <w:r>
        <w:t xml:space="preserve">59.60 Empleabilidad</w:t>
      </w:r>
    </w:p>
    <w:p>
      <w:pPr>
        <w:pStyle w:val="Heading4"/>
        <w:ind w:left="1200"/>
      </w:pPr>
      <w:r>
        <w:t xml:space="preserve"> VINCULACIÓN CON SECTORES PÚBLICO, PRIVADO Y SOCIAL</w:t>
      </w:r>
    </w:p>
    <w:p>
      <w:pPr>
        <w:pStyle w:val="Heading2"/>
        <w:ind w:left="400"/>
      </w:pPr>
      <w:r>
        <w:t xml:space="preserve">49.62 RESIDENCIAS PROFESIONALES</w:t>
      </w:r>
    </w:p>
    <w:p>
      <w:pPr>
        <w:pStyle w:val="Heading3"/>
        <w:ind w:left="800"/>
      </w:pPr>
      <w:r>
        <w:t xml:space="preserve">62.63 Servicio Social</w:t>
      </w:r>
    </w:p>
    <w:p>
      <w:pPr>
        <w:pStyle w:val="Heading3"/>
        <w:ind w:left="800"/>
      </w:pPr>
      <w:r>
        <w:t xml:space="preserve">62.64 Eventos Institucionales</w:t>
      </w:r>
    </w:p>
    <w:p>
      <w:pPr>
        <w:ind w:left="800"/>
      </w:pPr>
      <w:r>
        <w:br/>
        <w:t xml:space="preserve">En el mismo tenor de actividades se atendieron seis eventos institucionales dentro del periodo, mismos que se enlistan a continuaci&amp;oacute;n:
&amp;middot;&amp;nbsp;&amp;nbsp;&amp;nbsp;&amp;nbsp;&amp;nbsp;&amp;nbsp;&amp;nbsp;&amp;nbsp; Simulacro Nacional 2024
&amp;middot;&amp;nbsp;&amp;nbsp;&amp;nbsp;&amp;nbsp;&amp;nbsp;&amp;nbsp;&amp;nbsp;&amp;nbsp; Batalla de robots
&amp;middot;&amp;nbsp;&amp;nbsp;&amp;nbsp;&amp;nbsp;&amp;nbsp;&amp;nbsp;&amp;nbsp;&amp;nbsp; Activaci&amp;oacute;n F&amp;iacute;sica por el D&amp;iacute;a mundial del coraz&amp;oacute;n
&amp;middot;&amp;nbsp;&amp;nbsp;&amp;nbsp;&amp;nbsp;&amp;nbsp;&amp;nbsp;&amp;nbsp;&amp;nbsp; Lectura por &amp;ldquo;Semana para el Fomento a la Lectura"
&amp;middot;&amp;nbsp;&amp;nbsp;&amp;nbsp;&amp;nbsp;&amp;nbsp;&amp;nbsp;&amp;nbsp;&amp;nbsp; Conmemor&amp;oacute; en acto c&amp;iacute;vico el 203 Aniversario de la Toma de Granaditas
&amp;middot;&amp;nbsp;&amp;nbsp;&amp;nbsp;&amp;nbsp;&amp;nbsp;&amp;nbsp;&amp;nbsp;&amp;nbsp; Evento Nacional Deportivo en Ciudad Ju&amp;aacute;rez
&amp;middot;&amp;nbsp;&amp;nbsp;&amp;nbsp;&amp;nbsp;&amp;nbsp;&amp;nbsp;&amp;nbsp;&amp;nbsp; Rally Latinoamericano de Innovaci&amp;oacute;n Sede INNOVA GUANAJUATO
&amp;middot;&amp;nbsp;&amp;nbsp;&amp;nbsp;&amp;nbsp;&amp;nbsp;&amp;nbsp;&amp;nbsp;&amp;nbsp; Entrega de bandas al equipo de Rep&amp;uacute;blica Escolar
&amp;middot;&amp;nbsp;&amp;nbsp;&amp;nbsp;&amp;nbsp;&amp;nbsp;&amp;nbsp;&amp;nbsp;&amp;nbsp; CODING CUP
&amp;middot;&amp;nbsp;&amp;nbsp;&amp;nbsp;&amp;nbsp;&amp;nbsp;&amp;nbsp;&amp;nbsp;&amp;nbsp; jornada de recuperaci&amp;oacute;n escolar
&amp;middot;&amp;nbsp;&amp;nbsp;&amp;nbsp;&amp;nbsp;&amp;nbsp;&amp;nbsp;&amp;nbsp;&amp;nbsp; VISITATEC 2024
&amp;middot;&amp;nbsp;&amp;nbsp;&amp;nbsp;&amp;nbsp;&amp;nbsp;&amp;nbsp;&amp;nbsp;&amp;nbsp; 25 aniversario Conalep Guanajuato
&amp;middot;&amp;nbsp;&amp;nbsp;&amp;nbsp;&amp;nbsp;&amp;nbsp;&amp;nbsp;&amp;nbsp;&amp;nbsp; Celebraci&amp;oacute;n de D&amp;iacute;a De Muertos en el Tec Guanajuato
&amp;middot;&amp;nbsp;&amp;nbsp;&amp;nbsp;&amp;nbsp;&amp;nbsp;&amp;nbsp;&amp;nbsp;&amp;nbsp; Red de Transparencia promovida por el gobierno del estado
&amp;middot;&amp;nbsp;&amp;nbsp;&amp;nbsp;&amp;nbsp;&amp;nbsp;&amp;nbsp;&amp;nbsp;&amp;nbsp; firma de convenio con CRODE Celaya
&amp;middot;&amp;nbsp;&amp;nbsp;&amp;nbsp;&amp;nbsp;&amp;nbsp;&amp;nbsp;&amp;nbsp;&amp;nbsp; Coloquio de Investigaci&amp;oacute;n, Innovaci&amp;oacute;n y Desarrollo y Tecnol&amp;oacute;gico (CIIDET)
&amp;middot;&amp;nbsp;&amp;nbsp;&amp;nbsp;&amp;nbsp;&amp;nbsp;&amp;nbsp;&amp;nbsp;&amp;nbsp; Representaci&amp;oacute;n del TecGuanajuato en la presentaci&amp;oacute;n del Nuevo Modelo Educativo del TecNM
&amp;middot;&amp;nbsp;&amp;nbsp;&amp;nbsp;&amp;nbsp;&amp;nbsp;&amp;nbsp;&amp;nbsp;&amp;nbsp; Inauguraci&amp;oacute;n del Simposio Estatal de Ciencia y Tecnolog&amp;iacute;a de Alimentos 2024.</w:t>
      </w:r>
    </w:p>
    <w:p>
      <w:pPr>
        <w:pStyle w:val="Heading2"/>
        <w:ind w:left="400"/>
      </w:pPr>
      <w:r>
        <w:t xml:space="preserve">49.65 CONVENIOS</w:t>
      </w:r>
    </w:p>
    <w:p>
      <w:pPr>
        <w:pStyle w:val="Heading2"/>
        <w:ind w:left="400"/>
      </w:pPr>
      <w:r>
        <w:t xml:space="preserve">49.66 COMUNICACIÓN INSTITUCIONAL</w:t>
      </w:r>
    </w:p>
    <w:p>
      <w:pPr>
        <w:pStyle w:val="Heading3"/>
        <w:ind w:left="800"/>
      </w:pPr>
      <w:r>
        <w:t xml:space="preserve">49.66.6 comunicacion</w:t>
      </w:r>
    </w:p>
    <w:p>
      <w:pPr>
        <w:pStyle w:val="Heading4"/>
        <w:ind w:left="1200"/>
      </w:pPr>
      <w:r>
        <w:t xml:space="preserve"> Promoción de la oferta educativa</w:t>
      </w:r>
    </w:p>
    <w:p>
      <w:pPr>
        <w:pStyle w:val="Heading4"/>
        <w:ind w:left="1200"/>
      </w:pPr>
      <w:r>
        <w:t xml:space="preserve"> Examen de admisión</w:t>
      </w:r>
    </w:p>
    <w:p>
      <w:pPr>
        <w:pStyle w:val="Heading4"/>
        <w:ind w:left="1200"/>
      </w:pPr>
      <w:r>
        <w:t xml:space="preserve"> Curso propedéutico</w:t>
      </w:r>
    </w:p>
    <w:p>
      <w:pPr>
        <w:pStyle w:val="Heading4"/>
        <w:ind w:left="1200"/>
      </w:pPr>
      <w:r>
        <w:t xml:space="preserve"> Participación en muestras profesiográficas</w:t>
      </w:r>
    </w:p>
    <w:p>
      <w:pPr>
        <w:pStyle w:val="Heading4"/>
        <w:ind w:left="1200"/>
      </w:pPr>
      <w:r>
        <w:t xml:space="preserve"> Los medios de difusión utilizados incluyeron:</w:t>
      </w:r>
    </w:p>
    <w:p>
      <w:pPr>
        <w:pStyle w:val="Heading2"/>
        <w:ind w:left="400"/>
      </w:pPr>
      <w:r>
        <w:t xml:space="preserve">49.72 GESTIÓN DE LA CALIDAD</w:t>
      </w:r>
    </w:p>
    <w:p>
      <w:pPr>
        <w:pStyle w:val="Heading2"/>
        <w:ind w:left="400"/>
      </w:pPr>
      <w:r>
        <w:t xml:space="preserve">49.73 VISIÓN SUSTENTABLE Y AGENDA AMBIENTAL</w:t>
      </w:r>
    </w:p>
    <w:p>
      <w:pPr>
        <w:pStyle w:val="Heading4"/>
        <w:ind w:left="1200"/>
      </w:pPr>
      <w:r>
        <w:t xml:space="preserve"> GESTIÓN INTEGRAL Y SUSTENTABLE DE LA ENERGÍA Y EL AGUA</w:t>
      </w:r>
    </w:p>
    <w:p>
      <w:pPr>
        <w:pStyle w:val="Heading3"/>
        <w:ind w:left="800"/>
      </w:pPr>
      <w:r>
        <w:t xml:space="preserve">73.75 Consumo Energético</w:t>
      </w:r>
    </w:p>
    <w:p>
      <w:pPr>
        <w:pStyle w:val="Heading4"/>
        <w:ind w:left="1200"/>
      </w:pPr>
      <w:r>
        <w:t xml:space="preserve"> Consumo de Agua</w:t>
      </w:r>
    </w:p>
    <w:p>
      <w:pPr>
        <w:pStyle w:val="Heading1"/>
        <w:ind w:left="0"/>
      </w:pPr>
      <w:r>
        <w:t xml:space="preserve">III CAPÍTULO III</w:t>
      </w:r>
    </w:p>
    <w:p>
      <w:pPr>
        <w:pStyle w:val="Heading2"/>
        <w:ind w:left="400"/>
      </w:pPr>
      <w:r>
        <w:t xml:space="preserve">77.78 SUBDIRECCIÓN DE ADMINISTRACIÓN Y FINANZAS</w:t>
      </w:r>
    </w:p>
    <w:p>
      <w:pPr>
        <w:pStyle w:val="Heading3"/>
        <w:ind w:left="800"/>
      </w:pPr>
      <w:r>
        <w:t xml:space="preserve">78.79 Personal Administrativo</w:t>
      </w:r>
    </w:p>
    <w:p>
      <w:pPr>
        <w:pStyle w:val="Heading3"/>
        <w:ind w:left="800"/>
      </w:pPr>
      <w:r>
        <w:t xml:space="preserve">78.80 Indicadores Laborales</w:t>
      </w:r>
    </w:p>
    <w:p>
      <w:pPr>
        <w:pStyle w:val="Heading4"/>
        <w:ind w:left="1200"/>
      </w:pPr>
      <w:r>
        <w:t xml:space="preserve"> Capacitación del Personal Administrativo.</w:t>
      </w:r>
    </w:p>
    <w:p>
      <w:pPr>
        <w:pStyle w:val="Heading3"/>
        <w:ind w:left="800"/>
      </w:pPr>
      <w:r>
        <w:t xml:space="preserve">78.82 Clima Organizacional</w:t>
      </w:r>
    </w:p>
    <w:p>
      <w:pPr>
        <w:pStyle w:val="Heading4"/>
        <w:ind w:left="1200"/>
      </w:pPr>
      <w:r>
        <w:t xml:space="preserve"> Gestión Presupuestal, Administrativa y Financiera</w:t>
      </w:r>
    </w:p>
    <w:p>
      <w:pPr>
        <w:pStyle w:val="Heading3"/>
        <w:ind w:left="800"/>
      </w:pPr>
      <w:r>
        <w:t xml:space="preserve">78.84 Presupuesto</w:t>
      </w:r>
    </w:p>
    <w:p>
      <w:pPr>
        <w:pStyle w:val="Heading4"/>
        <w:ind w:left="1200"/>
      </w:pPr>
      <w:r>
        <w:t xml:space="preserve"> Costo por Alumno</w:t>
      </w:r>
    </w:p>
    <w:p>
      <w:pPr>
        <w:pStyle w:val="Heading3"/>
        <w:ind w:left="800"/>
      </w:pPr>
      <w:r>
        <w:t xml:space="preserve">78.86 Equipamiento</w:t>
      </w:r>
    </w:p>
    <w:p>
      <w:pPr>
        <w:pStyle w:val="Heading3"/>
        <w:ind w:left="800"/>
      </w:pPr>
      <w:r>
        <w:t xml:space="preserve">78.87 Servicios Generales</w:t>
      </w:r>
    </w:p>
    <w:p>
      <w:pPr>
        <w:pStyle w:val="Heading4"/>
        <w:ind w:left="1200"/>
      </w:pPr>
      <w:r>
        <w:t xml:space="preserve"> Corresponsabilidad, equidad e inclusión</w:t>
      </w:r>
    </w:p>
    <w:p>
      <w:pPr>
        <w:pStyle w:val="Heading3"/>
        <w:ind w:left="800"/>
      </w:pPr>
      <w:r>
        <w:t xml:space="preserve">78.89 Auditorías</w:t>
      </w:r>
    </w:p>
    <w:p>
      <w:pPr>
        <w:pStyle w:val="Heading1"/>
        <w:ind w:left="0"/>
      </w:pPr>
      <w:r>
        <w:t xml:space="preserve">V CAPÍTULO V</w:t>
      </w:r>
    </w:p>
    <w:p>
      <w:pPr>
        <w:pStyle w:val="Heading2"/>
        <w:ind w:left="400"/>
      </w:pPr>
      <w:r>
        <w:t xml:space="preserve">90.91 OTROS ASPECTOS RELEVANTES</w:t>
      </w:r>
    </w:p>
    <w:p>
      <w:pPr>
        <w:pStyle w:val="Heading2"/>
        <w:ind w:left="400"/>
      </w:pPr>
      <w:r>
        <w:t xml:space="preserve">90.92 COMITÉS</w:t>
      </w:r>
    </w:p>
    <w:p>
      <w:pPr>
        <w:pStyle w:val="Heading2"/>
        <w:ind w:left="400"/>
      </w:pPr>
      <w:r>
        <w:t xml:space="preserve">90.93 TABLERO DE INDICADORES SIGES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Generado</dc:title>
  <dc:creator>SGR Luis</dc:creator>
  <dc:description>Reporte estructurado con jerarquía</dc:description>
  <cp:lastModifiedBy>Un-named</cp:lastModifiedBy>
  <cp:revision>1</cp:revision>
  <dcterms:created xsi:type="dcterms:W3CDTF">2025-04-04T20:49:37.498Z</dcterms:created>
  <dcterms:modified xsi:type="dcterms:W3CDTF">2025-04-04T20:49:37.498Z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