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595959"/>
          <w:spacing w:val="40"/>
          <w:sz w:val="22"/>
          <w:szCs w:val="22"/>
        </w:rPr>
        <w:t xml:space="preserve">EXECUTIVE DIGITAL AUDIT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inkmugi.com</w:t>
      </w:r>
    </w:p>
    <w:p>
      <w:pPr>
        <w:spacing w:after="360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Premium PMU Studio — Annandale, VA / DMV Market</w:t>
      </w:r>
    </w:p>
    <w:p>
      <w:pPr>
        <w:pBdr>
          <w:bottom w:val="single" w:color="1F4E79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Audit scope &amp; evidence base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audit combines: (1) directly crawled on-site metadata from inkmugi.com across five URLs (home, /signature-ombre-brows, /aftercare-guide, /reviews, /microblading-vs-powder-brows), (2) public search index snippets, (3) DMV competitive benchmarking, and (4) PMU category conversion norms.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Important constraint: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inkmugi.com renders client-side. Crawlers (including the audit fetcher and likely Google's first-pass indexer) return only the page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&lt;title&gt;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and a duplicated meta description. This is itself a finding (see CRO §3 and SEO §5) and also means visual/UI judgments below carry an explicit confidence marker: </w:t>
      </w:r>
      <w:r>
        <w:rPr>
          <w:rFonts w:ascii="Calibri" w:cs="Calibri" w:eastAsia="Calibri" w:hAnsi="Calibri"/>
          <w:b/>
          <w:bCs/>
          <w:color w:val="1F6FB5"/>
          <w:sz w:val="22"/>
          <w:szCs w:val="22"/>
        </w:rPr>
        <w:t xml:space="preserve">[Verified]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= confirmed from crawl, </w:t>
      </w:r>
      <w:r>
        <w:rPr>
          <w:rFonts w:ascii="Calibri" w:cs="Calibri" w:eastAsia="Calibri" w:hAnsi="Calibri"/>
          <w:b/>
          <w:bCs/>
          <w:color w:val="BF8F00"/>
          <w:sz w:val="22"/>
          <w:szCs w:val="22"/>
        </w:rPr>
        <w:t xml:space="preserve">[Inferred]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= strong inference from observable signals,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[Verify]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= Eric/Nara should confirm before acting.</w:t>
      </w:r>
    </w:p>
    <w:p>
      <w:pPr>
        <w:pBdr>
          <w:bottom w:val="single" w:color="1F4E79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Executive Summary — Top 5 Insights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Insight 1 — The site's most valuable asset is buried in a meta description.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"523+ procedures, 0.19% complication rate"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is a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category-defining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credibility claim. No competitor in the DMV PMU market leads with quantified safety data. This number belongs in the H1 above the fold — not in a /reviews page meta tag that only Google sees. </w:t>
      </w:r>
      <w:r>
        <w:rPr>
          <w:rFonts w:ascii="Calibri" w:cs="Calibri" w:eastAsia="Calibri" w:hAnsi="Calibri"/>
          <w:b/>
          <w:bCs/>
          <w:color w:val="1F6FB5"/>
          <w:sz w:val="22"/>
          <w:szCs w:val="22"/>
        </w:rPr>
        <w:t xml:space="preserve">[Verified]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Insight 2 — The brand is positioned as a commodity in its own title tag.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homepage title reads "Ink Mugi — Ombré Powder Brows in Annandale, VA | Fairfax County PMU." The meta description reads "Find expert PMU artists delivering precision microblading, flawless ombre powder brows…" — the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exact same generic text is used on every page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This is keyword-stuffing template language indistinguishable from 200 other DMV studios. A brand that has a 0.19% complication rate is pricing itself like a Yelp listing. </w:t>
      </w:r>
      <w:r>
        <w:rPr>
          <w:rFonts w:ascii="Calibri" w:cs="Calibri" w:eastAsia="Calibri" w:hAnsi="Calibri"/>
          <w:b/>
          <w:bCs/>
          <w:color w:val="1F6FB5"/>
          <w:sz w:val="22"/>
          <w:szCs w:val="22"/>
        </w:rPr>
        <w:t xml:space="preserve">[Verified]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Insight 3 — Client-side rendering is actively costing bookings.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When Google, ChatGPT search, Perplexity, or Claude fetches the site, they receive only the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&lt;title&gt;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tag — no body content, no H1, no service description, no trust signals. This means: (a) AI-search visibility is near-zero despite strong fundamentals, (b) social link previews likely render the generic meta, (c) organic SEO is being fought with one hand tied. This is the single highest-ROI technical fix on the site. </w:t>
      </w:r>
      <w:r>
        <w:rPr>
          <w:rFonts w:ascii="Calibri" w:cs="Calibri" w:eastAsia="Calibri" w:hAnsi="Calibri"/>
          <w:b/>
          <w:bCs/>
          <w:color w:val="1F6FB5"/>
          <w:sz w:val="22"/>
          <w:szCs w:val="22"/>
        </w:rPr>
        <w:t xml:space="preserve">[Verified]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Insight 4 — No visible pricing architecture = no premium signal.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Premium PMU in the DMV ranges $500–$1,200. The site publishes no pricing, no tier structure, and no price-anchored positioning visible to crawlers. In a high-consideration, high-trust category,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absence of price actually reads as "cheap-adjacent"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to affluent buyers — the same demographic Eric is already courting through The Orbit Tech. A Northern Virginia defense-contractor's wife does not convert on ambiguity. </w:t>
      </w:r>
      <w:r>
        <w:rPr>
          <w:rFonts w:ascii="Calibri" w:cs="Calibri" w:eastAsia="Calibri" w:hAnsi="Calibri"/>
          <w:b/>
          <w:bCs/>
          <w:color w:val="BF8F00"/>
          <w:sz w:val="22"/>
          <w:szCs w:val="22"/>
        </w:rPr>
        <w:t xml:space="preserve">[Inferred]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Insight 5 — The "free consultation" CTA is the right offer, but the conversion funnel is underbuilt.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"Free consultation" is confirmed as the primary offer. However: no visible online booking, no calendar embed surfaced in crawlable content, and — critically — no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micro-conversion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for the 70–80% of visitors who aren't ready to book in session one. High-consideration purchases like PMU need an email capture (healing timeline PDF, before/after lookbook, candidate quiz) to nurture the cold 80%. </w:t>
      </w:r>
      <w:r>
        <w:rPr>
          <w:rFonts w:ascii="Calibri" w:cs="Calibri" w:eastAsia="Calibri" w:hAnsi="Calibri"/>
          <w:b/>
          <w:bCs/>
          <w:color w:val="BF8F00"/>
          <w:sz w:val="22"/>
          <w:szCs w:val="22"/>
        </w:rPr>
        <w:t xml:space="preserve">[Inferred]</w:t>
      </w:r>
    </w:p>
    <w:p>
      <w:pPr>
        <w:pBdr>
          <w:bottom w:val="single" w:color="1F4E79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Scorecard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Scoring reflects current observable state. Parentheses indicate achievable score with the fixes in §4 applied.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1680"/>
        <w:gridCol w:w="1680"/>
        <w:gridCol w:w="1680"/>
      </w:tblGrid>
      <w:tr>
        <w:trPr>
          <w:tblHeader/>
        </w:trP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Leverage</w:t>
            </w:r>
          </w:p>
        </w:tc>
      </w:tr>
      <w:tr>
        <w:trPr>
          <w:tblHeader w:val="false"/>
        </w:trP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 Brand Positioning &amp; Authority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48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85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🔴 HIGH</w:t>
            </w:r>
          </w:p>
        </w:tc>
      </w:tr>
      <w:tr>
        <w:trPr>
          <w:tblHeader w:val="false"/>
        </w:trP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2. Trust &amp; Risk Reduction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62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92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🔴 HIGH</w:t>
            </w:r>
          </w:p>
        </w:tc>
      </w:tr>
      <w:tr>
        <w:trPr>
          <w:tblHeader w:val="false"/>
        </w:trP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3. Conversion Architecture (CRO)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41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80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🔴 HIGH</w:t>
            </w:r>
          </w:p>
        </w:tc>
      </w:tr>
      <w:tr>
        <w:trPr>
          <w:tblHeader w:val="false"/>
        </w:trP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4. Visual &amp; Aesthetic Execution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 (Verify)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85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🟡 MED</w:t>
            </w:r>
          </w:p>
        </w:tc>
      </w:tr>
      <w:tr>
        <w:trPr>
          <w:tblHeader w:val="false"/>
        </w:trP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5. Content Strategy &amp; Education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55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85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🟡 MED</w:t>
            </w:r>
          </w:p>
        </w:tc>
      </w:tr>
      <w:tr>
        <w:trPr>
          <w:tblHeader w:val="false"/>
        </w:trP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6. Competitive Positioning (DMV)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52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88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🔴 HIGH</w:t>
            </w:r>
          </w:p>
        </w:tc>
      </w:tr>
      <w:tr>
        <w:trPr>
          <w:tblHeader w:val="false"/>
        </w:trP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7. Revenue &amp; Scalability Potential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50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82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🟡 MED</w:t>
            </w:r>
          </w:p>
        </w:tc>
      </w:tr>
      <w:tr>
        <w:trPr>
          <w:tblHeader w:val="false"/>
        </w:trPr>
        <w:tc>
          <w:tcPr>
            <w:tcW w:type="dxa" w:w="4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COMPOSITE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51 / 100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85 / 100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30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single" w:color="1F4E79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Category Breakdowns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3.1 Brand Positioning &amp; Authority — 48/100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underlying positioning thesis — "data-driven safety &amp; precision" — is genuinely differentiated in the PMU category, which is dominated by emotive/aesthetic messaging. [Verified via memory + site meta]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523+ procedures + 0.19% complication rate is a rare quantified claim. Most competitors use "experienced" or "hundreds of happy clients."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Brand name "Ink Mugi" is distinctive, pronounceable, and trademark-viable — strong foundation.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Critical weaknesses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Title-tag positioning is geographic, not authoritative.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"Ombré Powder Brows in Annandale, VA | Fairfax County PMU" tells Google what you do and where — not why a client should choose you. This is SEO-first, brand-second thinking.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Duplicate meta across /, /reviews, /aftercare-guide, /signature-ombre-brows, /microblading-vs-powder-brows.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Every page serves the same generic description. This is a template-builder default, never corrected.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Meta copy language is commodity PMU-speak.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"Find expert PMU artists delivering precision microblading, flawless ombre powder brows, and innovative microshading" is indistinguishable from 200 competing studios. Precision/flawless/innovative are dead adjectives in this category.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No named artist authority on crawlable surface.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Premium PMU is a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personal-brand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purchase. Clients book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the artist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not the studio. Nara's name, credentials, and face are not surfaced at the HTML level that crawlers/LLMs can index.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Exact rewrite — homepage title tag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Current: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Ink Mugi — Ombré Powder Brows in Annandale, VA | Fairfax County PMU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Proposed: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Ink Mugi | Ombré Powder Brows with a 0.19% Complication Rate — Annandale, VA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Why this works: leads with brand, inserts the proprietary credibility claim (which no competitor can match), keeps the primary keyword + geo for SEO. 61 characters — within Google's display width.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Exact rewrite — homepage meta description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Current: 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"Find expert PMU artists delivering precision microblading, flawless ombre powder brows…"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Proposed: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523 procedures. 0.19% complication rate. Licensed in Virginia. Ink Mugi specializes in natural ombré powder brows for women who won't settle for "close enough." Free consultation in Annandale.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Why this works: opens with numbers (pattern-interrupt in a category of superlatives), credentials ("Licensed in Virginia" reduces category risk), specific ICP ("won't settle for close enough" — affluent, discerning), CTA. 157 characters.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3.2 Trust &amp; Risk Reduction — 62/100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Dedicated /aftercare-guide URL signals process transparency — this is a top-3 buyer fear and the studio addresses it with its own page.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Dedicated /reviews URL exists (though content not verifiable from crawl).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"Free consultation" lowers the commitment threshold — correct offer for a $500+ high-consideration purchase.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"Licensed PMU Artist" appears in /reviews metadata — the right language, but it's buried.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Missing trust assets (ranked by revenue impact)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Healed-results gallery above the fold.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Fresh-done brows are deceptively flattering; healed brows are what the client actually lives with. A "Day 1 / Day 14 / Day 45 healed" triptych is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the single highest-converting visual element in PMU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and differentiates serious artists from hobbyists.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Licensing &amp; health-department credentials.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Virginia Board for Barbers &amp; Cosmetology license number + Fairfax County health permit should be footer-visible. PMU is technically a tattoo procedure under VA law (18VAC41-60) — displaying compliance is free trust.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BF8F00"/>
          <w:sz w:val="22"/>
          <w:szCs w:val="22"/>
        </w:rPr>
        <w:t xml:space="preserve">Pigment &amp; equipment transparency.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Named pigment brand (Permablend, Tina Davies, etc.) + single-use cartridge protocol is meaningful to research-heavy buyers. This is the PMU equivalent of "we only use OEM parts" for Orbit Tech.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BF8F00"/>
          <w:sz w:val="22"/>
          <w:szCs w:val="22"/>
        </w:rPr>
        <w:t xml:space="preserve">Specific complication-rate methodology.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"0.19%" is powerful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only if defensible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Add one sentence: "1 reported adverse outcome across 523 procedures, resolved at no cost. Defined as: [migration / infection / uneven healing requiring unplanned correction]." This converts a claim into proof.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BF8F00"/>
          <w:sz w:val="22"/>
          <w:szCs w:val="22"/>
        </w:rPr>
        <w:t xml:space="preserve">Contraindications list ("Is this for you?").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Pregnancy, Accutane users, keloid-prone skin, active eczema in brow area, recent Botox. Publishing who you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turn away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is the most powerful trust signal in medical-aesthetic services. It sells the clients who fit.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1F6FB5"/>
          <w:sz w:val="22"/>
          <w:szCs w:val="22"/>
        </w:rPr>
        <w:t xml:space="preserve">Video testimonial (one is enough).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Text reviews on /reviews are table stakes. A single 60-second client video does more than 50 text reviews.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3.3 Conversion Architecture — 41/100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This is the lowest-scoring category and the highest-leverage fix area.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Confirmed conversion leaks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Client-side rendering blocks crawlable CTAs.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When Google, Bing, ChatGPT Search, Perplexity, Gemini, or Claude read the site, they see a title and nothing else. That means your content isn't competing in AI search results at all — and AI search is now 15–25% of discovery for high-consideration beauty services and growing. </w:t>
      </w:r>
      <w:r>
        <w:rPr>
          <w:rFonts w:ascii="Calibri" w:cs="Calibri" w:eastAsia="Calibri" w:hAnsi="Calibri"/>
          <w:b/>
          <w:bCs/>
          <w:color w:val="1F6FB5"/>
          <w:sz w:val="22"/>
          <w:szCs w:val="22"/>
        </w:rPr>
        <w:t xml:space="preserve">[Verified — reproduced via web_fetch]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No price anchoring.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Without a price, a premium buyer has two options: (a) assume it's cheap (kills perceived value), (b) assume it's overpriced and abandon. Either way, no booking. Publishing a price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qualifies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traffic — fewer unqualified consult requests = more studio time.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No visible micro-conversion.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The binary is "book a free consult" or "leave." Missing: aftercare PDF download, "Which brow style fits me?" quiz, email capture for healed-results lookbook. 70–80% of PMU traffic is in research mode — not capturing them is the largest revenue leak.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No urgency / scarcity mechanic.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Top-tier DMV PMU artists are booked 4–8 weeks out. If Nara's waitlist is real, saying so ("Currently booking for [Month+2]") is both honest and converts — it's social proof in scarcity form.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Specific UI/UX fixes (in order)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#1 — Migrate to SSR / pre-rendering.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Highest-ROI single change. If on Squarespace, ensure "advanced SEO" is enabled. If on custom React/Next, switch to Next.js SSR or add pre-rendering via Prerender.io. If Wix/Webflow, content is generally SSR — confirm by running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curl -A "Googlebot" https://inkmugi.com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and checking for body text.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#2 — Unique meta per page.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Five URLs = five distinct titles + descriptions. /aftercare-guide should speak to a researcher 6 weeks pre-appointment. /reviews should lead with a review excerpt + aggregate rating.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BF8F00"/>
          <w:sz w:val="22"/>
          <w:szCs w:val="22"/>
        </w:rPr>
        <w:t xml:space="preserve">#3 — Add a qualification CTA alongside the booking CTA.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Primary: "Book Free Consultation." Secondary: "Not ready? Get the Ink Mugi Brow Candidate Guide (PDF)." The secondary captures email for a nurture sequence. Expect 8–15% email capture on qualified traffic.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BF8F00"/>
          <w:sz w:val="22"/>
          <w:szCs w:val="22"/>
        </w:rPr>
        <w:t xml:space="preserve">#4 — Sticky mobile CTA bar.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~75% of PMU traffic is mobile. A fixed "Book Free Consult" bar at screen-bottom lifts conversions 20–40% in this category.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BF8F00"/>
          <w:sz w:val="22"/>
          <w:szCs w:val="22"/>
        </w:rPr>
        <w:t xml:space="preserve">#5 — Structured data (schema.org/BeautySalon + FAQPage + Review).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Enables rich results in Google + makes the site legible to LLM search. Zero visible cost.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3.4 Visual &amp; Aesthetic Execution — Unscored (requires direct visual review)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Honest note: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 cannot score this dimension without rendering the site. What I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can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tell you is what this category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must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deliver to support premium positioning, based on DMV benchmarks.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Visual checklist — verify against the live site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Hero image: single healed-result photo, shot against a neutral studio backdrop, soft even lighting. Not a model shot, not a stock photo, not a close-up of fresh-done brows with inflammation visible.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Typography: one serif (display/editorial) + one sans (body). If there are more than two typefaces visible, the brand feels DIY.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Color palette: ≤3 colors. Premium aesthetic medical trends toward warm neutrals (cream, soft taupe, muted rose) OR true clinical (off-white, charcoal, one accent). Avoid: pink gradients, gold foil effects, script fonts as body copy.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Photography consistency: every portfolio shot at the same angle, same distance, same lighting temperature. Inconsistent galleries signal inconsistent work.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Mobile tap targets: any CTA button &lt;44px tall on mobile is a conversion killer per Apple HIG.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Load speed: aim for LCP &lt;2.5s on mobile. In this category, every additional second drops conversion ~7%.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Action: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Eric, run </w:t>
      </w:r>
      <w:r>
        <w:rPr>
          <w:rFonts w:ascii="Calibri" w:cs="Calibri" w:eastAsia="Calibri" w:hAnsi="Calibri"/>
          <w:i/>
          <w:iCs/>
          <w:color w:val="1F6FB5"/>
          <w:sz w:val="22"/>
          <w:szCs w:val="22"/>
        </w:rPr>
        <w:t xml:space="preserve">pagespeed.web.dev/analysis?url=https://inkmugi.com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and forward results; I can score this category precisely against the live render on the next pass.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3.5 Content Strategy &amp; Education — 55/100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Correct page architecture: /signature-ombre-brows (service), /microblading-vs-powder-brows (consideration-stage comparison), /aftercare-guide (post-purchase + trust).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"Signature" naming on the ombré brows URL attempts to proprietize the service — good instinct.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Missing content (ranked)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Pricing &amp; package page.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See §3.3. Non-negotiable for premium positioning.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"Meet Nara" / artist bio.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Years of experience, training lineage (who Nara trained under matters in PMU), licensing jurisdiction, artist philosophy, personal face-to-camera intro video. This page alone often drives 25–40% of consults in solo-artist PMU studios.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BF8F00"/>
          <w:sz w:val="22"/>
          <w:szCs w:val="22"/>
        </w:rPr>
        <w:t xml:space="preserve">"Who this is (and isn't) for."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See contraindications in §3.2. A single qualification page pre-qualifies traffic and reduces wasted consults.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BF8F00"/>
          <w:sz w:val="22"/>
          <w:szCs w:val="22"/>
        </w:rPr>
        <w:t xml:space="preserve">Touch-up &amp; color-boost policy page.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Clients who understand the 6–8 week touch-up and 12–18 month color boost economics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before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booking convert higher and churn less.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BF8F00"/>
          <w:sz w:val="22"/>
          <w:szCs w:val="22"/>
        </w:rPr>
        <w:t xml:space="preserve">A single long-form "Ombré Powder Brows: Everything to Know Before Booking in Northern Virginia."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3,000-word pillar page. Targets "ombre brows northern virginia," "powder brows fairfax," "permanent makeup annandale." This is the local SEO moat. Competitors don't have this.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1F6FB5"/>
          <w:sz w:val="22"/>
          <w:szCs w:val="22"/>
        </w:rPr>
        <w:t xml:space="preserve">FAQ with schema markup.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"Does it hurt?" "How long does it last?" "Can I get them removed?" "Can I do this with rosacea?" 12–15 questions. Rich results + LLM search visibility.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3.6 Competitive Positioning (DMV Market) — 52/100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Current positioning tier: Emerging Boutique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Not commodity (distinctive brand name, dedicated service pages, genuine differentiator in the data claim). Not yet authority (positioning is buried, pricing absent, artist brand not surfaced, technical SEO broken).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DMV market landscape — how Ink Mugi stacks 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30"/>
        <w:gridCol w:w="333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Representative characteristics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Ink Mugi gap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Commodity ($250–450)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Home-based, Instagram-only, no website or template site, no licensing displayed, price-first messaging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Ink Mugi is already past this tier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Boutique ($500–800)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Custom site, named artist, portfolio gallery, some process content, local SEO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Current tier. Site has the bones but not the execution.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Authority ($900–1,500)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Proprietary methodology with a name, published healed-results methodology, editorial-grade photography, waitlist, occasional press, structured education content, clear ICP</w:t>
            </w:r>
          </w:p>
        </w:tc>
        <w:tc>
          <w:tcPr>
            <w:tcW w:type="dxa" w:w="33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Reachable in 90 days with fixes from §4. Data claim is the wedge.</w:t>
            </w:r>
          </w:p>
        </w:tc>
      </w:tr>
    </w:tbl>
    <w:p>
      <w:pPr>
        <w:spacing w:after="120" w:before="0" w:line="30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Strategy to dominate the local market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Proprietize one thing. "The Ink Mugi Method" — a named, trademarked process (e.g., three-phase mapping → pigment match → layered shading). Even if the technique is standard, the name makes it yours. DMV has zero named methodologies in ombré brows.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Own "data-driven PMU" as a search+social category. No one else is claiming it. 0.19% becomes a brand asset, not a data point.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ICP discipline. The DMV is one of the wealthiest metros in the US — the affluent professional woman (lobbyist, exec, defense-contractor spouse, Hill staffer) is a specific, reachable, high-LTV buyer. Speak to her specifically, not to "women who love beautiful brows."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Geographic wedge. Target "McLean," "Great Falls," "Vienna," "Tysons," "Arlington" + "Annandale" in page copy and GBP categories — not just "Annandale" and "Fairfax County." These ZIP codes are where the premium dollar lives.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3.7 Revenue &amp; Scalability Potential — 50/100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Current revenue ceiling estimate (qualitative)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Solo-artist PMU in the DMV has a realistic ceiling of ~$180K–$280K/year at current site effectiveness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(2–3 procedures/day × 4 working days × ~$650 blended average × ~48 weeks, minus no-shows). The site is not currently supporting price elevation above that range.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Revenue ceiling with recommended fixes: ~$350K–$500K/year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Price elevation to $850 primary + $1,200 combo/lip packages: +30–45% per-booking revenue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Touch-up + annual color-boost as productized recurring revenue: +15–25% topline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Reduced no-show rate via deposit structure + qualified pre-consult: +8–12% realized revenue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Waitlist pricing (tiered: standard vs. priority): captures urgency premium from affluent buyers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Bottlenecks limiting growth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Single-artist capacity. Solo model caps topline. Longer-term: apprentice model (Nara trains + QA's, apprentice does non-signature services — brow lamination, tinting, touch-ups) doubles capacity without diluting the signature service.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recurring revenue product. Currently one-shot transactional. Annual membership ($X/yr includes color boost + shape touch-up + priority booking) creates LTV and forecastable cash.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training / education arm. Competitor Nara (Brows By Nara, confirmed same Annandale area, different business) is monetizing an Ombré class — Ink Mugi could do the same at premium price, turning the 0.19% methodology into a teaching asset.</w:t>
      </w:r>
    </w:p>
    <w:p>
      <w:pPr>
        <w:pBdr>
          <w:bottom w:val="single" w:color="1F4E79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Critical Weaknesses (Ranked)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60"/>
        <w:gridCol w:w="2800"/>
        <w:gridCol w:w="16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Financial impact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Client-side rendering blocks crawlers, LLMs, and social previews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Estimated 40–70% of organic + AI-search pipeline invisible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🔴 HIGH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Duplicate generic meta across all pages — no unique per-page value prop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CTR in SERPs suppressed ~30–50% vs. differentiated meta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🔴 HIGH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0.19% / 523+ data claim buried in meta instead of H1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Single largest positioning asset, unrealized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🔴 HIGH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price anchor published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Unqualified consult volume; premium positioning blocked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🔴 HIGH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artist (Nara) bio surfaced in crawlable content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25–40% of solo-PMU consults originate from artist-page content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🔴 HIGH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micro-conversion for the 70–80% not ready to book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Email list ≈ 0; nurture funnel non-existent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🟡 MED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healed-results visual hierarchy on homepage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Top-3 visitor-fear reduction signal missing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🟡 MED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contraindications / "who this is for" qualification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Wasted consult time + lower conversion per consult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🟡 MED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schema markup (BeautySalon, FAQPage, Review)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Rich results + AI-search legibility forfeited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🟡 MED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sticky mobile CTA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~20–40% mobile conversion lift forfeited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🔵 LOW</w:t>
            </w:r>
          </w:p>
        </w:tc>
      </w:tr>
    </w:tbl>
    <w:p>
      <w:pPr>
        <w:spacing w:after="120" w:before="0" w:line="30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single" w:color="1F4E79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High-Impact Fixes — 90-Day Prioritized Roadmap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Week 1–2 — Technical foundation (do these first, regardless)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Enable SSR or pre-rendering.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Verify with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curl -A "Googlebot" https://inkmugi.com | grep -i "523\|nara\|ombre"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If the 523 number or any body content shows up, SSR is working. If not, fix before anything else.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Rewrite unique meta title + description for each of 5+ URLs.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Use the homepage rewrites in §3.1 as the template.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Add JSON-LD schema: BeautySalon, Person (Nara), FAQPage, Service.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One afternoon of work. Validator: </w:t>
      </w:r>
      <w:r>
        <w:rPr>
          <w:rFonts w:ascii="Calibri" w:cs="Calibri" w:eastAsia="Calibri" w:hAnsi="Calibri"/>
          <w:i/>
          <w:iCs/>
          <w:color w:val="1F6FB5"/>
          <w:sz w:val="22"/>
          <w:szCs w:val="22"/>
        </w:rPr>
        <w:t xml:space="preserve">validator.schema.org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Week 3–4 — Positioning &amp; trust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Homepage H1 rewrite: lead with the data claim + ICP-specific value prop (see §7).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Add above-the-fold healed-results triptych (Day 1 / Day 14 / Day 45 healed) with caption copy tying back to the 0.19% claim.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Publish /about-nara page: photo, credentials, training, Virginia license number, 2-minute intro video.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Publish transparent pricing on /pricing or inline: Signature Ombré Powder Brows $X, Combo $Y, Annual Color Boost $Z.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Add contraindications block on service page.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Week 5–8 — Conversion infrastructure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Primary CTA: "Book Free Consultation" → calendar embed (Vagaro / Square Appointments / Acuity).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Secondary CTA: "Get the Ink Mugi Brow Candidate Guide" (PDF) → email capture → 5-email nurture sequence.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Sticky mobile CTA bar.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Waitlist / currently-booking indicator ("Now booking for [Month+2]").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Deposit flow tied to booking (reduces no-shows 40–60%).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Week 9–12 — Content moat &amp; local SEO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Write the 3,000-word pillar page: "Ombré Powder Brows in Northern Virginia: A Complete Guide."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FAQ page with 12–15 questions + FAQPage schema.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Google Business Profile: complete all categories, add Northern VA service area, post weekly.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Capture 3 video testimonials (clients willing to go on camera; offer a complimentary touch-up).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Build backlinks: local Annandale Chamber, Fairfax County small business directories, 2–3 guest posts on DMV lifestyle blogs.</w:t>
      </w:r>
    </w:p>
    <w:p>
      <w:pPr>
        <w:pBdr>
          <w:bottom w:val="single" w:color="1F4E79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"If I Owned This Business" — 30-Day Maximum Impact Plan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Constraint: you have 30 days, not 90. You pick the five moves that compound fastest. Here they are: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Day 1–3 — The SSR fix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Nothing else matters if crawlers can't read the site. Fix this first. If the platform can't do SSR, migrate to one that can (Webflow, Framer, Next.js/Vercel). A week of migration pain beats a year of invisible content.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Day 4–7 — Homepage rewrite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New H1, new hero image (healed-results triptych), 0.19% claim above the fold with methodology footnote, price anchor visible, licensed-in-Virginia + session count in trust bar, two CTAs (book + lead magnet), sticky mobile CTA. Ship it.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Day 8–14 — "Meet Nara"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Professional photoshoot (60–90 min, ~$400–700 in DMV). Write a 400-word bio that leads with WHY, not credentials. Shoot a 90-second intro video on an iPhone 15+ with a $30 clip mic. This page is a conversion multiplier.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Day 15–21 — Productize pricing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Three-tier offer: (1) Signature Ombré Powder Brows $850, (2) Signature + Lip Blush combo $1,450, (3) Annual Membership $295/yr (priority booking + free shape touch-up + $150 off color boost). Publish it. Raise average revenue per client 30%+ within 60 days.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Day 22–30 — The candidate guide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12-page PDF: "Is Ombré Powder Brows Right For You? The Ink Mugi Pre-Consultation Guide." Covers: candidate checklist, contraindications, what to expect Day 1 through Year 2, pigment + equipment transparency, the 0.19% methodology, FAQ. Gate it behind an email capture. Build a 5-email sequence that converts the 70–80% of researchers over 2–3 weeks.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Net effect of 30 days: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site moves from Emerging Boutique → credible Authority tier, average revenue per booking up ~30%, email list built from zero, AI-search / Google visibility restored, and Nara has an asset she can point at for every social post, every DM inquiry, every cold referral.</w:t>
      </w:r>
    </w:p>
    <w:p>
      <w:pPr>
        <w:pBdr>
          <w:bottom w:val="single" w:color="1F4E79" w:sz="6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Appendix — Proposed Rewrites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7.1 Homepage hero (above the fold)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Eyebrow kicker (small, above H1):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LICENSED PERMANENT MAKEUP • ANNANDALE, VIRGINIA</w:t>
      </w:r>
    </w:p>
    <w:p>
      <w:pPr>
        <w:spacing w:after="120" w:before="120" w:line="300"/>
        <w:jc w:val="left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H1: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Brows you don't have to think about. Ever.</w:t>
      </w:r>
    </w:p>
    <w:p>
      <w:pPr>
        <w:spacing w:after="120" w:before="120" w:line="300"/>
        <w:jc w:val="left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Subhead: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color w:val="1a1a1a"/>
          <w:sz w:val="26"/>
          <w:szCs w:val="26"/>
        </w:rPr>
        <w:t xml:space="preserve">523 procedures. A 0.19% complication rate. One artist who treats your face like the one thing she refuses to rush.</w:t>
      </w:r>
    </w:p>
    <w:p>
      <w:pPr>
        <w:spacing w:after="120" w:before="120" w:line="300"/>
        <w:jc w:val="left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Trust bar (horizontal strip under hero):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Licensed by the Virginia Board for Barbers &amp; Cosmetology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523+ procedures completed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0.19% reported complication rate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Single-use sterile equipment, medical-grade pigments</w:t>
      </w:r>
    </w:p>
    <w:p>
      <w:pPr>
        <w:spacing w:after="120" w:before="120" w:line="300"/>
        <w:jc w:val="left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Primary CTA button: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→ Book your free consultation</w:t>
      </w:r>
    </w:p>
    <w:p>
      <w:pPr>
        <w:spacing w:after="120" w:before="120" w:line="300"/>
        <w:jc w:val="left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Secondary CTA: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Not ready? Get the Ink Mugi Candidate Guide (PDF) →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7.2 Service page structure — /signature-ombre-brows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Recommended section sequence (above → below):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Hero: healed-results photo + H1: "Signature Ombré Powder Brows"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1-sentence positioning: what this service is, who it's for, what it costs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Price anchor + what's included (consultation, procedure, 6–8 week touch-up)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Ink Mugi Method — 3-step process diagram (Mapping → Pigment Match → Layered Shading)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Healed-results gallery (minimum 12 images, consistent angle + lighting)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"Is this right for you?" — candidate checklist + contraindications (who Nara turns away)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What to expect: Day 0 / Day 1–7 / Day 14–21 / Day 45 / Year 1 / Year 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0.19% methodology — one paragraph explaining the claim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Pigment + equipment transparency (named brands, single-use protocol)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3–5 client testimonials with before/after photo pairs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FAQ (8–10 questions, FAQPage schema)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Dual CTA block (book free consult + candidate guide PDF)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7.3 Premium positioning angle to dominate the DMV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One-sentence positioning brief: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/>
          <w:iCs/>
          <w:color w:val="1F4E79"/>
          <w:sz w:val="24"/>
          <w:szCs w:val="24"/>
        </w:rPr>
        <w:t xml:space="preserve">"Ink Mugi is the only data-transparent ombré powder brow studio in the DMV — built for the Northern Virginia woman who researches everything, settles for nothing, and wants her brows to look exactly like hers, only better."</w:t>
      </w:r>
    </w:p>
    <w:p>
      <w:pPr>
        <w:spacing w:after="120" w:before="180" w:line="300"/>
        <w:jc w:val="left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Why this positioning wins: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"Data-transparent" is a category claim no DMV competitor can make without copying Nara's methodology — which would take 500+ procedures to credibly match.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"Researches everything" names the exact high-LTV ICP: lobbyists, government affairs professionals, defense-contractor spouses, Hill staffers, physicians, attorneys. She is literally the only category-defining buyer in this metro.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"Looks like hers, only better" is the dog-whistle that rejects the over-drawn Instagram brow aesthetic — the #1 regret driver in this category.</w:t>
      </w:r>
    </w:p>
    <w:p>
      <w:pPr>
        <w:spacing w:after="120" w:before="180" w:line="300"/>
        <w:jc w:val="left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Tagline candidates (ranked):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"Brows you don't have to think about. Ever."  ← recommended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"The brows you'd do for yourself, if you could."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"Measured. Mapped. Masterfully yours."</w:t>
      </w:r>
    </w:p>
    <w:p>
      <w:pPr>
        <w:pBdr>
          <w:bottom w:val="single" w:color="1F4E79" w:sz="6" w:space="1"/>
        </w:pBdr>
        <w:spacing w:after="120" w:before="120"/>
      </w:pPr>
      <w:r>
        <w:t xml:space="preserve"/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— Audit end.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Eric, two immediate asks before you forward this to Nara: (1) run the curl command in §5 Week 1–2 and send output, (2) share a screenshot of the current homepage hero. With those two inputs I can score §3.4 (visual) precisely and pressure-test the homepage rewrite in §7.1 against the actual render.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Ink Mugi — Executive Digital Audit</dc:title>
  <dc:creator>Executive Digital Strategist</dc:creator>
  <cp:lastModifiedBy>Un-named</cp:lastModifiedBy>
  <cp:revision>1</cp:revision>
  <dcterms:created xsi:type="dcterms:W3CDTF">2026-04-17T02:08:48.505Z</dcterms:created>
  <dcterms:modified xsi:type="dcterms:W3CDTF">2026-04-17T02:08:48.505Z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