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63F0"/>
          <w:sz w:val="40"/>
        </w:rPr>
        <w:t>MANUAL OPERATIVO DE BOTONES Y FUNCIONES</w:t>
      </w:r>
    </w:p>
    <w:p>
      <w:pPr>
        <w:jc w:val="center"/>
      </w:pPr>
      <w:r>
        <w:rPr>
          <w:rFonts w:ascii="Arial" w:hAnsi="Arial"/>
          <w:color w:val="64748B"/>
          <w:sz w:val="24"/>
        </w:rPr>
        <w:t>PLATAFORMA INTEGRAL DE GESTIÓN | COINTECA S.A.S. INGENIERÍA</w:t>
        <w:br/>
        <w:t>URL: https://cointeca.onrender.com/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Este manual describe con precisión la función de cada botón, pantalla y módulo de la plataforma corporativa de COINTECA S.A.S. para que cada colaborador cuente con una guía clara de sus responsabilidades y herramientas operativas.</w:t>
      </w: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1. MÓDULO DE RECURSOS HUMANOS (RRHH)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Área responsable: </w:t>
      </w:r>
      <w:r>
        <w:rPr>
          <w:rFonts w:ascii="Arial" w:hAnsi="Arial"/>
          <w:i w:val="0"/>
          <w:color w:val="1F2937"/>
          <w:sz w:val="20"/>
        </w:rPr>
        <w:t xml:space="preserve">Dirigido a: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Coordinación y Asistentes de Talento Humano / Personal.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Acceso: </w:t>
      </w:r>
      <w:r>
        <w:rPr>
          <w:rFonts w:ascii="Arial" w:hAnsi="Arial"/>
          <w:i w:val="0"/>
          <w:color w:val="1F2937"/>
          <w:sz w:val="20"/>
        </w:rPr>
        <w:t xml:space="preserve">Ruta de acceso web: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/rrhh/ o botón 'RRHH' en el Dashboard principal.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1.1. Directorio General de Colaboradores (/rrhh/empleados/)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Botón / Acción</w:t>
            </w:r>
          </w:p>
        </w:tc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Nuevo Empleado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Abre el formulario para vincular un colaborador: nombres, apellidos, cédula, cargo, fecha de ingreso, salario, tipo de contrato, EPS, AFP, ARL, caja de compensación, cesantías y contacto de emergencia.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Ver Detalle (Ícono Ojo 👁️)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Abre el expediente digital completo del trabajador: contratos, dotaciones, historia médica laboral, vacaciones, procesos disciplinarios y documentos.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Editar Empleado (Lápiz ✏️)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Permite actualizar datos personales, residencia, teléfono, aumentos de sueldo o cambios de cargo.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Retirar Empleado (Botón Rojo 🚪)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Inicia el retiro laboral formal: fecha de egreso, motivo legal de terminación y genera el acuerdo de retiro con paz y salvo.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Buscador en Tiempo Real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Permite encontrar colaboradores de inmediato por nombre o documento, y filtrar entre Activos y Retirados.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1.2. Pestañas y Opciones del Expediente del Colaborador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Generar Certificación Laboral: </w:t>
      </w:r>
      <w:r>
        <w:rPr>
          <w:rFonts w:ascii="Arial" w:hAnsi="Arial"/>
          <w:i w:val="0"/>
          <w:color w:val="1F2937"/>
          <w:sz w:val="20"/>
        </w:rPr>
        <w:t>Genera una carta laboral membretada oficial con salario, cargo y antigüedad en formato imprimible o PDF.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Asignar Dotación: </w:t>
      </w:r>
      <w:r>
        <w:rPr>
          <w:rFonts w:ascii="Arial" w:hAnsi="Arial"/>
          <w:i w:val="0"/>
          <w:color w:val="1F2937"/>
          <w:sz w:val="20"/>
        </w:rPr>
        <w:t>Registra entrega de camisas, pantalones, botas y EPP con sus tallas y fecha de entrega legal.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Solicitar / Registrar Vacaciones: </w:t>
      </w:r>
      <w:r>
        <w:rPr>
          <w:rFonts w:ascii="Arial" w:hAnsi="Arial"/>
          <w:i w:val="0"/>
          <w:color w:val="1F2937"/>
          <w:sz w:val="20"/>
        </w:rPr>
        <w:t>Abre la programación de descansos. Calcula automáticamente días hábiles entre salida y regreso.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Citar a Descargos: </w:t>
      </w:r>
      <w:r>
        <w:rPr>
          <w:rFonts w:ascii="Arial" w:hAnsi="Arial"/>
          <w:i w:val="0"/>
          <w:color w:val="1F2937"/>
          <w:sz w:val="20"/>
        </w:rPr>
        <w:t>Genera citación formal con fecha, hora y descripción de hechos respetando el debido proceso.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Acta de Descargos: </w:t>
      </w:r>
      <w:r>
        <w:rPr>
          <w:rFonts w:ascii="Arial" w:hAnsi="Arial"/>
          <w:i w:val="0"/>
          <w:color w:val="1F2937"/>
          <w:sz w:val="20"/>
        </w:rPr>
        <w:t>Formato para plasmar preguntas, respuestas del trabajador y conclusiones de la empresa.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Suspensión Disciplinaria: </w:t>
      </w:r>
      <w:r>
        <w:rPr>
          <w:rFonts w:ascii="Arial" w:hAnsi="Arial"/>
          <w:i w:val="0"/>
          <w:color w:val="1F2937"/>
          <w:sz w:val="20"/>
        </w:rPr>
        <w:t>Formaliza una sanción por falta comprobada, indicando días de suspensión y fechas exactas.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Retiro de Cesantías: </w:t>
      </w:r>
      <w:r>
        <w:rPr>
          <w:rFonts w:ascii="Arial" w:hAnsi="Arial"/>
          <w:i w:val="0"/>
          <w:color w:val="1F2937"/>
          <w:sz w:val="20"/>
        </w:rPr>
        <w:t>Registra solicitudes de retiro parcial de cesantías para vivienda o educación con soporte patronal.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Subir Documentos (PDF/Img): </w:t>
      </w:r>
      <w:r>
        <w:rPr>
          <w:rFonts w:ascii="Arial" w:hAnsi="Arial"/>
          <w:i w:val="0"/>
          <w:color w:val="1F2937"/>
          <w:sz w:val="20"/>
        </w:rPr>
        <w:t>Adjunta al expediente virtual copias digitales de cédula, diplomas, licencias o certificados.</w:t>
      </w: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2. MÓDULO DE LOGÍSTICA &amp; BODEGA CENTRAL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Área responsable: </w:t>
      </w:r>
      <w:r>
        <w:rPr>
          <w:rFonts w:ascii="Arial" w:hAnsi="Arial"/>
          <w:i w:val="0"/>
          <w:color w:val="1F2937"/>
          <w:sz w:val="20"/>
        </w:rPr>
        <w:t xml:space="preserve">Dirigido a: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Coordinación de Logística, Almacenista y Control de Inventarios.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Acceso: </w:t>
      </w:r>
      <w:r>
        <w:rPr>
          <w:rFonts w:ascii="Arial" w:hAnsi="Arial"/>
          <w:i w:val="0"/>
          <w:color w:val="1F2937"/>
          <w:sz w:val="20"/>
        </w:rPr>
        <w:t xml:space="preserve">Ruta de acceso web: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/logistica/ o botón 'Logística' en el Dashboard principal.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2.1. Catálogo de Materiales y Stock de Bodega (/logistica/materiales/)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Botón / Acción</w:t>
            </w:r>
          </w:p>
        </w:tc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Nuevo Material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Permite dar de alta un material en el catálogo: código de ítem, descripción detallada y unidad de medida (UN, MTS, KG, etc.).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Ajustar Stock (Caja 📦)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Permite actualizar las existencias físicas reales resultantes de conteos o inventarios periódicos. Exige ingresar una observación de soporte.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Historial de Movimientos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Auditoría en tiempo real de quién, cuándo y por qué aumentó o disminuyó el stock de cada material.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Buscador de Materiales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Localiza referencias al instante escribiendo el código de ítem o parte del nombre.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2.2. Entradas, Despachos y Devoluciones de Proyectos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Registrar Entrada de Material: </w:t>
      </w:r>
      <w:r>
        <w:rPr>
          <w:rFonts w:ascii="Arial" w:hAnsi="Arial"/>
          <w:i w:val="0"/>
          <w:color w:val="1F2937"/>
          <w:sz w:val="20"/>
        </w:rPr>
        <w:t>Registra mercancía recibida de proveedores para bodega o directo a obra. Incrementa el inventario.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Registrar Retiro / Salida: </w:t>
      </w:r>
      <w:r>
        <w:rPr>
          <w:rFonts w:ascii="Arial" w:hAnsi="Arial"/>
          <w:i w:val="0"/>
          <w:color w:val="1F2937"/>
          <w:sz w:val="20"/>
        </w:rPr>
        <w:t>Genera orden de salida de materiales hacia cuadrillas o frentes de obra. Descuenta existencias.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Registrar Devolución: </w:t>
      </w:r>
      <w:r>
        <w:rPr>
          <w:rFonts w:ascii="Arial" w:hAnsi="Arial"/>
          <w:i w:val="0"/>
          <w:color w:val="1F2937"/>
          <w:sz w:val="20"/>
        </w:rPr>
        <w:t>Reintegra al stock de bodega materiales sobrantes o desmontados devueltos de una obra.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Exportar Informe a Excel: </w:t>
      </w:r>
      <w:r>
        <w:rPr>
          <w:rFonts w:ascii="Arial" w:hAnsi="Arial"/>
          <w:i w:val="0"/>
          <w:color w:val="1F2937"/>
          <w:sz w:val="20"/>
        </w:rPr>
        <w:t>Descarga en Excel (.xlsx) el balance consolidado de materiales por obra para auditoría.</w:t>
      </w: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3. MÓDULO DE INGENIERÍA &amp; OBRAS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Área responsable: </w:t>
      </w:r>
      <w:r>
        <w:rPr>
          <w:rFonts w:ascii="Arial" w:hAnsi="Arial"/>
          <w:i w:val="0"/>
          <w:color w:val="1F2937"/>
          <w:sz w:val="20"/>
        </w:rPr>
        <w:t xml:space="preserve">Dirigido a: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Ingenieros Directores, Residentes de Obra y Liquidadores Técnicos.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Acceso: </w:t>
      </w:r>
      <w:r>
        <w:rPr>
          <w:rFonts w:ascii="Arial" w:hAnsi="Arial"/>
          <w:i w:val="0"/>
          <w:color w:val="1F2937"/>
          <w:sz w:val="20"/>
        </w:rPr>
        <w:t xml:space="preserve">Ruta de acceso web: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/ingenieria/ o botón 'Ingeniería' en el Dashboard principal.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3.1. Control de Proyectos y Apoyos (Postes)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Botón / Acción</w:t>
            </w:r>
          </w:p>
        </w:tc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Nuevo Macroproyecto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Agrupa múltiples circuitos u obras bajo un contrato marco o cliente institucional.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Nuevo Proyecto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Crea un proyecto u orden de trabajo: código, tipo de red (Alumbrado, Baja Tensión, Media Tensión) y fechas.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Detalle de Proyecto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Abre la consola de obra: listado de postes/apoyos, materiales instalados y liquidación económica.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Agregar Apoyo / Poste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Registra un poste: número de apoyo, dirección, coordenadas, luminarias y herrajes montados.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Despachar Bodega a Poste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Asocia los materiales de bodega consumidos específicamente en ese poste.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Calcular Mano de Obra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Calcula automáticamente el valor devengado según los ítems técnicos ejecutados en el poste.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Exportar Poste a Poste (Excel)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Genera la planilla técnica oficial exigida por interventorías y empresas de energía.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Exportar Liquidación Consolidada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Genera el resumen de costos totales: materiales instalados + mano de obra devengada.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3.2. Catálogo Oficial de Mano de Obra (/ingenieria/mano-obra/catalogo/)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Editar Tarifa (Lápiz ✏️): </w:t>
      </w:r>
      <w:r>
        <w:rPr>
          <w:rFonts w:ascii="Arial" w:hAnsi="Arial"/>
          <w:i w:val="0"/>
          <w:color w:val="1F2937"/>
          <w:sz w:val="20"/>
        </w:rPr>
        <w:t>Permite actualizar el valor unitario en pesos (\$ COP) para cada labor técnica.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Buscador de Ítems: </w:t>
      </w:r>
      <w:r>
        <w:rPr>
          <w:rFonts w:ascii="Arial" w:hAnsi="Arial"/>
          <w:i w:val="0"/>
          <w:color w:val="1F2937"/>
          <w:sz w:val="20"/>
        </w:rPr>
        <w:t>Permite localizar rápidamente cualquier ítem de mano de obra por código o descripción.</w:t>
      </w: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4. MÓDULO DE CONTABILIDAD &amp; CAJA MENOR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Área responsable: </w:t>
      </w:r>
      <w:r>
        <w:rPr>
          <w:rFonts w:ascii="Arial" w:hAnsi="Arial"/>
          <w:i w:val="0"/>
          <w:color w:val="1F2937"/>
          <w:sz w:val="20"/>
        </w:rPr>
        <w:t xml:space="preserve">Dirigido a: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Área Contable, Pagaduría y Responsables de Fondos Fijos.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Acceso: </w:t>
      </w:r>
      <w:r>
        <w:rPr>
          <w:rFonts w:ascii="Arial" w:hAnsi="Arial"/>
          <w:i w:val="0"/>
          <w:color w:val="1F2937"/>
          <w:sz w:val="20"/>
        </w:rPr>
        <w:t xml:space="preserve">Ruta de acceso web: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/caja-menor/ o botón 'Contabilidad' en el Dashboard principal.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4.1. Gestión de Libros y Movimientos de Caja Menor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Botón / Acción</w:t>
            </w:r>
          </w:p>
        </w:tc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Nueva Caja Menor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Abre una caja menor asignando monto de apertura, responsable y período.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Detalle de Caja (Ojo 👁️)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Abre el libro contable de ingresos, facturas, recibos y saldo disponible.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Registrar Movimiento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Registra un gasto o reembolso: fecha, factura/recibo, proveedor, concepto y valor.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Editar Movimiento (Lápiz ✏️)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Corrige datos o conceptos de un recibo ingresado.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Eliminar Movimiento (Papelera 🗑️)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Anula un registro erróneo; recalcula el saldo de la caja automáticamente.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Exportar a Excel (RRHH-FOR-12)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Genera el formato institucional de legalización de caja menor listo para firma y radicación.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5. MÓDULO DE GERENCIA GENERAL &amp; GOBERNANZA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Área responsable: </w:t>
      </w:r>
      <w:r>
        <w:rPr>
          <w:rFonts w:ascii="Arial" w:hAnsi="Arial"/>
          <w:i w:val="0"/>
          <w:color w:val="1F2937"/>
          <w:sz w:val="20"/>
        </w:rPr>
        <w:t xml:space="preserve">Dirigido a: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Gerente General, Junta Directiva y Socios.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Acceso: </w:t>
      </w:r>
      <w:r>
        <w:rPr>
          <w:rFonts w:ascii="Arial" w:hAnsi="Arial"/>
          <w:i w:val="0"/>
          <w:color w:val="1F2937"/>
          <w:sz w:val="20"/>
        </w:rPr>
        <w:t xml:space="preserve">Ruta de acceso web: </w:t>
      </w:r>
    </w:p>
    <w:p>
      <w:pPr>
        <w:spacing w:after="60"/>
      </w:pPr>
      <w:r>
        <w:rPr>
          <w:rFonts w:ascii="Arial" w:hAnsi="Arial"/>
          <w:i w:val="0"/>
          <w:color w:val="1F2937"/>
          <w:sz w:val="20"/>
        </w:rPr>
        <w:t>/gerencia/ o botón 'Gerencia' en el Dashboard principal.</w:t>
      </w:r>
    </w:p>
    <w:p>
      <w:pPr>
        <w:spacing w:before="240" w:after="80"/>
      </w:pPr>
      <w:r>
        <w:rPr>
          <w:rFonts w:ascii="Arial" w:hAnsi="Arial"/>
          <w:b/>
          <w:color w:val="1F2937"/>
          <w:sz w:val="24"/>
        </w:rPr>
        <w:t>5.1. Funcionalidades Exclusivas de Gerencia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Botón / Acción</w:t>
            </w:r>
          </w:p>
        </w:tc>
        <w:tc>
          <w:tcPr>
            <w:tcW w:type="dxa" w:w="4680"/>
            <w:shd w:fill="1E63F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Operativa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Crear Nueva Acta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Redacta actas de junta directiva: consecutivo, asistentes, orden del día, acuerdos y firmas.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Descargar Acta en Word (.docx)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Exporta el acta en formato Word editable con membrete corporativo.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Imprimir / Vista Previa Oficial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Visualiza el acta en formato de impresión formal para archivo legal.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Crear Indicador Estratégico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Define metas clave del negocio: fórmula, meta numérica y periodicidad.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Registrar Seguimiento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Ingresa mediciones periódicas y compara cumplimiento real vs. meta.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Vincular Proyecto a Facturación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1F2937"/>
                <w:sz w:val="18"/>
              </w:rPr>
              <w:t>Asigna metas de facturación económica (\$ COP) a los contratos.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b/>
                <w:color w:val="1F2937"/>
                <w:sz w:val="18"/>
              </w:rPr>
              <w:t>+ Registrar Factura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1F2937"/>
                <w:sz w:val="18"/>
              </w:rPr>
              <w:t>Controla cobros, facturas radicadas y saldo pendiente por recaudar.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1E63F0"/>
          <w:sz w:val="30"/>
        </w:rPr>
        <w:t>6. POLÍTICA DE ACCESOS Y RECOMENDACIONES DE SEGURIDAD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Acceso por Roles: </w:t>
      </w:r>
      <w:r>
        <w:rPr>
          <w:rFonts w:ascii="Arial" w:hAnsi="Arial"/>
          <w:i w:val="0"/>
          <w:color w:val="1F2937"/>
          <w:sz w:val="20"/>
        </w:rPr>
        <w:t>Cada colaborador dispone de un usuario con permisos limitados a su función laboral.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Cierre de Sesión: </w:t>
      </w:r>
      <w:r>
        <w:rPr>
          <w:rFonts w:ascii="Arial" w:hAnsi="Arial"/>
          <w:i w:val="0"/>
          <w:color w:val="1F2937"/>
          <w:sz w:val="20"/>
        </w:rPr>
        <w:t>Para salir del sistema de forma segura, haz clic en el botón 'Cerrar Sesión' en la esquina superior derecha.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Auditoría: </w:t>
      </w:r>
      <w:r>
        <w:rPr>
          <w:rFonts w:ascii="Arial" w:hAnsi="Arial"/>
          <w:i w:val="0"/>
          <w:color w:val="1F2937"/>
          <w:sz w:val="20"/>
        </w:rPr>
        <w:t>Todas las acciones de creación, modificación y eliminación quedan registradas con usuario, fecha y hora.</w:t>
      </w:r>
    </w:p>
    <w:p>
      <w:pPr>
        <w:spacing w:after="60"/>
      </w:pPr>
      <w:r>
        <w:rPr>
          <w:rFonts w:ascii="Arial" w:hAnsi="Arial"/>
          <w:b/>
          <w:color w:val="1F2937"/>
          <w:sz w:val="20"/>
        </w:rPr>
        <w:t xml:space="preserve">• Conexión Segura: </w:t>
      </w:r>
      <w:r>
        <w:rPr>
          <w:rFonts w:ascii="Arial" w:hAnsi="Arial"/>
          <w:i w:val="0"/>
          <w:color w:val="1F2937"/>
          <w:sz w:val="20"/>
        </w:rPr>
        <w:t>La plataforma cuenta con cifrado SSL/TLS de 256 bits (HTTPS) garantizando la privacidad de los datos de la empresa.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