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C037" w14:textId="2C39AD2A" w:rsidR="00D80CC7" w:rsidRPr="00560CBD" w:rsidRDefault="00D80CC7" w:rsidP="00560CBD">
      <w:pPr>
        <w:jc w:val="both"/>
        <w:rPr>
          <w:rFonts w:ascii="Arial" w:hAnsi="Arial" w:cs="Arial"/>
        </w:rPr>
      </w:pPr>
    </w:p>
    <w:p w14:paraId="3874E5FB" w14:textId="77777777" w:rsidR="009F207B" w:rsidRPr="00560CBD" w:rsidRDefault="009F207B" w:rsidP="00560CBD">
      <w:pPr>
        <w:pStyle w:val="Ttulo1"/>
        <w:rPr>
          <w:rFonts w:ascii="Arial" w:hAnsi="Arial" w:cs="Arial"/>
          <w:b w:val="0"/>
        </w:rPr>
      </w:pPr>
      <w:bookmarkStart w:id="0" w:name="_Toc222475459"/>
      <w:r w:rsidRPr="00560CBD">
        <w:rPr>
          <w:rFonts w:ascii="Arial" w:hAnsi="Arial" w:cs="Arial"/>
        </w:rPr>
        <w:t>PLAN ESTRATÉGICO CORPORATIVO</w:t>
      </w:r>
      <w:bookmarkEnd w:id="0"/>
    </w:p>
    <w:p w14:paraId="77A7A433" w14:textId="77777777" w:rsidR="009F207B" w:rsidRPr="00560CBD" w:rsidRDefault="009F207B" w:rsidP="00560CBD">
      <w:pPr>
        <w:pStyle w:val="Ttulo1"/>
        <w:rPr>
          <w:rFonts w:ascii="Arial" w:hAnsi="Arial" w:cs="Arial"/>
        </w:rPr>
      </w:pPr>
      <w:bookmarkStart w:id="1" w:name="_Toc222475460"/>
      <w:r w:rsidRPr="00560CBD">
        <w:rPr>
          <w:rFonts w:ascii="Arial" w:hAnsi="Arial" w:cs="Arial"/>
        </w:rPr>
        <w:t>COINTECA S.A.S. – INGENIERÍA</w:t>
      </w:r>
      <w:bookmarkEnd w:id="1"/>
    </w:p>
    <w:p w14:paraId="75532672" w14:textId="77777777" w:rsidR="009F207B" w:rsidRPr="00560CBD" w:rsidRDefault="009F207B" w:rsidP="00560CBD">
      <w:pPr>
        <w:pStyle w:val="Ttulo2"/>
        <w:jc w:val="center"/>
        <w:rPr>
          <w:rFonts w:ascii="Arial" w:hAnsi="Arial" w:cs="Arial"/>
        </w:rPr>
      </w:pPr>
      <w:bookmarkStart w:id="2" w:name="_Toc222475461"/>
      <w:r w:rsidRPr="00560CBD">
        <w:rPr>
          <w:rFonts w:ascii="Arial" w:hAnsi="Arial" w:cs="Arial"/>
        </w:rPr>
        <w:t>Horizonte Estratégico 2026 – 2030</w:t>
      </w:r>
      <w:bookmarkEnd w:id="2"/>
    </w:p>
    <w:p w14:paraId="27658128" w14:textId="77777777" w:rsidR="004F3C86" w:rsidRPr="00560CBD" w:rsidRDefault="004F3C86" w:rsidP="00560CBD">
      <w:pPr>
        <w:jc w:val="both"/>
        <w:rPr>
          <w:rFonts w:ascii="Arial" w:hAnsi="Arial" w:cs="Arial"/>
          <w:b/>
          <w:bCs/>
        </w:rPr>
      </w:pPr>
    </w:p>
    <w:p w14:paraId="74E1E651" w14:textId="77777777" w:rsidR="001929FC" w:rsidRPr="00560CBD" w:rsidRDefault="001929FC" w:rsidP="00560CBD">
      <w:pPr>
        <w:jc w:val="both"/>
        <w:rPr>
          <w:rFonts w:ascii="Arial" w:hAnsi="Arial" w:cs="Arial"/>
          <w:b/>
          <w:bCs/>
        </w:rPr>
      </w:pPr>
    </w:p>
    <w:p w14:paraId="44791952" w14:textId="5721C4F3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3" w:name="_Toc222475462"/>
      <w:r w:rsidRPr="00560CBD">
        <w:rPr>
          <w:rFonts w:ascii="Arial" w:hAnsi="Arial" w:cs="Arial"/>
        </w:rPr>
        <w:t>1. INTRODUCCIÓN</w:t>
      </w:r>
      <w:bookmarkEnd w:id="3"/>
    </w:p>
    <w:p w14:paraId="023E506E" w14:textId="7C1890CD" w:rsidR="009F207B" w:rsidRPr="00560CBD" w:rsidRDefault="009F207B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 xml:space="preserve">El presente Plan Estratégico establece el direccionamiento corporativo, técnico y financiero de </w:t>
      </w:r>
      <w:r w:rsidRPr="00560CBD">
        <w:rPr>
          <w:rFonts w:ascii="Arial" w:hAnsi="Arial" w:cs="Arial"/>
          <w:b/>
          <w:bCs/>
        </w:rPr>
        <w:t>COINTECA S.A.S.</w:t>
      </w:r>
      <w:r w:rsidRPr="00560CBD">
        <w:rPr>
          <w:rFonts w:ascii="Arial" w:hAnsi="Arial" w:cs="Arial"/>
        </w:rPr>
        <w:t xml:space="preserve"> para el período 2026–2030, definiendo los lineamientos para consolidar su posicionamiento en el sector eléctrico y energético colombiano, fortalecer su estructura organizacional y garantizar crecimiento sostenible y rentable.</w:t>
      </w:r>
    </w:p>
    <w:p w14:paraId="2BA0309A" w14:textId="77777777" w:rsidR="009F207B" w:rsidRPr="00560CBD" w:rsidRDefault="009F207B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Este documento constituye la hoja de ruta para la toma de decisiones estratégicas, inversión, expansión comercial y desarrollo tecnológico.</w:t>
      </w:r>
    </w:p>
    <w:p w14:paraId="3B7556F8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1F963C77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4" w:name="_Toc222475463"/>
      <w:r w:rsidRPr="00560CBD">
        <w:rPr>
          <w:rFonts w:ascii="Arial" w:hAnsi="Arial" w:cs="Arial"/>
        </w:rPr>
        <w:t>2. PERFIL CORPORATIVO</w:t>
      </w:r>
      <w:bookmarkEnd w:id="4"/>
    </w:p>
    <w:p w14:paraId="7BB89281" w14:textId="458D7BF0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5" w:name="_Toc222475464"/>
      <w:r w:rsidRPr="00560CBD">
        <w:rPr>
          <w:rFonts w:ascii="Arial" w:hAnsi="Arial" w:cs="Arial"/>
        </w:rPr>
        <w:t>2.1 Naturaleza de la Empresa</w:t>
      </w:r>
      <w:bookmarkEnd w:id="5"/>
    </w:p>
    <w:p w14:paraId="1809E1F6" w14:textId="17C5EB2D" w:rsidR="009F207B" w:rsidRPr="00560CBD" w:rsidRDefault="009F207B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COINTECA S.A.S. es una empresa colombiana especializada en ingeniería eléctrica, estudios de sistemas eléctricos, calidad de energía, eficiencia energética, energías renovables y redes eléctricas MT</w:t>
      </w:r>
      <w:r w:rsidR="00263EA8" w:rsidRPr="00560CBD">
        <w:rPr>
          <w:rFonts w:ascii="Arial" w:hAnsi="Arial" w:cs="Arial"/>
        </w:rPr>
        <w:t xml:space="preserve">, </w:t>
      </w:r>
      <w:r w:rsidRPr="00560CBD">
        <w:rPr>
          <w:rFonts w:ascii="Arial" w:hAnsi="Arial" w:cs="Arial"/>
        </w:rPr>
        <w:t>BT</w:t>
      </w:r>
      <w:r w:rsidR="00263EA8" w:rsidRPr="00560CBD">
        <w:rPr>
          <w:rFonts w:ascii="Arial" w:hAnsi="Arial" w:cs="Arial"/>
        </w:rPr>
        <w:t xml:space="preserve"> y AP</w:t>
      </w:r>
      <w:r w:rsidRPr="00560CBD">
        <w:rPr>
          <w:rFonts w:ascii="Arial" w:hAnsi="Arial" w:cs="Arial"/>
        </w:rPr>
        <w:t>.</w:t>
      </w:r>
    </w:p>
    <w:p w14:paraId="4E2E4F0B" w14:textId="77777777" w:rsidR="009F207B" w:rsidRPr="00560CBD" w:rsidRDefault="009F207B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Su enfoque técnico se basa en el cumplimiento normativo (RETIE, NTC-ISO 50001), la excelencia operativa y la innovación tecnológica aplicada al sector energético.</w:t>
      </w:r>
    </w:p>
    <w:p w14:paraId="619B2712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1836C1B9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6" w:name="_Toc222475465"/>
      <w:r w:rsidRPr="00560CBD">
        <w:rPr>
          <w:rFonts w:ascii="Arial" w:hAnsi="Arial" w:cs="Arial"/>
        </w:rPr>
        <w:t>3. DIRECCIONAMIENTO ESTRATÉGICO</w:t>
      </w:r>
      <w:bookmarkEnd w:id="6"/>
    </w:p>
    <w:p w14:paraId="668139F2" w14:textId="0FFF1ADB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7" w:name="_Toc222475466"/>
      <w:r w:rsidRPr="00560CBD">
        <w:rPr>
          <w:rFonts w:ascii="Arial" w:hAnsi="Arial" w:cs="Arial"/>
        </w:rPr>
        <w:t>3.1 Misión</w:t>
      </w:r>
      <w:bookmarkEnd w:id="7"/>
    </w:p>
    <w:p w14:paraId="301C24D0" w14:textId="6981B98D" w:rsidR="009F207B" w:rsidRPr="00560CBD" w:rsidRDefault="004F3C86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COINTECA S.A.S. cuya razón de ser es contribuir y lograr que nuestro portafolio de servicios cumpla con la más alta calidad, garantizando una excelente labor en el sector eléctrico mediante la transferencia del conocimiento, productividad y competitividad. Obteniendo así un bienestar socioeconómico, cultural y ambiental para nuestros clientes y colaboradores.</w:t>
      </w:r>
    </w:p>
    <w:p w14:paraId="68BE5608" w14:textId="48B5FE87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8" w:name="_Toc222475467"/>
      <w:r w:rsidRPr="00560CBD">
        <w:rPr>
          <w:rFonts w:ascii="Arial" w:hAnsi="Arial" w:cs="Arial"/>
        </w:rPr>
        <w:t>3.2 Visión</w:t>
      </w:r>
      <w:bookmarkEnd w:id="8"/>
    </w:p>
    <w:p w14:paraId="74FAD087" w14:textId="439A283C" w:rsidR="009F207B" w:rsidRPr="00560CBD" w:rsidRDefault="004F3C86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 xml:space="preserve">COINTECA S.A.S. quiere ser una reconocida empresa moderna de servicios de ingeniería eléctrica, con equipos y talento humano calificado que brinden soluciones eficaces, eficientes e idóneas para las necesidades del sector eléctrico a través de una cultura de mejoramiento </w:t>
      </w:r>
      <w:r w:rsidRPr="00560CBD">
        <w:rPr>
          <w:rFonts w:ascii="Arial" w:hAnsi="Arial" w:cs="Arial"/>
        </w:rPr>
        <w:lastRenderedPageBreak/>
        <w:t>continuo e innovación con aplicaciones tecnológicas de equipos, elementos de protección, control y uso eficiente de los recursos energéticos</w:t>
      </w:r>
    </w:p>
    <w:p w14:paraId="551EB0A5" w14:textId="77777777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9" w:name="_Toc222475468"/>
      <w:r w:rsidRPr="00560CBD">
        <w:rPr>
          <w:rFonts w:ascii="Arial" w:hAnsi="Arial" w:cs="Arial"/>
        </w:rPr>
        <w:t>3.3 Valores Corporativos</w:t>
      </w:r>
      <w:bookmarkEnd w:id="9"/>
    </w:p>
    <w:p w14:paraId="74AA33D8" w14:textId="7B3EDDC0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Excelencia técnica</w:t>
      </w:r>
    </w:p>
    <w:p w14:paraId="75F27EDF" w14:textId="5245316F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Ética y transparencia</w:t>
      </w:r>
    </w:p>
    <w:p w14:paraId="54AE8066" w14:textId="50870365" w:rsidR="00B16112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 xml:space="preserve">Responsabilidad </w:t>
      </w:r>
    </w:p>
    <w:p w14:paraId="0672DCCA" w14:textId="77777777" w:rsidR="00B16112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Orientación al cliente</w:t>
      </w:r>
    </w:p>
    <w:p w14:paraId="30EE0E83" w14:textId="7B1F6729" w:rsidR="009F207B" w:rsidRPr="00560CBD" w:rsidRDefault="00FD4D1C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Conciencia ambiental y social</w:t>
      </w:r>
    </w:p>
    <w:p w14:paraId="7C809D77" w14:textId="2E54733B" w:rsidR="00FD4D1C" w:rsidRPr="00560CBD" w:rsidRDefault="00FD4D1C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 xml:space="preserve">Profesionalismo y compromiso </w:t>
      </w:r>
    </w:p>
    <w:p w14:paraId="1327511F" w14:textId="7BB295E9" w:rsidR="00FD4D1C" w:rsidRPr="00560CBD" w:rsidRDefault="00FD4D1C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 xml:space="preserve">Eficiencia </w:t>
      </w:r>
    </w:p>
    <w:p w14:paraId="37AF957A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660633A6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10" w:name="_Toc222475469"/>
      <w:r w:rsidRPr="00560CBD">
        <w:rPr>
          <w:rFonts w:ascii="Arial" w:hAnsi="Arial" w:cs="Arial"/>
        </w:rPr>
        <w:t>4. ANÁLISIS ESTRATÉGICO</w:t>
      </w:r>
      <w:bookmarkEnd w:id="10"/>
    </w:p>
    <w:p w14:paraId="16F84857" w14:textId="77777777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1" w:name="_Toc222475470"/>
      <w:r w:rsidRPr="00560CBD">
        <w:rPr>
          <w:rFonts w:ascii="Arial" w:hAnsi="Arial" w:cs="Arial"/>
        </w:rPr>
        <w:t>4.1 Análisis FODA</w:t>
      </w:r>
      <w:bookmarkEnd w:id="11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263EA8" w:rsidRPr="00560CBD" w14:paraId="45D68435" w14:textId="77777777" w:rsidTr="00586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539B7F7" w14:textId="429DEE69" w:rsidR="00263EA8" w:rsidRPr="00560CBD" w:rsidRDefault="00263EA8" w:rsidP="00560CBD">
            <w:pPr>
              <w:jc w:val="both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>Fortalezas</w:t>
            </w:r>
          </w:p>
          <w:p w14:paraId="52AE914D" w14:textId="3539E3F5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Experiencia en proyectos eléctricos industriales, comerciales y residenciales.</w:t>
            </w:r>
          </w:p>
          <w:p w14:paraId="2F1CBA16" w14:textId="3124C3AA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Capacidad en estudios especializados (calidad de energía, cortocircuito, coordinación de protecciones).</w:t>
            </w:r>
          </w:p>
          <w:p w14:paraId="29CAA6D8" w14:textId="01450643" w:rsidR="00FD4D1C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Conocimiento en RETIE e ISO 50001.</w:t>
            </w:r>
          </w:p>
          <w:p w14:paraId="7612342B" w14:textId="5239C70B" w:rsidR="00263EA8" w:rsidRPr="00560CBD" w:rsidRDefault="00263EA8" w:rsidP="00560CBD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  <w:tc>
          <w:tcPr>
            <w:tcW w:w="4702" w:type="dxa"/>
          </w:tcPr>
          <w:p w14:paraId="0384C5FF" w14:textId="77777777" w:rsidR="00263EA8" w:rsidRPr="00560CBD" w:rsidRDefault="00263EA8" w:rsidP="00560CB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 xml:space="preserve">Oportunidades </w:t>
            </w:r>
          </w:p>
          <w:p w14:paraId="2BA3A9C6" w14:textId="2FD1FC82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Incentivos legales para energías renovables.</w:t>
            </w:r>
          </w:p>
          <w:p w14:paraId="47BF3A16" w14:textId="1FF3EC45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Mayor exigencia normativa en calidad de energía.</w:t>
            </w:r>
          </w:p>
          <w:p w14:paraId="33685D78" w14:textId="10C72A64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Transición energética nacional.</w:t>
            </w:r>
          </w:p>
        </w:tc>
      </w:tr>
      <w:tr w:rsidR="00263EA8" w:rsidRPr="00560CBD" w14:paraId="264C64CD" w14:textId="77777777" w:rsidTr="00586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2E6B842" w14:textId="77777777" w:rsidR="00263EA8" w:rsidRPr="00560CBD" w:rsidRDefault="00263EA8" w:rsidP="00560CBD">
            <w:pPr>
              <w:jc w:val="both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 xml:space="preserve">Debilidades </w:t>
            </w:r>
          </w:p>
          <w:p w14:paraId="2910925D" w14:textId="2433546F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Limitada estructura comercial.</w:t>
            </w:r>
          </w:p>
          <w:p w14:paraId="2BEEE235" w14:textId="1B243892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Dependencia de contratación por proyecto.</w:t>
            </w:r>
          </w:p>
          <w:p w14:paraId="174ACEDE" w14:textId="5E6DD7CC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560CBD">
              <w:rPr>
                <w:rFonts w:ascii="Arial" w:hAnsi="Arial" w:cs="Arial"/>
                <w:b w:val="0"/>
                <w:bCs w:val="0"/>
              </w:rPr>
              <w:t>Baja visibilidad digital.</w:t>
            </w:r>
          </w:p>
          <w:p w14:paraId="519AC742" w14:textId="46A46A08" w:rsidR="00263EA8" w:rsidRPr="00560CBD" w:rsidRDefault="00263EA8" w:rsidP="00560C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02" w:type="dxa"/>
          </w:tcPr>
          <w:p w14:paraId="2B17DA74" w14:textId="77777777" w:rsidR="00263EA8" w:rsidRPr="00560CBD" w:rsidRDefault="00263EA8" w:rsidP="00560C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560CBD">
              <w:rPr>
                <w:rFonts w:ascii="Arial" w:hAnsi="Arial" w:cs="Arial"/>
                <w:b/>
                <w:bCs/>
              </w:rPr>
              <w:t>Amenazas</w:t>
            </w:r>
          </w:p>
          <w:p w14:paraId="4D245CBF" w14:textId="7893FDE4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>Alta competencia regional.</w:t>
            </w:r>
          </w:p>
          <w:p w14:paraId="2EA31319" w14:textId="4D4736D2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>Variabilidad económica.</w:t>
            </w:r>
          </w:p>
          <w:p w14:paraId="39DB1F4B" w14:textId="483685A1" w:rsidR="00263EA8" w:rsidRPr="00560CBD" w:rsidRDefault="00263EA8" w:rsidP="00560CBD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60CBD">
              <w:rPr>
                <w:rFonts w:ascii="Arial" w:hAnsi="Arial" w:cs="Arial"/>
              </w:rPr>
              <w:t>Cambios regulatorios.</w:t>
            </w:r>
          </w:p>
        </w:tc>
      </w:tr>
    </w:tbl>
    <w:p w14:paraId="57613971" w14:textId="302E3092" w:rsidR="009F207B" w:rsidRPr="00560CBD" w:rsidRDefault="009F207B" w:rsidP="00560CBD">
      <w:pPr>
        <w:jc w:val="both"/>
        <w:rPr>
          <w:rFonts w:ascii="Arial" w:hAnsi="Arial" w:cs="Arial"/>
        </w:rPr>
      </w:pPr>
    </w:p>
    <w:p w14:paraId="5C475459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12" w:name="_Toc222475471"/>
      <w:r w:rsidRPr="00560CBD">
        <w:rPr>
          <w:rFonts w:ascii="Arial" w:hAnsi="Arial" w:cs="Arial"/>
        </w:rPr>
        <w:t>5. OBJETIVOS ESTRATÉGICOS 2026–2030</w:t>
      </w:r>
      <w:bookmarkEnd w:id="12"/>
    </w:p>
    <w:p w14:paraId="1FECAB76" w14:textId="7BBE5438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3" w:name="_Toc222475472"/>
      <w:r w:rsidRPr="00560CBD">
        <w:rPr>
          <w:rFonts w:ascii="Arial" w:hAnsi="Arial" w:cs="Arial"/>
        </w:rPr>
        <w:t>5.1 Objetivos Corporativos</w:t>
      </w:r>
      <w:bookmarkEnd w:id="13"/>
    </w:p>
    <w:p w14:paraId="58AF73E8" w14:textId="600A24D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Incrementar ingresos anuales en un 20% promedio.</w:t>
      </w:r>
    </w:p>
    <w:p w14:paraId="03E48327" w14:textId="1EAB21F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Diversificar el portafolio hacia proyectos solares y eficiencia energética.</w:t>
      </w:r>
    </w:p>
    <w:p w14:paraId="31BA04B6" w14:textId="252DC3F8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Lograr certificación ISO 9001 e ISO 45001.</w:t>
      </w:r>
    </w:p>
    <w:p w14:paraId="44FEE21D" w14:textId="14DD922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Consolidar una estructura comercial permanente.</w:t>
      </w:r>
    </w:p>
    <w:p w14:paraId="013547E2" w14:textId="591389A1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Expandir operaciones a nuevos departamentos del país.</w:t>
      </w:r>
    </w:p>
    <w:p w14:paraId="7413584E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2D1FF8ED" w14:textId="6DC4D42E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4" w:name="_Toc222475473"/>
      <w:r w:rsidRPr="00560CBD">
        <w:rPr>
          <w:rFonts w:ascii="Arial" w:hAnsi="Arial" w:cs="Arial"/>
        </w:rPr>
        <w:t>5.2 Objetivos Técnicos</w:t>
      </w:r>
      <w:bookmarkEnd w:id="14"/>
    </w:p>
    <w:p w14:paraId="35B4988C" w14:textId="4C26B5C6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Implementar software especializado para estudios eléctricos avanzados.</w:t>
      </w:r>
    </w:p>
    <w:p w14:paraId="6196F016" w14:textId="65038B0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Estandarizar metodologías de diseño y supervisión.</w:t>
      </w:r>
    </w:p>
    <w:p w14:paraId="78ACEAD6" w14:textId="6004769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lastRenderedPageBreak/>
        <w:t>Desarrollar unidad técnica especializada en calidad de energía.</w:t>
      </w:r>
    </w:p>
    <w:p w14:paraId="1CB9FEF8" w14:textId="0E01EDE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Incorporar soluciones de monitoreo energético inteligente.</w:t>
      </w:r>
    </w:p>
    <w:p w14:paraId="267720E0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4334EE5E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15" w:name="_Toc222475474"/>
      <w:r w:rsidRPr="00560CBD">
        <w:rPr>
          <w:rFonts w:ascii="Arial" w:hAnsi="Arial" w:cs="Arial"/>
        </w:rPr>
        <w:t>6. EJES ESTRATÉGICOS</w:t>
      </w:r>
      <w:bookmarkEnd w:id="15"/>
    </w:p>
    <w:p w14:paraId="60A96071" w14:textId="6076D489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6" w:name="_Toc222475475"/>
      <w:r w:rsidRPr="00560CBD">
        <w:rPr>
          <w:rFonts w:ascii="Arial" w:hAnsi="Arial" w:cs="Arial"/>
        </w:rPr>
        <w:t>Eje 1: Excelencia Técnica y Cumplimiento Normativo</w:t>
      </w:r>
      <w:bookmarkEnd w:id="16"/>
    </w:p>
    <w:p w14:paraId="08A1B28A" w14:textId="5A018E1D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Fortalecer capacidades en RETIE y normativas vigentes.</w:t>
      </w:r>
    </w:p>
    <w:p w14:paraId="628194E4" w14:textId="0FCD6990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Estandarizar protocolos de interventoría y diseño.</w:t>
      </w:r>
    </w:p>
    <w:p w14:paraId="2039D64E" w14:textId="76699FAE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Implementar auditorías técnicas internas.</w:t>
      </w:r>
    </w:p>
    <w:p w14:paraId="5D45C3D8" w14:textId="0026654F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7" w:name="_Toc222475476"/>
      <w:r w:rsidRPr="00560CBD">
        <w:rPr>
          <w:rFonts w:ascii="Arial" w:hAnsi="Arial" w:cs="Arial"/>
        </w:rPr>
        <w:t>Eje 2: Expansión Comercial y Posicionamiento</w:t>
      </w:r>
      <w:bookmarkEnd w:id="17"/>
    </w:p>
    <w:p w14:paraId="6A25E048" w14:textId="1CB15BD7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Desarrollo de marca corporativa.</w:t>
      </w:r>
    </w:p>
    <w:p w14:paraId="693F5870" w14:textId="7FBF469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Estrategia digital B2B.</w:t>
      </w:r>
    </w:p>
    <w:p w14:paraId="6A5736B2" w14:textId="52C4A90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Participación en licitaciones públicas y privadas.</w:t>
      </w:r>
    </w:p>
    <w:p w14:paraId="7D2F628D" w14:textId="14FFB047" w:rsidR="007E04B9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Alianzas estratégicas con proveedores y constructoras.</w:t>
      </w:r>
    </w:p>
    <w:p w14:paraId="795C5C2E" w14:textId="31042071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8" w:name="_Toc222475477"/>
      <w:r w:rsidRPr="00560CBD">
        <w:rPr>
          <w:rFonts w:ascii="Arial" w:hAnsi="Arial" w:cs="Arial"/>
        </w:rPr>
        <w:t>Eje 3: Innovación y Tecnología</w:t>
      </w:r>
      <w:bookmarkEnd w:id="18"/>
    </w:p>
    <w:p w14:paraId="03E864CB" w14:textId="577E1F8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Integración de herramientas de simulación eléctrica.</w:t>
      </w:r>
    </w:p>
    <w:p w14:paraId="1D28DFF6" w14:textId="70AA276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Incorporación de soluciones de eficiencia energética.</w:t>
      </w:r>
    </w:p>
    <w:p w14:paraId="4424AFCB" w14:textId="7594265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Implementación de monitoreo y análisis predictivo.</w:t>
      </w:r>
    </w:p>
    <w:p w14:paraId="079DBA74" w14:textId="33A8CF33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19" w:name="_Toc222475478"/>
      <w:r w:rsidRPr="00560CBD">
        <w:rPr>
          <w:rFonts w:ascii="Arial" w:hAnsi="Arial" w:cs="Arial"/>
        </w:rPr>
        <w:t>Eje 4: Gestión Organizacional</w:t>
      </w:r>
      <w:bookmarkEnd w:id="19"/>
    </w:p>
    <w:p w14:paraId="219AF014" w14:textId="2E3CA8D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Estructuración de organigrama funcional.</w:t>
      </w:r>
    </w:p>
    <w:p w14:paraId="1C66EA72" w14:textId="232A816E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Implementación de indicadores de desempeño.</w:t>
      </w:r>
    </w:p>
    <w:p w14:paraId="3F4BB279" w14:textId="6970D138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Programa de capacitación técnica anual.</w:t>
      </w:r>
    </w:p>
    <w:p w14:paraId="560AA5B8" w14:textId="60064A1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Sistema de gestión documental.</w:t>
      </w:r>
    </w:p>
    <w:p w14:paraId="718474E8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0185EC29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20" w:name="_Toc222475479"/>
      <w:r w:rsidRPr="00560CBD">
        <w:rPr>
          <w:rFonts w:ascii="Arial" w:hAnsi="Arial" w:cs="Arial"/>
        </w:rPr>
        <w:t>7. PORTAFOLIO ESTRATÉGICO DE SERVICIOS</w:t>
      </w:r>
      <w:bookmarkEnd w:id="20"/>
    </w:p>
    <w:p w14:paraId="6099E6E0" w14:textId="67444379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1" w:name="_Toc222475480"/>
      <w:r w:rsidRPr="00560CBD">
        <w:rPr>
          <w:rFonts w:ascii="Arial" w:hAnsi="Arial" w:cs="Arial"/>
        </w:rPr>
        <w:t>7.1 Ingeniería Eléctrica</w:t>
      </w:r>
      <w:bookmarkEnd w:id="21"/>
    </w:p>
    <w:p w14:paraId="73337532" w14:textId="6A6745D4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Diseño y montaje conforme RETIE.</w:t>
      </w:r>
    </w:p>
    <w:p w14:paraId="37959012" w14:textId="1A2F2EE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Coordinación de protecciones.</w:t>
      </w:r>
    </w:p>
    <w:p w14:paraId="3B368A37" w14:textId="1403CFD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Cálculo de cortocircuito.</w:t>
      </w:r>
    </w:p>
    <w:p w14:paraId="366145F5" w14:textId="55DEF231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Estudios de flujo de carga.</w:t>
      </w:r>
    </w:p>
    <w:p w14:paraId="71A02D8C" w14:textId="3113AF3E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2" w:name="_Toc222475481"/>
      <w:r w:rsidRPr="00560CBD">
        <w:rPr>
          <w:rFonts w:ascii="Arial" w:hAnsi="Arial" w:cs="Arial"/>
        </w:rPr>
        <w:t>7.2 Calidad de Energía</w:t>
      </w:r>
      <w:bookmarkEnd w:id="22"/>
    </w:p>
    <w:p w14:paraId="0B470B57" w14:textId="474688A8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Análisis de armónicos.</w:t>
      </w:r>
    </w:p>
    <w:p w14:paraId="49F39111" w14:textId="5B58E4F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Estudios de sag, swell y transitorios.</w:t>
      </w:r>
    </w:p>
    <w:p w14:paraId="492A7C9A" w14:textId="44BE08D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Diagnóstico de factor de potencia.</w:t>
      </w:r>
    </w:p>
    <w:p w14:paraId="7DFAEDDE" w14:textId="2A23100D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Cargabilidad de transformadores y motores.</w:t>
      </w:r>
    </w:p>
    <w:p w14:paraId="1F813429" w14:textId="2C4F9DA2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3" w:name="_Toc222475482"/>
      <w:r w:rsidRPr="00560CBD">
        <w:rPr>
          <w:rFonts w:ascii="Arial" w:hAnsi="Arial" w:cs="Arial"/>
        </w:rPr>
        <w:t>7.3 Energía Solar Fotovoltaica</w:t>
      </w:r>
      <w:bookmarkEnd w:id="23"/>
    </w:p>
    <w:p w14:paraId="298B922B" w14:textId="2B2B9D87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Ingeniería conceptual y de detalle.</w:t>
      </w:r>
    </w:p>
    <w:p w14:paraId="61C58E06" w14:textId="4EF7BD4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lastRenderedPageBreak/>
        <w:t>Proyectos llave en mano.</w:t>
      </w:r>
    </w:p>
    <w:p w14:paraId="0EE85128" w14:textId="2272F546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Estudios de viabilidad técnica y financiera.</w:t>
      </w:r>
    </w:p>
    <w:p w14:paraId="017E271A" w14:textId="55BFB84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O&amp;M de sistemas solares.</w:t>
      </w:r>
    </w:p>
    <w:p w14:paraId="70B54800" w14:textId="2DBC86A9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4" w:name="_Toc222475483"/>
      <w:r w:rsidRPr="00560CBD">
        <w:rPr>
          <w:rFonts w:ascii="Arial" w:hAnsi="Arial" w:cs="Arial"/>
        </w:rPr>
        <w:t>7.4 Eficiencia Energética</w:t>
      </w:r>
      <w:bookmarkEnd w:id="24"/>
    </w:p>
    <w:p w14:paraId="6679A505" w14:textId="44D0B6B0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Implementación ISO 50001.</w:t>
      </w:r>
    </w:p>
    <w:p w14:paraId="589AE197" w14:textId="3019632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Auditorías energéticas.</w:t>
      </w:r>
    </w:p>
    <w:p w14:paraId="072013D6" w14:textId="772DFDD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Caracterización de consumo.</w:t>
      </w:r>
    </w:p>
    <w:p w14:paraId="74A5A5EC" w14:textId="1514D97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Planes de reducción de pérdidas.</w:t>
      </w:r>
    </w:p>
    <w:p w14:paraId="08DAC2C2" w14:textId="77777777" w:rsidR="007E04B9" w:rsidRPr="00560CBD" w:rsidRDefault="007E04B9" w:rsidP="00560CBD">
      <w:pPr>
        <w:jc w:val="both"/>
        <w:rPr>
          <w:rFonts w:ascii="Arial" w:hAnsi="Arial" w:cs="Arial"/>
        </w:rPr>
      </w:pPr>
    </w:p>
    <w:p w14:paraId="22BB5E2E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25" w:name="_Toc222475484"/>
      <w:r w:rsidRPr="00560CBD">
        <w:rPr>
          <w:rFonts w:ascii="Arial" w:hAnsi="Arial" w:cs="Arial"/>
        </w:rPr>
        <w:t>8. MODELO DE GESTIÓN (BALANCED SCORECARD)</w:t>
      </w:r>
      <w:bookmarkEnd w:id="25"/>
    </w:p>
    <w:p w14:paraId="16A69935" w14:textId="1843D618" w:rsidR="009F207B" w:rsidRPr="00560CBD" w:rsidRDefault="009F207B" w:rsidP="00560CB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Perspectiva Financiera</w:t>
      </w:r>
    </w:p>
    <w:p w14:paraId="6F78FB7A" w14:textId="0DBBB25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Crecimiento anual de ingresos.</w:t>
      </w:r>
    </w:p>
    <w:p w14:paraId="32B16D16" w14:textId="43B2D693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Margen bruto por proyecto.</w:t>
      </w:r>
    </w:p>
    <w:p w14:paraId="70BD80AA" w14:textId="07E7B6C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Flujo de caja operativo.</w:t>
      </w:r>
    </w:p>
    <w:p w14:paraId="180C9F54" w14:textId="6939069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Rentabilidad sobre activos.</w:t>
      </w:r>
    </w:p>
    <w:p w14:paraId="0C4732A0" w14:textId="32F0D831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Perspectiva Clientes</w:t>
      </w:r>
    </w:p>
    <w:p w14:paraId="6AF7E07C" w14:textId="5D76CF36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Índice de satisfacción.</w:t>
      </w:r>
    </w:p>
    <w:p w14:paraId="41FD11F6" w14:textId="113B9924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Tasa de recompra.</w:t>
      </w:r>
    </w:p>
    <w:p w14:paraId="3100BD44" w14:textId="792EC15F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Tiempo de respuesta técnica.</w:t>
      </w:r>
    </w:p>
    <w:p w14:paraId="61CCBEB3" w14:textId="1F06FA6F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Cumplimiento de cronogramas.</w:t>
      </w:r>
    </w:p>
    <w:p w14:paraId="10E757A9" w14:textId="51B9D8C7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Perspectiva Procesos Internos</w:t>
      </w:r>
    </w:p>
    <w:p w14:paraId="158D2786" w14:textId="7207FD79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Estandarización de diseños.</w:t>
      </w:r>
    </w:p>
    <w:p w14:paraId="11101743" w14:textId="5681E184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Reducción de reprocesos.</w:t>
      </w:r>
    </w:p>
    <w:p w14:paraId="44B79D77" w14:textId="626B0D8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Control de costos por proyecto.</w:t>
      </w:r>
    </w:p>
    <w:p w14:paraId="2905FEEE" w14:textId="5BE02270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Cumplimiento normativo.</w:t>
      </w:r>
    </w:p>
    <w:p w14:paraId="4F324FB1" w14:textId="038CCE77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Perspectiva Aprendizaje y Crecimiento</w:t>
      </w:r>
    </w:p>
    <w:p w14:paraId="17AC18A3" w14:textId="10971A08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Horas de capacitación técnica.</w:t>
      </w:r>
    </w:p>
    <w:p w14:paraId="0723A580" w14:textId="414BBF00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Certificaciones del personal.</w:t>
      </w:r>
    </w:p>
    <w:p w14:paraId="39A11F7B" w14:textId="5EEEF226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Innovaciones implementadas.</w:t>
      </w:r>
    </w:p>
    <w:p w14:paraId="6FB79828" w14:textId="2BBE1A6D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Cultura de mejora continua.</w:t>
      </w:r>
    </w:p>
    <w:p w14:paraId="715537EE" w14:textId="77777777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26" w:name="_Toc222475485"/>
      <w:r w:rsidRPr="00560CBD">
        <w:rPr>
          <w:rFonts w:ascii="Arial" w:hAnsi="Arial" w:cs="Arial"/>
        </w:rPr>
        <w:t>9. PLAN DE EXPANSIÓN</w:t>
      </w:r>
      <w:bookmarkEnd w:id="26"/>
    </w:p>
    <w:p w14:paraId="21D2D0AE" w14:textId="58C63A3F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7" w:name="_Toc222475486"/>
      <w:r w:rsidRPr="00560CBD">
        <w:rPr>
          <w:rFonts w:ascii="Arial" w:hAnsi="Arial" w:cs="Arial"/>
        </w:rPr>
        <w:t>Corto Plazo (1–2 años)</w:t>
      </w:r>
      <w:bookmarkEnd w:id="27"/>
    </w:p>
    <w:p w14:paraId="210EB20D" w14:textId="6BF75AC4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Fortalecer estructura comercial.</w:t>
      </w:r>
    </w:p>
    <w:p w14:paraId="3CE98D8E" w14:textId="42D8CD7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Implementar software especializado.</w:t>
      </w:r>
    </w:p>
    <w:p w14:paraId="7A85DD68" w14:textId="713F9C74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Consolidar proyectos solares.</w:t>
      </w:r>
    </w:p>
    <w:p w14:paraId="19A92151" w14:textId="0F292425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8" w:name="_Toc222475487"/>
      <w:r w:rsidRPr="00560CBD">
        <w:rPr>
          <w:rFonts w:ascii="Arial" w:hAnsi="Arial" w:cs="Arial"/>
        </w:rPr>
        <w:t>Mediano Plazo (3–4 años)</w:t>
      </w:r>
      <w:bookmarkEnd w:id="28"/>
    </w:p>
    <w:p w14:paraId="4976A4AB" w14:textId="68ED9E5B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Expansión regional.</w:t>
      </w:r>
    </w:p>
    <w:p w14:paraId="525EC561" w14:textId="719195AF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Certificaciones ISO.</w:t>
      </w:r>
    </w:p>
    <w:p w14:paraId="24B3A7C0" w14:textId="2978846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Unidad técnica especializada en calidad de energía.</w:t>
      </w:r>
    </w:p>
    <w:p w14:paraId="2DA394AD" w14:textId="6B389C08" w:rsidR="009F207B" w:rsidRPr="00560CBD" w:rsidRDefault="009F207B" w:rsidP="00560CBD">
      <w:pPr>
        <w:pStyle w:val="Ttulo3"/>
        <w:jc w:val="both"/>
        <w:rPr>
          <w:rFonts w:ascii="Arial" w:hAnsi="Arial" w:cs="Arial"/>
        </w:rPr>
      </w:pPr>
      <w:bookmarkStart w:id="29" w:name="_Toc222475488"/>
      <w:r w:rsidRPr="00560CBD">
        <w:rPr>
          <w:rFonts w:ascii="Arial" w:hAnsi="Arial" w:cs="Arial"/>
        </w:rPr>
        <w:lastRenderedPageBreak/>
        <w:t>Largo Plazo (5 años)</w:t>
      </w:r>
      <w:bookmarkEnd w:id="29"/>
    </w:p>
    <w:p w14:paraId="3B2143FA" w14:textId="0D1BBF2A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Participación en grandes proyectos industriales.</w:t>
      </w:r>
    </w:p>
    <w:p w14:paraId="6DD34533" w14:textId="3D9FE8A2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Desarrollo de soluciones tecnológicas propias.</w:t>
      </w:r>
    </w:p>
    <w:p w14:paraId="5D12B461" w14:textId="2FAAF61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Posicionamiento como empresa referente nacional.</w:t>
      </w:r>
    </w:p>
    <w:p w14:paraId="319EDB02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058EA67F" w14:textId="5E27FBFC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30" w:name="_Toc222475489"/>
      <w:r w:rsidRPr="00560CBD">
        <w:rPr>
          <w:rFonts w:ascii="Arial" w:hAnsi="Arial" w:cs="Arial"/>
        </w:rPr>
        <w:t>10. GESTIÓN DE RIESGOS</w:t>
      </w:r>
      <w:bookmarkEnd w:id="30"/>
    </w:p>
    <w:p w14:paraId="34ADAA2E" w14:textId="5CB749B6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Riesgo financiero → Control presupuestal y análisis de rentabilidad.</w:t>
      </w:r>
    </w:p>
    <w:p w14:paraId="47086249" w14:textId="7352C375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Riesgo técnico → Estandarización y auditorías internas.</w:t>
      </w:r>
    </w:p>
    <w:p w14:paraId="0D599E3A" w14:textId="6D8DE0CC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Riesgo normativo → Actualización permanente.</w:t>
      </w:r>
    </w:p>
    <w:p w14:paraId="4217DFE7" w14:textId="58008E5F" w:rsidR="009F207B" w:rsidRPr="00560CBD" w:rsidRDefault="009F207B" w:rsidP="00560CB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Riesgo operativo → Plan de seguridad industrial.</w:t>
      </w:r>
    </w:p>
    <w:p w14:paraId="28F569AD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643ADA1F" w14:textId="76F5EE56" w:rsidR="009F207B" w:rsidRPr="00560CBD" w:rsidRDefault="009F207B" w:rsidP="00560CBD">
      <w:pPr>
        <w:pStyle w:val="Ttulo2"/>
        <w:jc w:val="both"/>
        <w:rPr>
          <w:rFonts w:ascii="Arial" w:hAnsi="Arial" w:cs="Arial"/>
        </w:rPr>
      </w:pPr>
      <w:bookmarkStart w:id="31" w:name="_Toc222475490"/>
      <w:r w:rsidRPr="00560CBD">
        <w:rPr>
          <w:rFonts w:ascii="Arial" w:hAnsi="Arial" w:cs="Arial"/>
        </w:rPr>
        <w:t>11. CONCLUSIÓN</w:t>
      </w:r>
      <w:bookmarkEnd w:id="31"/>
    </w:p>
    <w:p w14:paraId="6BB64A61" w14:textId="40CEC329" w:rsidR="009F207B" w:rsidRPr="00560CBD" w:rsidRDefault="009F207B" w:rsidP="00560CBD">
      <w:pPr>
        <w:jc w:val="both"/>
        <w:rPr>
          <w:rFonts w:ascii="Arial" w:hAnsi="Arial" w:cs="Arial"/>
        </w:rPr>
      </w:pPr>
      <w:r w:rsidRPr="00560CBD">
        <w:rPr>
          <w:rFonts w:ascii="Arial" w:hAnsi="Arial" w:cs="Arial"/>
        </w:rPr>
        <w:t>El presente Plan Estratégico posiciona a COINTECA S.A.S. como una organización con visión técnica sólida, enfoque corporativo estructurado y proyección de crecimiento sostenible, alineada con la transición energética y las exigencias normativas del sector eléctrico colombiano.</w:t>
      </w:r>
    </w:p>
    <w:p w14:paraId="57DC9304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p w14:paraId="739494F2" w14:textId="77777777" w:rsidR="009F207B" w:rsidRPr="00560CBD" w:rsidRDefault="009F207B" w:rsidP="00560CBD">
      <w:pPr>
        <w:jc w:val="both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Y="1960"/>
        <w:tblW w:w="0" w:type="auto"/>
        <w:tblLook w:val="04A0" w:firstRow="1" w:lastRow="0" w:firstColumn="1" w:lastColumn="0" w:noHBand="0" w:noVBand="1"/>
      </w:tblPr>
      <w:tblGrid>
        <w:gridCol w:w="3539"/>
        <w:gridCol w:w="1701"/>
        <w:gridCol w:w="1701"/>
        <w:gridCol w:w="1985"/>
      </w:tblGrid>
      <w:tr w:rsidR="00FE086E" w:rsidRPr="00560CBD" w14:paraId="6FF8528C" w14:textId="77777777" w:rsidTr="00FE086E">
        <w:tc>
          <w:tcPr>
            <w:tcW w:w="3539" w:type="dxa"/>
          </w:tcPr>
          <w:p w14:paraId="373E5419" w14:textId="18BD92F0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bookmarkStart w:id="32" w:name="_Hlk222481407"/>
            <w:r w:rsidRPr="00560CBD">
              <w:rPr>
                <w:rFonts w:ascii="Arial" w:hAnsi="Arial" w:cs="Arial"/>
                <w:sz w:val="16"/>
                <w:szCs w:val="16"/>
              </w:rPr>
              <w:t>DESCRIPCION DEL CAMBIO</w:t>
            </w:r>
          </w:p>
        </w:tc>
        <w:tc>
          <w:tcPr>
            <w:tcW w:w="1701" w:type="dxa"/>
          </w:tcPr>
          <w:p w14:paraId="6D2D01B8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60CBD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01" w:type="dxa"/>
          </w:tcPr>
          <w:p w14:paraId="72A7EA59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60CBD">
              <w:rPr>
                <w:rFonts w:ascii="Arial" w:hAnsi="Arial" w:cs="Arial"/>
                <w:sz w:val="16"/>
                <w:szCs w:val="16"/>
              </w:rPr>
              <w:t>ELABORO</w:t>
            </w:r>
          </w:p>
        </w:tc>
        <w:tc>
          <w:tcPr>
            <w:tcW w:w="1985" w:type="dxa"/>
          </w:tcPr>
          <w:p w14:paraId="2ED657F0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60CBD">
              <w:rPr>
                <w:rFonts w:ascii="Arial" w:hAnsi="Arial" w:cs="Arial"/>
                <w:sz w:val="16"/>
                <w:szCs w:val="16"/>
              </w:rPr>
              <w:t>APROBÓ</w:t>
            </w:r>
          </w:p>
        </w:tc>
      </w:tr>
      <w:tr w:rsidR="00FE086E" w:rsidRPr="00560CBD" w14:paraId="083C9F72" w14:textId="77777777" w:rsidTr="00FE086E">
        <w:tc>
          <w:tcPr>
            <w:tcW w:w="3539" w:type="dxa"/>
          </w:tcPr>
          <w:p w14:paraId="2483C630" w14:textId="3BBAAF58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60CBD">
              <w:rPr>
                <w:rFonts w:ascii="Arial" w:hAnsi="Arial" w:cs="Arial"/>
                <w:sz w:val="16"/>
                <w:szCs w:val="16"/>
              </w:rPr>
              <w:t>Emisión inicial</w:t>
            </w:r>
          </w:p>
        </w:tc>
        <w:tc>
          <w:tcPr>
            <w:tcW w:w="1701" w:type="dxa"/>
          </w:tcPr>
          <w:p w14:paraId="6E56E6B1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6DD0A8A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14:paraId="38EA1BE3" w14:textId="77777777" w:rsidR="00FE086E" w:rsidRPr="00560CBD" w:rsidRDefault="00FE086E" w:rsidP="00560C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bookmarkEnd w:id="32"/>
    </w:tbl>
    <w:p w14:paraId="25E79C15" w14:textId="65A26E95" w:rsidR="009F207B" w:rsidRPr="00560CBD" w:rsidRDefault="009F207B" w:rsidP="00560CBD">
      <w:pPr>
        <w:jc w:val="both"/>
        <w:rPr>
          <w:rFonts w:ascii="Arial" w:hAnsi="Arial" w:cs="Arial"/>
        </w:rPr>
      </w:pPr>
    </w:p>
    <w:sectPr w:rsidR="009F207B" w:rsidRPr="00560CBD" w:rsidSect="00170A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50" w:h="15850" w:code="1"/>
      <w:pgMar w:top="1418" w:right="1418" w:bottom="1418" w:left="1418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F7B7" w14:textId="77777777" w:rsidR="000A2BF4" w:rsidRDefault="000A2BF4" w:rsidP="00126484">
      <w:pPr>
        <w:spacing w:after="0" w:line="240" w:lineRule="auto"/>
      </w:pPr>
      <w:r>
        <w:separator/>
      </w:r>
    </w:p>
  </w:endnote>
  <w:endnote w:type="continuationSeparator" w:id="0">
    <w:p w14:paraId="6754405D" w14:textId="77777777" w:rsidR="000A2BF4" w:rsidRDefault="000A2BF4" w:rsidP="0012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5361" w14:textId="77777777" w:rsidR="00D90C75" w:rsidRDefault="00D90C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05A" w14:textId="59141AF2" w:rsidR="00012C7F" w:rsidRDefault="00012C7F">
    <w:pPr>
      <w:pStyle w:val="Piedepgina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5A893B" wp14:editId="734F9C09">
              <wp:simplePos x="0" y="0"/>
              <wp:positionH relativeFrom="page">
                <wp:posOffset>190500</wp:posOffset>
              </wp:positionH>
              <wp:positionV relativeFrom="line">
                <wp:posOffset>-516255</wp:posOffset>
              </wp:positionV>
              <wp:extent cx="7330440" cy="496570"/>
              <wp:effectExtent l="0" t="0" r="22860" b="17780"/>
              <wp:wrapTopAndBottom/>
              <wp:docPr id="265" name="Grupo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30440" cy="496570"/>
                        <a:chOff x="321" y="14615"/>
                        <a:chExt cx="11544" cy="782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705"/>
                          <a:ext cx="10057" cy="6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0C7BA" w14:textId="77777777" w:rsidR="00012C7F" w:rsidRPr="00560CBD" w:rsidRDefault="00012C7F" w:rsidP="00012C7F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</w:pPr>
                            <w:hyperlink r:id="rId1" w:history="1">
                              <w:r w:rsidRPr="00560CBD">
                                <w:rPr>
                                  <w:rStyle w:val="Hipervnculo"/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  <w:t>cointecasas@hotmail.com</w:t>
                              </w:r>
                            </w:hyperlink>
                            <w:r w:rsidRPr="00560CBD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-    Tel. 3117121043    -    </w:t>
                            </w:r>
                            <w:hyperlink r:id="rId2" w:history="1">
                              <w:r w:rsidRPr="00560CBD">
                                <w:rPr>
                                  <w:rStyle w:val="Hipervnculo"/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  <w:t>www.cointecasas.com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10851" y="14903"/>
                          <a:ext cx="1014" cy="432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851EB" w14:textId="77777777" w:rsidR="00012C7F" w:rsidRPr="00560CBD" w:rsidRDefault="00012C7F" w:rsidP="00012C7F">
                            <w:pPr>
                              <w:pStyle w:val="Piedepgina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60CB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ES"/>
                              </w:rPr>
                              <w:t xml:space="preserve">Página </w:t>
                            </w:r>
                            <w:r w:rsidRPr="00560CB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560CB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>PAGE   \* MERGEFORMAT</w:instrText>
                            </w:r>
                            <w:r w:rsidRPr="00560CB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560CBD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  <w:r w:rsidRPr="00560CB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615"/>
                          <a:ext cx="11544" cy="78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5A893B" id="Grupo 156" o:spid="_x0000_s1026" style="position:absolute;margin-left:15pt;margin-top:-40.65pt;width:577.2pt;height:39.1pt;z-index:251659264;mso-position-horizontal-relative:page;mso-position-vertical-relative:line" coordorigin="321,14615" coordsize="11544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">
              <v:rect id="Rectangle 157" o:spid="_x0000_s1027" style="position:absolute;left:374;top:14705;width:10057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" fillcolor="#156082 [3204]" stroked="f" strokecolor="#943634">
                <v:textbox>
                  <w:txbxContent>
                    <w:p w14:paraId="72F0C7BA" w14:textId="77777777" w:rsidR="00012C7F" w:rsidRPr="00560CBD" w:rsidRDefault="00012C7F" w:rsidP="00012C7F">
                      <w:pPr>
                        <w:pStyle w:val="Encabezado"/>
                        <w:jc w:val="center"/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</w:pPr>
                      <w:hyperlink r:id="rId3" w:history="1">
                        <w:r w:rsidRPr="00560CBD">
                          <w:rPr>
                            <w:rStyle w:val="Hipervnculo"/>
                            <w:rFonts w:ascii="Arial" w:hAnsi="Arial" w:cs="Arial"/>
                            <w:color w:val="FFFFFF" w:themeColor="background1"/>
                            <w:lang w:val="en-US"/>
                          </w:rPr>
                          <w:t>cointecasas@hotmail.com</w:t>
                        </w:r>
                      </w:hyperlink>
                      <w:r w:rsidRPr="00560CBD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-    Tel. 3117121043    -    </w:t>
                      </w:r>
                      <w:hyperlink r:id="rId4" w:history="1">
                        <w:r w:rsidRPr="00560CBD">
                          <w:rPr>
                            <w:rStyle w:val="Hipervnculo"/>
                            <w:rFonts w:ascii="Arial" w:hAnsi="Arial" w:cs="Arial"/>
                            <w:color w:val="FFFFFF" w:themeColor="background1"/>
                            <w:lang w:val="en-US"/>
                          </w:rPr>
                          <w:t>www.cointecasas.com</w:t>
                        </w:r>
                      </w:hyperlink>
                    </w:p>
                  </w:txbxContent>
                </v:textbox>
              </v:rect>
              <v:rect id="Rectangle 158" o:spid="_x0000_s1028" style="position:absolute;left:10851;top:14903;width:101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" fillcolor="#92d050" stroked="f">
                <v:textbox>
                  <w:txbxContent>
                    <w:p w14:paraId="064851EB" w14:textId="77777777" w:rsidR="00012C7F" w:rsidRPr="00560CBD" w:rsidRDefault="00012C7F" w:rsidP="00012C7F">
                      <w:pPr>
                        <w:pStyle w:val="Piedepgina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60CBD">
                        <w:rPr>
                          <w:rFonts w:ascii="Arial" w:hAnsi="Arial" w:cs="Arial"/>
                          <w:sz w:val="16"/>
                          <w:szCs w:val="16"/>
                          <w:lang w:val="es-ES"/>
                        </w:rPr>
                        <w:t xml:space="preserve">Página </w:t>
                      </w:r>
                      <w:r w:rsidRPr="00560CBD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Pr="00560CBD">
                        <w:rPr>
                          <w:rFonts w:ascii="Arial" w:hAnsi="Arial" w:cs="Arial"/>
                          <w:sz w:val="16"/>
                          <w:szCs w:val="16"/>
                        </w:rPr>
                        <w:instrText>PAGE   \* MERGEFORMAT</w:instrText>
                      </w:r>
                      <w:r w:rsidRPr="00560CBD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Pr="00560CBD">
                        <w:rPr>
                          <w:rFonts w:ascii="Arial" w:hAnsi="Arial" w:cs="Arial"/>
                          <w:noProof/>
                          <w:sz w:val="16"/>
                          <w:szCs w:val="16"/>
                          <w:lang w:val="es-ES"/>
                        </w:rPr>
                        <w:t>1</w:t>
                      </w:r>
                      <w:r w:rsidRPr="00560CBD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159" o:spid="_x0000_s1029" style="position:absolute;left:321;top:14615;width:11544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" filled="f"/>
              <w10:wrap type="topAndBottom" anchorx="page" anchory="lin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572C" w14:textId="77777777" w:rsidR="00D90C75" w:rsidRDefault="00D90C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5B66E" w14:textId="77777777" w:rsidR="000A2BF4" w:rsidRDefault="000A2BF4" w:rsidP="00126484">
      <w:pPr>
        <w:spacing w:after="0" w:line="240" w:lineRule="auto"/>
      </w:pPr>
      <w:r>
        <w:separator/>
      </w:r>
    </w:p>
  </w:footnote>
  <w:footnote w:type="continuationSeparator" w:id="0">
    <w:p w14:paraId="1A091D6B" w14:textId="77777777" w:rsidR="000A2BF4" w:rsidRDefault="000A2BF4" w:rsidP="00126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1610" w14:textId="77777777" w:rsidR="00D90C75" w:rsidRDefault="00D90C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2756" w14:textId="1ABB3CF9" w:rsidR="009F207B" w:rsidRDefault="009F207B">
    <w:pPr>
      <w:pStyle w:val="Encabezado"/>
      <w:jc w:val="right"/>
    </w:pPr>
  </w:p>
  <w:tbl>
    <w:tblPr>
      <w:tblStyle w:val="Tablaconcuadrcula"/>
      <w:tblW w:w="9878" w:type="dxa"/>
      <w:tblInd w:w="-431" w:type="dxa"/>
      <w:tblLook w:val="04A0" w:firstRow="1" w:lastRow="0" w:firstColumn="1" w:lastColumn="0" w:noHBand="0" w:noVBand="1"/>
    </w:tblPr>
    <w:tblGrid>
      <w:gridCol w:w="3261"/>
      <w:gridCol w:w="4253"/>
      <w:gridCol w:w="2364"/>
    </w:tblGrid>
    <w:tr w:rsidR="009F207B" w:rsidRPr="00263D0F" w14:paraId="179DC277" w14:textId="77777777" w:rsidTr="00263D0F">
      <w:trPr>
        <w:trHeight w:val="246"/>
      </w:trPr>
      <w:tc>
        <w:tcPr>
          <w:tcW w:w="3261" w:type="dxa"/>
          <w:vMerge w:val="restart"/>
          <w:vAlign w:val="center"/>
        </w:tcPr>
        <w:p w14:paraId="550A3756" w14:textId="79550532" w:rsidR="009F207B" w:rsidRPr="00263D0F" w:rsidRDefault="009F207B">
          <w:pPr>
            <w:pStyle w:val="Encabezado"/>
            <w:rPr>
              <w:rFonts w:ascii="Arial" w:hAnsi="Arial" w:cs="Arial"/>
            </w:rPr>
          </w:pPr>
          <w:r w:rsidRPr="00263D0F">
            <w:rPr>
              <w:rFonts w:ascii="Arial" w:hAnsi="Arial" w:cs="Arial"/>
              <w:noProof/>
            </w:rPr>
            <w:drawing>
              <wp:inline distT="0" distB="0" distL="0" distR="0" wp14:anchorId="12E40FBE" wp14:editId="1002CF28">
                <wp:extent cx="1926951" cy="561975"/>
                <wp:effectExtent l="0" t="0" r="0" b="0"/>
                <wp:docPr id="41343660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6951" cy="5619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  <w:vAlign w:val="center"/>
        </w:tcPr>
        <w:p w14:paraId="1CAD9F99" w14:textId="79CEC341" w:rsidR="009F207B" w:rsidRPr="00263D0F" w:rsidRDefault="009F207B">
          <w:pPr>
            <w:pStyle w:val="Encabezado"/>
            <w:rPr>
              <w:rFonts w:ascii="Arial" w:hAnsi="Arial" w:cs="Arial"/>
            </w:rPr>
          </w:pPr>
          <w:r w:rsidRPr="00263D0F">
            <w:rPr>
              <w:rFonts w:ascii="Arial" w:hAnsi="Arial" w:cs="Arial"/>
            </w:rPr>
            <w:t xml:space="preserve">Tipo de documento: </w:t>
          </w:r>
          <w:r w:rsidR="00560CBD">
            <w:rPr>
              <w:rFonts w:ascii="Arial" w:hAnsi="Arial" w:cs="Arial"/>
            </w:rPr>
            <w:t>Plan</w:t>
          </w:r>
          <w:r w:rsidRPr="00263D0F">
            <w:rPr>
              <w:rFonts w:ascii="Arial" w:hAnsi="Arial" w:cs="Arial"/>
            </w:rPr>
            <w:t xml:space="preserve"> </w:t>
          </w:r>
        </w:p>
      </w:tc>
      <w:tc>
        <w:tcPr>
          <w:tcW w:w="2364" w:type="dxa"/>
          <w:vAlign w:val="center"/>
        </w:tcPr>
        <w:p w14:paraId="4BD07823" w14:textId="6F50D189" w:rsidR="009F207B" w:rsidRPr="00263D0F" w:rsidRDefault="009F207B">
          <w:pPr>
            <w:pStyle w:val="Encabezado"/>
            <w:rPr>
              <w:rFonts w:ascii="Arial" w:hAnsi="Arial" w:cs="Arial"/>
            </w:rPr>
          </w:pPr>
          <w:r w:rsidRPr="00263D0F">
            <w:rPr>
              <w:rFonts w:ascii="Arial" w:hAnsi="Arial" w:cs="Arial"/>
            </w:rPr>
            <w:t>Código: G</w:t>
          </w:r>
          <w:r w:rsidR="00560CBD">
            <w:rPr>
              <w:rFonts w:ascii="Arial" w:hAnsi="Arial" w:cs="Arial"/>
            </w:rPr>
            <w:t>E</w:t>
          </w:r>
          <w:r w:rsidRPr="00263D0F">
            <w:rPr>
              <w:rFonts w:ascii="Arial" w:hAnsi="Arial" w:cs="Arial"/>
            </w:rPr>
            <w:t>R-</w:t>
          </w:r>
          <w:r w:rsidR="00560CBD">
            <w:rPr>
              <w:rFonts w:ascii="Arial" w:hAnsi="Arial" w:cs="Arial"/>
            </w:rPr>
            <w:t>PL</w:t>
          </w:r>
          <w:r w:rsidRPr="00263D0F">
            <w:rPr>
              <w:rFonts w:ascii="Arial" w:hAnsi="Arial" w:cs="Arial"/>
            </w:rPr>
            <w:t>-01</w:t>
          </w:r>
        </w:p>
      </w:tc>
    </w:tr>
    <w:tr w:rsidR="009F207B" w:rsidRPr="00263D0F" w14:paraId="2DFD271B" w14:textId="77777777" w:rsidTr="00263D0F">
      <w:trPr>
        <w:trHeight w:val="131"/>
      </w:trPr>
      <w:tc>
        <w:tcPr>
          <w:tcW w:w="3261" w:type="dxa"/>
          <w:vMerge/>
          <w:vAlign w:val="center"/>
        </w:tcPr>
        <w:p w14:paraId="1A3A0A5A" w14:textId="77777777" w:rsidR="009F207B" w:rsidRPr="00263D0F" w:rsidRDefault="009F207B">
          <w:pPr>
            <w:pStyle w:val="Encabezado"/>
            <w:rPr>
              <w:rFonts w:ascii="Arial" w:hAnsi="Arial" w:cs="Arial"/>
            </w:rPr>
          </w:pPr>
        </w:p>
      </w:tc>
      <w:tc>
        <w:tcPr>
          <w:tcW w:w="4253" w:type="dxa"/>
          <w:vMerge w:val="restart"/>
          <w:vAlign w:val="center"/>
        </w:tcPr>
        <w:p w14:paraId="3F797ED6" w14:textId="066AF250" w:rsidR="009F207B" w:rsidRPr="00263D0F" w:rsidRDefault="009F207B" w:rsidP="009F207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263D0F">
            <w:rPr>
              <w:rFonts w:ascii="Arial" w:hAnsi="Arial" w:cs="Arial"/>
              <w:b/>
              <w:bCs/>
            </w:rPr>
            <w:t>PLAN ESTRAT</w:t>
          </w:r>
          <w:r w:rsidR="00560CBD">
            <w:rPr>
              <w:rFonts w:ascii="Arial" w:hAnsi="Arial" w:cs="Arial"/>
              <w:b/>
              <w:bCs/>
            </w:rPr>
            <w:t>É</w:t>
          </w:r>
          <w:r w:rsidRPr="00263D0F">
            <w:rPr>
              <w:rFonts w:ascii="Arial" w:hAnsi="Arial" w:cs="Arial"/>
              <w:b/>
              <w:bCs/>
            </w:rPr>
            <w:t>GICO</w:t>
          </w:r>
        </w:p>
      </w:tc>
      <w:tc>
        <w:tcPr>
          <w:tcW w:w="2364" w:type="dxa"/>
          <w:vAlign w:val="center"/>
        </w:tcPr>
        <w:p w14:paraId="3303A5D2" w14:textId="722F85BF" w:rsidR="009F207B" w:rsidRPr="00263D0F" w:rsidRDefault="0031174F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Versión</w:t>
          </w:r>
          <w:r w:rsidR="009F207B" w:rsidRPr="00263D0F">
            <w:rPr>
              <w:rFonts w:ascii="Arial" w:hAnsi="Arial" w:cs="Arial"/>
            </w:rPr>
            <w:t>:</w:t>
          </w:r>
          <w:r>
            <w:rPr>
              <w:rFonts w:ascii="Arial" w:hAnsi="Arial" w:cs="Arial"/>
            </w:rPr>
            <w:t xml:space="preserve"> 1</w:t>
          </w:r>
        </w:p>
      </w:tc>
    </w:tr>
    <w:tr w:rsidR="009F207B" w:rsidRPr="00263D0F" w14:paraId="2A27978C" w14:textId="77777777" w:rsidTr="00263D0F">
      <w:trPr>
        <w:trHeight w:val="131"/>
      </w:trPr>
      <w:tc>
        <w:tcPr>
          <w:tcW w:w="3261" w:type="dxa"/>
          <w:vMerge/>
          <w:vAlign w:val="center"/>
        </w:tcPr>
        <w:p w14:paraId="63D20B07" w14:textId="77777777" w:rsidR="009F207B" w:rsidRPr="00263D0F" w:rsidRDefault="009F207B">
          <w:pPr>
            <w:pStyle w:val="Encabezado"/>
            <w:rPr>
              <w:rFonts w:ascii="Arial" w:hAnsi="Arial" w:cs="Arial"/>
            </w:rPr>
          </w:pPr>
        </w:p>
      </w:tc>
      <w:tc>
        <w:tcPr>
          <w:tcW w:w="4253" w:type="dxa"/>
          <w:vMerge/>
          <w:vAlign w:val="center"/>
        </w:tcPr>
        <w:p w14:paraId="27472769" w14:textId="77777777" w:rsidR="009F207B" w:rsidRPr="00263D0F" w:rsidRDefault="009F207B">
          <w:pPr>
            <w:pStyle w:val="Encabezado"/>
            <w:rPr>
              <w:rFonts w:ascii="Arial" w:hAnsi="Arial" w:cs="Arial"/>
            </w:rPr>
          </w:pPr>
        </w:p>
      </w:tc>
      <w:tc>
        <w:tcPr>
          <w:tcW w:w="2364" w:type="dxa"/>
          <w:vAlign w:val="center"/>
        </w:tcPr>
        <w:p w14:paraId="6FBFBFA2" w14:textId="500656A7" w:rsidR="009F207B" w:rsidRPr="00263D0F" w:rsidRDefault="009F207B">
          <w:pPr>
            <w:pStyle w:val="Encabezado"/>
            <w:rPr>
              <w:rFonts w:ascii="Arial" w:hAnsi="Arial" w:cs="Arial"/>
            </w:rPr>
          </w:pPr>
          <w:r w:rsidRPr="00263D0F">
            <w:rPr>
              <w:rFonts w:ascii="Arial" w:hAnsi="Arial" w:cs="Arial"/>
            </w:rPr>
            <w:t xml:space="preserve">Fecha: </w:t>
          </w:r>
          <w:r w:rsidR="00FE15F6">
            <w:rPr>
              <w:rFonts w:ascii="Arial" w:hAnsi="Arial" w:cs="Arial"/>
            </w:rPr>
            <w:t>0</w:t>
          </w:r>
          <w:r w:rsidR="00D90C75">
            <w:rPr>
              <w:rFonts w:ascii="Arial" w:hAnsi="Arial" w:cs="Arial"/>
            </w:rPr>
            <w:t>2</w:t>
          </w:r>
          <w:r w:rsidR="00FE15F6">
            <w:rPr>
              <w:rFonts w:ascii="Arial" w:hAnsi="Arial" w:cs="Arial"/>
            </w:rPr>
            <w:t>-03-2026</w:t>
          </w:r>
        </w:p>
      </w:tc>
    </w:tr>
    <w:tr w:rsidR="009F207B" w:rsidRPr="00263D0F" w14:paraId="4DD2FDF2" w14:textId="77777777" w:rsidTr="00263D0F">
      <w:trPr>
        <w:trHeight w:val="131"/>
      </w:trPr>
      <w:tc>
        <w:tcPr>
          <w:tcW w:w="3261" w:type="dxa"/>
          <w:vMerge/>
          <w:vAlign w:val="center"/>
        </w:tcPr>
        <w:p w14:paraId="4BEDACB3" w14:textId="77777777" w:rsidR="009F207B" w:rsidRPr="00263D0F" w:rsidRDefault="009F207B">
          <w:pPr>
            <w:pStyle w:val="Encabezado"/>
            <w:rPr>
              <w:rFonts w:ascii="Arial" w:hAnsi="Arial" w:cs="Arial"/>
            </w:rPr>
          </w:pPr>
        </w:p>
      </w:tc>
      <w:tc>
        <w:tcPr>
          <w:tcW w:w="4253" w:type="dxa"/>
          <w:vMerge/>
          <w:vAlign w:val="center"/>
        </w:tcPr>
        <w:p w14:paraId="48B71BCA" w14:textId="77777777" w:rsidR="009F207B" w:rsidRPr="00263D0F" w:rsidRDefault="009F207B">
          <w:pPr>
            <w:pStyle w:val="Encabezado"/>
            <w:rPr>
              <w:rFonts w:ascii="Arial" w:hAnsi="Arial" w:cs="Arial"/>
            </w:rPr>
          </w:pPr>
        </w:p>
      </w:tc>
      <w:tc>
        <w:tcPr>
          <w:tcW w:w="2364" w:type="dxa"/>
          <w:vAlign w:val="center"/>
        </w:tcPr>
        <w:sdt>
          <w:sdtPr>
            <w:rPr>
              <w:rFonts w:ascii="Arial" w:hAnsi="Arial" w:cs="Arial"/>
            </w:rPr>
            <w:id w:val="-1318336367"/>
            <w:docPartObj>
              <w:docPartGallery w:val="Page Numbers (Top of Page)"/>
              <w:docPartUnique/>
            </w:docPartObj>
          </w:sdtPr>
          <w:sdtContent>
            <w:p w14:paraId="33B1FA10" w14:textId="5518A355" w:rsidR="009F207B" w:rsidRPr="00263D0F" w:rsidRDefault="009F207B">
              <w:pPr>
                <w:pStyle w:val="Encabezado"/>
                <w:rPr>
                  <w:rFonts w:ascii="Arial" w:hAnsi="Arial" w:cs="Arial"/>
                </w:rPr>
              </w:pPr>
              <w:r w:rsidRPr="00263D0F">
                <w:rPr>
                  <w:rFonts w:ascii="Arial" w:hAnsi="Arial" w:cs="Arial"/>
                  <w:lang w:val="es-ES"/>
                </w:rPr>
                <w:t xml:space="preserve">Página </w: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263D0F">
                <w:rPr>
                  <w:rFonts w:ascii="Arial" w:hAnsi="Arial" w:cs="Arial"/>
                  <w:b/>
                  <w:bCs/>
                </w:rPr>
                <w:instrText>PAGE</w:instrTex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t>1</w: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  <w:r w:rsidRPr="00263D0F">
                <w:rPr>
                  <w:rFonts w:ascii="Arial" w:hAnsi="Arial" w:cs="Arial"/>
                  <w:lang w:val="es-ES"/>
                </w:rPr>
                <w:t xml:space="preserve"> de </w: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263D0F">
                <w:rPr>
                  <w:rFonts w:ascii="Arial" w:hAnsi="Arial" w:cs="Arial"/>
                  <w:b/>
                  <w:bCs/>
                </w:rPr>
                <w:instrText>NUMPAGES</w:instrTex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t>1</w:t>
              </w:r>
              <w:r w:rsidRPr="00263D0F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</w:tr>
  </w:tbl>
  <w:p w14:paraId="31431963" w14:textId="77777777" w:rsidR="00126484" w:rsidRDefault="0012648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B9CF" w14:textId="77777777" w:rsidR="00D90C75" w:rsidRDefault="00D90C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081"/>
    <w:multiLevelType w:val="hybridMultilevel"/>
    <w:tmpl w:val="D41A8008"/>
    <w:lvl w:ilvl="0" w:tplc="39E8C9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43C59"/>
    <w:multiLevelType w:val="hybridMultilevel"/>
    <w:tmpl w:val="7BDC09AE"/>
    <w:lvl w:ilvl="0" w:tplc="39E8C9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603440">
    <w:abstractNumId w:val="1"/>
  </w:num>
  <w:num w:numId="2" w16cid:durableId="33018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84"/>
    <w:rsid w:val="00012C7F"/>
    <w:rsid w:val="00025E49"/>
    <w:rsid w:val="000451CE"/>
    <w:rsid w:val="000A2BF4"/>
    <w:rsid w:val="000D4E3A"/>
    <w:rsid w:val="00126484"/>
    <w:rsid w:val="0016053C"/>
    <w:rsid w:val="00170A05"/>
    <w:rsid w:val="001929FC"/>
    <w:rsid w:val="00246CF3"/>
    <w:rsid w:val="00263D0F"/>
    <w:rsid w:val="00263EA8"/>
    <w:rsid w:val="002B303B"/>
    <w:rsid w:val="0031174F"/>
    <w:rsid w:val="004A4B89"/>
    <w:rsid w:val="004D5BE4"/>
    <w:rsid w:val="004E176D"/>
    <w:rsid w:val="004F3C86"/>
    <w:rsid w:val="005041DB"/>
    <w:rsid w:val="00515AA0"/>
    <w:rsid w:val="00560CBD"/>
    <w:rsid w:val="00586013"/>
    <w:rsid w:val="005D789B"/>
    <w:rsid w:val="0060165E"/>
    <w:rsid w:val="007E04B9"/>
    <w:rsid w:val="008457B3"/>
    <w:rsid w:val="008724B8"/>
    <w:rsid w:val="008E0253"/>
    <w:rsid w:val="009F207B"/>
    <w:rsid w:val="00B16112"/>
    <w:rsid w:val="00B16FE7"/>
    <w:rsid w:val="00B468A1"/>
    <w:rsid w:val="00C25F76"/>
    <w:rsid w:val="00CD3C19"/>
    <w:rsid w:val="00CE1DC5"/>
    <w:rsid w:val="00D50CCA"/>
    <w:rsid w:val="00D80CC7"/>
    <w:rsid w:val="00D90C75"/>
    <w:rsid w:val="00E31EFC"/>
    <w:rsid w:val="00E54ED2"/>
    <w:rsid w:val="00F1483B"/>
    <w:rsid w:val="00FD4D1C"/>
    <w:rsid w:val="00FE086E"/>
    <w:rsid w:val="00FE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56B29"/>
  <w15:chartTrackingRefBased/>
  <w15:docId w15:val="{F39AC8E8-5CF8-49AF-8BD2-4E04E9F6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9F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2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9FC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29FC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29FC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4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6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484"/>
  </w:style>
  <w:style w:type="paragraph" w:styleId="Piedepgina">
    <w:name w:val="footer"/>
    <w:basedOn w:val="Normal"/>
    <w:link w:val="PiedepginaCar"/>
    <w:uiPriority w:val="99"/>
    <w:unhideWhenUsed/>
    <w:rsid w:val="00126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484"/>
  </w:style>
  <w:style w:type="table" w:styleId="Tablaconcuadrcula">
    <w:name w:val="Table Grid"/>
    <w:basedOn w:val="Tablanormal"/>
    <w:uiPriority w:val="39"/>
    <w:rsid w:val="00126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929FC"/>
    <w:pPr>
      <w:spacing w:before="240" w:after="0"/>
      <w:jc w:val="left"/>
      <w:outlineLvl w:val="9"/>
    </w:pPr>
    <w:rPr>
      <w:b w:val="0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929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29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929F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929FC"/>
    <w:rPr>
      <w:color w:val="467886" w:themeColor="hyperlink"/>
      <w:u w:val="single"/>
    </w:rPr>
  </w:style>
  <w:style w:type="table" w:styleId="Tablaconcuadrcula4-nfasis4">
    <w:name w:val="Grid Table 4 Accent 4"/>
    <w:basedOn w:val="Tablanormal"/>
    <w:uiPriority w:val="49"/>
    <w:rsid w:val="0058601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intecasas@hotmail.com" TargetMode="External"/><Relationship Id="rId2" Type="http://schemas.openxmlformats.org/officeDocument/2006/relationships/hyperlink" Target="http://www.cointecasas.com" TargetMode="External"/><Relationship Id="rId1" Type="http://schemas.openxmlformats.org/officeDocument/2006/relationships/hyperlink" Target="mailto:cointecasas@hotmail.com" TargetMode="External"/><Relationship Id="rId4" Type="http://schemas.openxmlformats.org/officeDocument/2006/relationships/hyperlink" Target="http://www.cointecasa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A22B6-000F-4A3A-B7A6-1B3BAED8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970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COINTECA SAS INGENIERIA</dc:creator>
  <cp:keywords/>
  <dc:description/>
  <cp:lastModifiedBy>MAYRA A. OCORO</cp:lastModifiedBy>
  <cp:revision>14</cp:revision>
  <dcterms:created xsi:type="dcterms:W3CDTF">2026-02-19T16:28:00Z</dcterms:created>
  <dcterms:modified xsi:type="dcterms:W3CDTF">2026-03-24T16:08:00Z</dcterms:modified>
</cp:coreProperties>
</file>