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71EE2" w:rsidRPr="00571EE2" w:rsidRDefault="00571EE2" w:rsidP="00571EE2">
      <w:pPr>
        <w:suppressAutoHyphens/>
        <w:jc w:val="center"/>
        <w:rPr>
          <w:rFonts w:ascii="Arial" w:hAnsi="Arial" w:cs="Arial"/>
          <w:szCs w:val="24"/>
          <w:lang w:eastAsia="zh-CN"/>
        </w:rPr>
      </w:pPr>
    </w:p>
    <w:p w:rsidR="00571EE2" w:rsidRPr="00571EE2" w:rsidRDefault="00571EE2" w:rsidP="00571EE2">
      <w:pPr>
        <w:suppressAutoHyphens/>
        <w:jc w:val="center"/>
        <w:rPr>
          <w:rFonts w:ascii="Arial" w:hAnsi="Arial" w:cs="Arial"/>
          <w:szCs w:val="24"/>
          <w:lang w:eastAsia="zh-CN"/>
        </w:rPr>
      </w:pPr>
    </w:p>
    <w:p w:rsidR="00571EE2" w:rsidRPr="00571EE2" w:rsidRDefault="00F93818" w:rsidP="00571EE2">
      <w:pPr>
        <w:suppressAutoHyphens/>
        <w:jc w:val="center"/>
        <w:rPr>
          <w:rFonts w:ascii="Arial" w:hAnsi="Arial" w:cs="Arial"/>
          <w:szCs w:val="24"/>
          <w:lang w:eastAsia="zh-CN"/>
        </w:rPr>
      </w:pPr>
      <w:r>
        <w:rPr>
          <w:rFonts w:ascii="Arial" w:hAnsi="Arial" w:cs="Arial"/>
          <w:noProof/>
          <w:szCs w:val="24"/>
        </w:rPr>
        <w:drawing>
          <wp:inline distT="0" distB="0" distL="0" distR="0">
            <wp:extent cx="1009650" cy="10096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009650" cy="1009650"/>
                    </a:xfrm>
                    <a:prstGeom prst="rect">
                      <a:avLst/>
                    </a:prstGeom>
                    <a:solidFill>
                      <a:srgbClr val="FFFFFF"/>
                    </a:solidFill>
                    <a:ln>
                      <a:noFill/>
                    </a:ln>
                  </pic:spPr>
                </pic:pic>
              </a:graphicData>
            </a:graphic>
          </wp:inline>
        </w:drawing>
      </w: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Politechnika Śląska</w:t>
      </w:r>
    </w:p>
    <w:p w:rsidR="00571EE2" w:rsidRPr="00571EE2" w:rsidRDefault="00571EE2" w:rsidP="00571EE2">
      <w:pPr>
        <w:suppressAutoHyphens/>
        <w:jc w:val="center"/>
        <w:rPr>
          <w:rFonts w:ascii="Arial" w:hAnsi="Arial" w:cs="Arial"/>
          <w:b/>
          <w:bCs/>
          <w:smallCaps/>
          <w:sz w:val="36"/>
          <w:szCs w:val="24"/>
          <w:lang w:eastAsia="zh-CN"/>
        </w:rPr>
      </w:pPr>
      <w:r w:rsidRPr="00571EE2">
        <w:rPr>
          <w:rFonts w:ascii="Arial" w:hAnsi="Arial" w:cs="Arial"/>
          <w:b/>
          <w:bCs/>
          <w:smallCaps/>
          <w:sz w:val="36"/>
          <w:szCs w:val="24"/>
          <w:lang w:eastAsia="zh-CN"/>
        </w:rPr>
        <w:t>Wydział Automatyki, Elektroniki i Informatyki</w:t>
      </w:r>
    </w:p>
    <w:p w:rsidR="00571EE2" w:rsidRPr="00571EE2" w:rsidRDefault="00571EE2" w:rsidP="00571EE2">
      <w:pPr>
        <w:suppressAutoHyphens/>
        <w:jc w:val="center"/>
        <w:rPr>
          <w:rFonts w:ascii="Arial" w:hAnsi="Arial" w:cs="Arial"/>
          <w:szCs w:val="24"/>
          <w:lang w:eastAsia="zh-CN"/>
        </w:rPr>
      </w:pPr>
      <w:r w:rsidRPr="00571EE2">
        <w:rPr>
          <w:rFonts w:ascii="Arial" w:hAnsi="Arial" w:cs="Arial"/>
          <w:b/>
          <w:bCs/>
          <w:smallCaps/>
          <w:sz w:val="36"/>
          <w:szCs w:val="24"/>
          <w:lang w:eastAsia="zh-CN"/>
        </w:rPr>
        <w:t xml:space="preserve">Kierunek </w:t>
      </w:r>
      <w:r w:rsidR="005C11F1">
        <w:rPr>
          <w:rFonts w:ascii="Arial" w:hAnsi="Arial" w:cs="Arial"/>
          <w:b/>
          <w:bCs/>
          <w:smallCaps/>
          <w:sz w:val="36"/>
          <w:szCs w:val="24"/>
          <w:lang w:eastAsia="zh-CN"/>
        </w:rPr>
        <w:t>Biotechnologia</w:t>
      </w: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keepNext/>
        <w:numPr>
          <w:ilvl w:val="4"/>
          <w:numId w:val="6"/>
        </w:numPr>
        <w:suppressAutoHyphens/>
        <w:spacing w:line="240" w:lineRule="auto"/>
        <w:jc w:val="center"/>
        <w:outlineLvl w:val="4"/>
        <w:rPr>
          <w:rFonts w:ascii="Arial" w:hAnsi="Arial" w:cs="Arial"/>
          <w:sz w:val="36"/>
          <w:szCs w:val="24"/>
          <w:lang w:eastAsia="zh-CN"/>
        </w:rPr>
      </w:pPr>
      <w:r w:rsidRPr="00571EE2">
        <w:rPr>
          <w:rFonts w:ascii="Arial" w:hAnsi="Arial" w:cs="Arial"/>
          <w:sz w:val="36"/>
          <w:szCs w:val="24"/>
          <w:lang w:eastAsia="zh-CN"/>
        </w:rPr>
        <w:t>Projekt inżynierski</w:t>
      </w:r>
      <w:r w:rsidRPr="00571EE2">
        <w:rPr>
          <w:rFonts w:ascii="Arial" w:hAnsi="Arial" w:cs="Arial"/>
          <w:sz w:val="16"/>
          <w:szCs w:val="24"/>
          <w:lang w:eastAsia="zh-CN"/>
        </w:rPr>
        <w:t xml:space="preserve"> </w:t>
      </w: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D254B6" w:rsidP="00EF6B30">
      <w:pPr>
        <w:keepNext/>
        <w:numPr>
          <w:ilvl w:val="5"/>
          <w:numId w:val="6"/>
        </w:numPr>
        <w:tabs>
          <w:tab w:val="clear" w:pos="1152"/>
          <w:tab w:val="num" w:pos="0"/>
        </w:tabs>
        <w:suppressAutoHyphens/>
        <w:ind w:left="0" w:firstLine="0"/>
        <w:jc w:val="center"/>
        <w:outlineLvl w:val="5"/>
        <w:rPr>
          <w:rFonts w:ascii="Arial" w:hAnsi="Arial" w:cs="Arial"/>
          <w:sz w:val="28"/>
          <w:szCs w:val="24"/>
          <w:lang w:eastAsia="zh-CN"/>
        </w:rPr>
      </w:pPr>
      <w:r>
        <w:rPr>
          <w:rFonts w:ascii="Arial" w:hAnsi="Arial" w:cs="Arial"/>
          <w:sz w:val="28"/>
          <w:szCs w:val="24"/>
          <w:lang w:eastAsia="zh-CN"/>
        </w:rPr>
        <w:t xml:space="preserve">Aplikacja internetowa do analizy danych z eksperymentów </w:t>
      </w:r>
      <w:r w:rsidR="00647880">
        <w:rPr>
          <w:rFonts w:ascii="Arial" w:hAnsi="Arial" w:cs="Arial"/>
          <w:sz w:val="28"/>
          <w:szCs w:val="24"/>
          <w:lang w:eastAsia="zh-CN"/>
        </w:rPr>
        <w:t>r</w:t>
      </w:r>
      <w:r>
        <w:rPr>
          <w:rFonts w:ascii="Arial" w:hAnsi="Arial" w:cs="Arial"/>
          <w:sz w:val="28"/>
          <w:szCs w:val="24"/>
          <w:lang w:eastAsia="zh-CN"/>
        </w:rPr>
        <w:t>eal-</w:t>
      </w:r>
      <w:r w:rsidR="00D57FAB">
        <w:rPr>
          <w:rFonts w:ascii="Arial" w:hAnsi="Arial" w:cs="Arial"/>
          <w:sz w:val="28"/>
          <w:szCs w:val="24"/>
          <w:lang w:eastAsia="zh-CN"/>
        </w:rPr>
        <w:t xml:space="preserve">time </w:t>
      </w:r>
      <w:r>
        <w:rPr>
          <w:rFonts w:ascii="Arial" w:hAnsi="Arial" w:cs="Arial"/>
          <w:sz w:val="28"/>
          <w:szCs w:val="24"/>
          <w:lang w:eastAsia="zh-CN"/>
        </w:rPr>
        <w:t>PCR</w:t>
      </w: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left"/>
        <w:rPr>
          <w:rFonts w:ascii="Arial" w:hAnsi="Arial" w:cs="Arial"/>
          <w:szCs w:val="24"/>
          <w:lang w:eastAsia="zh-CN"/>
        </w:rPr>
      </w:pPr>
    </w:p>
    <w:p w:rsidR="00571EE2" w:rsidRPr="00571EE2" w:rsidRDefault="00571EE2" w:rsidP="00571EE2">
      <w:pPr>
        <w:suppressAutoHyphens/>
        <w:jc w:val="center"/>
        <w:rPr>
          <w:rFonts w:ascii="Arial" w:hAnsi="Arial" w:cs="Arial"/>
          <w:szCs w:val="24"/>
          <w:lang w:eastAsia="zh-CN"/>
        </w:rPr>
      </w:pPr>
    </w:p>
    <w:p w:rsidR="00571EE2" w:rsidRPr="00571EE2" w:rsidRDefault="00571EE2" w:rsidP="00571EE2">
      <w:pPr>
        <w:suppressAutoHyphens/>
        <w:jc w:val="center"/>
        <w:rPr>
          <w:rFonts w:ascii="Arial" w:hAnsi="Arial" w:cs="Arial"/>
          <w:szCs w:val="24"/>
          <w:lang w:eastAsia="zh-CN"/>
        </w:rPr>
      </w:pPr>
    </w:p>
    <w:p w:rsidR="00571EE2" w:rsidRPr="00571EE2" w:rsidRDefault="00571EE2" w:rsidP="00571EE2">
      <w:pPr>
        <w:suppressAutoHyphens/>
        <w:jc w:val="center"/>
        <w:rPr>
          <w:rFonts w:ascii="Arial" w:hAnsi="Arial" w:cs="Arial"/>
          <w:szCs w:val="24"/>
          <w:lang w:eastAsia="zh-CN"/>
        </w:rPr>
      </w:pPr>
    </w:p>
    <w:p w:rsidR="00571EE2" w:rsidRPr="00714184" w:rsidRDefault="00571EE2" w:rsidP="00EF6B30">
      <w:pPr>
        <w:suppressAutoHyphens/>
        <w:rPr>
          <w:rFonts w:ascii="Arial" w:hAnsi="Arial" w:cs="Arial"/>
          <w:sz w:val="14"/>
          <w:szCs w:val="14"/>
          <w:lang w:eastAsia="zh-CN"/>
        </w:rPr>
      </w:pPr>
    </w:p>
    <w:p w:rsidR="00571EE2" w:rsidRPr="00571EE2" w:rsidRDefault="00571EE2" w:rsidP="00571EE2">
      <w:pPr>
        <w:suppressAutoHyphens/>
        <w:jc w:val="left"/>
        <w:rPr>
          <w:rFonts w:ascii="Arial" w:hAnsi="Arial" w:cs="Arial"/>
          <w:szCs w:val="24"/>
          <w:lang w:eastAsia="zh-CN"/>
        </w:rPr>
      </w:pPr>
      <w:r w:rsidRPr="00571EE2">
        <w:rPr>
          <w:rFonts w:ascii="Arial" w:hAnsi="Arial" w:cs="Arial"/>
          <w:sz w:val="28"/>
          <w:szCs w:val="24"/>
          <w:lang w:eastAsia="zh-CN"/>
        </w:rPr>
        <w:t>Autor:</w:t>
      </w:r>
      <w:r w:rsidR="00D57FAB">
        <w:rPr>
          <w:rFonts w:ascii="Arial" w:hAnsi="Arial" w:cs="Arial"/>
          <w:sz w:val="28"/>
          <w:szCs w:val="24"/>
          <w:lang w:eastAsia="zh-CN"/>
        </w:rPr>
        <w:t xml:space="preserve"> Jakub Porc</w:t>
      </w:r>
    </w:p>
    <w:p w:rsidR="00571EE2" w:rsidRPr="00571EE2" w:rsidRDefault="00571EE2" w:rsidP="00571EE2">
      <w:pPr>
        <w:keepNext/>
        <w:numPr>
          <w:ilvl w:val="6"/>
          <w:numId w:val="6"/>
        </w:numPr>
        <w:suppressAutoHyphens/>
        <w:spacing w:line="240" w:lineRule="auto"/>
        <w:jc w:val="left"/>
        <w:outlineLvl w:val="6"/>
        <w:rPr>
          <w:rFonts w:ascii="Arial" w:hAnsi="Arial" w:cs="Arial"/>
          <w:sz w:val="28"/>
          <w:szCs w:val="24"/>
          <w:lang w:eastAsia="zh-CN"/>
        </w:rPr>
      </w:pPr>
      <w:r w:rsidRPr="00571EE2">
        <w:rPr>
          <w:rFonts w:ascii="Arial" w:hAnsi="Arial" w:cs="Arial"/>
          <w:sz w:val="28"/>
          <w:szCs w:val="24"/>
          <w:lang w:eastAsia="zh-CN"/>
        </w:rPr>
        <w:t>Kierujący pracą:</w:t>
      </w:r>
      <w:r w:rsidR="00D57FAB">
        <w:rPr>
          <w:rFonts w:ascii="Arial" w:hAnsi="Arial" w:cs="Arial"/>
          <w:sz w:val="28"/>
          <w:szCs w:val="24"/>
          <w:lang w:eastAsia="zh-CN"/>
        </w:rPr>
        <w:t xml:space="preserve"> Dr inż. Sebastian </w:t>
      </w:r>
      <w:r w:rsidR="00F23763">
        <w:rPr>
          <w:rFonts w:ascii="Arial" w:hAnsi="Arial" w:cs="Arial"/>
          <w:sz w:val="28"/>
          <w:szCs w:val="24"/>
          <w:lang w:eastAsia="zh-CN"/>
        </w:rPr>
        <w:t>Student</w:t>
      </w:r>
    </w:p>
    <w:p w:rsidR="00571EE2" w:rsidRDefault="00571EE2" w:rsidP="00571EE2">
      <w:pPr>
        <w:suppressAutoHyphens/>
        <w:jc w:val="left"/>
        <w:rPr>
          <w:rFonts w:ascii="Arial" w:hAnsi="Arial" w:cs="Arial"/>
          <w:sz w:val="28"/>
          <w:szCs w:val="24"/>
          <w:lang w:eastAsia="zh-CN"/>
        </w:rPr>
      </w:pPr>
    </w:p>
    <w:p w:rsidR="00D57FAB" w:rsidRDefault="00D57FAB" w:rsidP="00571EE2">
      <w:pPr>
        <w:suppressAutoHyphens/>
        <w:jc w:val="left"/>
        <w:rPr>
          <w:rFonts w:ascii="Arial" w:hAnsi="Arial" w:cs="Arial"/>
          <w:sz w:val="28"/>
          <w:szCs w:val="24"/>
          <w:lang w:eastAsia="zh-CN"/>
        </w:rPr>
      </w:pPr>
    </w:p>
    <w:p w:rsidR="00D57FAB" w:rsidRPr="00571EE2" w:rsidRDefault="00D57FAB" w:rsidP="00571EE2">
      <w:pPr>
        <w:suppressAutoHyphens/>
        <w:jc w:val="left"/>
        <w:rPr>
          <w:rFonts w:ascii="Arial" w:hAnsi="Arial" w:cs="Arial"/>
          <w:sz w:val="16"/>
          <w:szCs w:val="24"/>
          <w:lang w:eastAsia="zh-CN"/>
        </w:rPr>
      </w:pPr>
    </w:p>
    <w:p w:rsidR="00571EE2" w:rsidRPr="00571EE2" w:rsidRDefault="00571EE2" w:rsidP="00571EE2">
      <w:pPr>
        <w:suppressAutoHyphens/>
        <w:jc w:val="left"/>
        <w:rPr>
          <w:rFonts w:ascii="Arial" w:hAnsi="Arial" w:cs="Arial"/>
          <w:sz w:val="16"/>
          <w:szCs w:val="24"/>
          <w:lang w:eastAsia="zh-CN"/>
        </w:rPr>
      </w:pPr>
    </w:p>
    <w:p w:rsidR="00571EE2" w:rsidRPr="00571EE2" w:rsidRDefault="00571EE2" w:rsidP="00571EE2">
      <w:pPr>
        <w:suppressAutoHyphens/>
        <w:jc w:val="left"/>
        <w:rPr>
          <w:rFonts w:ascii="Arial" w:hAnsi="Arial" w:cs="Arial"/>
          <w:sz w:val="16"/>
          <w:szCs w:val="24"/>
          <w:lang w:eastAsia="zh-CN"/>
        </w:rPr>
      </w:pPr>
    </w:p>
    <w:p w:rsidR="00571EE2" w:rsidRPr="00571EE2" w:rsidRDefault="00571EE2" w:rsidP="00571EE2">
      <w:pPr>
        <w:suppressAutoHyphens/>
        <w:jc w:val="left"/>
        <w:rPr>
          <w:rFonts w:ascii="Arial" w:hAnsi="Arial" w:cs="Arial"/>
          <w:sz w:val="16"/>
          <w:szCs w:val="24"/>
          <w:lang w:eastAsia="zh-CN"/>
        </w:rPr>
      </w:pPr>
    </w:p>
    <w:p w:rsidR="004B305C" w:rsidRDefault="00571EE2" w:rsidP="00D254B6">
      <w:pPr>
        <w:suppressAutoHyphens/>
        <w:jc w:val="center"/>
      </w:pPr>
      <w:r w:rsidRPr="00571EE2">
        <w:rPr>
          <w:rFonts w:ascii="Arial" w:hAnsi="Arial" w:cs="Arial"/>
          <w:szCs w:val="24"/>
          <w:lang w:eastAsia="zh-CN"/>
        </w:rPr>
        <w:t xml:space="preserve">Gliwice, </w:t>
      </w:r>
      <w:r>
        <w:rPr>
          <w:rFonts w:ascii="Arial" w:hAnsi="Arial" w:cs="Arial"/>
          <w:szCs w:val="24"/>
          <w:lang w:eastAsia="zh-CN"/>
        </w:rPr>
        <w:t>styczeń 2016</w:t>
      </w:r>
    </w:p>
    <w:p w:rsidR="00E94970" w:rsidRDefault="00E94970" w:rsidP="00E94970">
      <w:pPr>
        <w:sectPr w:rsidR="00E94970" w:rsidSect="00571EE2">
          <w:footerReference w:type="even" r:id="rId12"/>
          <w:footerReference w:type="default" r:id="rId13"/>
          <w:pgSz w:w="11906" w:h="16838" w:code="9"/>
          <w:pgMar w:top="1418" w:right="1418" w:bottom="0" w:left="1418" w:header="709" w:footer="709" w:gutter="567"/>
          <w:cols w:space="708"/>
          <w:titlePg/>
          <w:docGrid w:linePitch="360"/>
        </w:sectPr>
      </w:pPr>
    </w:p>
    <w:p w:rsidR="00E94970" w:rsidRDefault="00E94970" w:rsidP="00E94970">
      <w:pPr>
        <w:pStyle w:val="Header"/>
        <w:rPr>
          <w:b/>
          <w:bCs/>
          <w:sz w:val="32"/>
          <w:szCs w:val="32"/>
        </w:rPr>
        <w:sectPr w:rsidR="00E94970">
          <w:pgSz w:w="11906" w:h="16838" w:code="9"/>
          <w:pgMar w:top="1418" w:right="1418" w:bottom="1559" w:left="1418" w:header="709" w:footer="709" w:gutter="567"/>
          <w:cols w:space="708"/>
          <w:titlePg/>
          <w:docGrid w:linePitch="360"/>
        </w:sectPr>
      </w:pPr>
    </w:p>
    <w:p w:rsidR="00E94970" w:rsidRDefault="00E94970" w:rsidP="00E94970">
      <w:pPr>
        <w:pStyle w:val="Spistreci"/>
      </w:pPr>
      <w:bookmarkStart w:id="0" w:name="_Toc204183449"/>
      <w:r>
        <w:lastRenderedPageBreak/>
        <w:t>Spis treści</w:t>
      </w:r>
      <w:bookmarkEnd w:id="0"/>
    </w:p>
    <w:sdt>
      <w:sdtPr>
        <w:id w:val="-1679498226"/>
        <w:docPartObj>
          <w:docPartGallery w:val="Table of Contents"/>
          <w:docPartUnique/>
        </w:docPartObj>
      </w:sdtPr>
      <w:sdtEndPr>
        <w:rPr>
          <w:rFonts w:ascii="Times New Roman" w:hAnsi="Times New Roman"/>
          <w:b/>
          <w:bCs/>
          <w:noProof/>
          <w:color w:val="auto"/>
          <w:sz w:val="24"/>
          <w:szCs w:val="20"/>
          <w:lang w:val="pl-PL" w:eastAsia="pl-PL"/>
        </w:rPr>
      </w:sdtEndPr>
      <w:sdtContent>
        <w:p w:rsidR="00457DEA" w:rsidRDefault="00457DEA">
          <w:pPr>
            <w:pStyle w:val="TOCHeading"/>
          </w:pPr>
        </w:p>
        <w:p w:rsidR="00457DEA" w:rsidRDefault="00457DEA">
          <w:pPr>
            <w:pStyle w:val="TOC1"/>
            <w:tabs>
              <w:tab w:val="right" w:leader="dot" w:pos="8896"/>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471686407" w:history="1">
            <w:r w:rsidRPr="00C06D62">
              <w:rPr>
                <w:rStyle w:val="Hyperlink"/>
                <w:noProof/>
              </w:rPr>
              <w:t>Spis oznaczeń i symboli</w:t>
            </w:r>
            <w:r>
              <w:rPr>
                <w:noProof/>
                <w:webHidden/>
              </w:rPr>
              <w:tab/>
            </w:r>
            <w:r>
              <w:rPr>
                <w:noProof/>
                <w:webHidden/>
              </w:rPr>
              <w:fldChar w:fldCharType="begin"/>
            </w:r>
            <w:r>
              <w:rPr>
                <w:noProof/>
                <w:webHidden/>
              </w:rPr>
              <w:instrText xml:space="preserve"> PAGEREF _Toc471686407 \h </w:instrText>
            </w:r>
            <w:r>
              <w:rPr>
                <w:noProof/>
                <w:webHidden/>
              </w:rPr>
            </w:r>
            <w:r>
              <w:rPr>
                <w:noProof/>
                <w:webHidden/>
              </w:rPr>
              <w:fldChar w:fldCharType="separate"/>
            </w:r>
            <w:r>
              <w:rPr>
                <w:noProof/>
                <w:webHidden/>
              </w:rPr>
              <w:t>4</w:t>
            </w:r>
            <w:r>
              <w:rPr>
                <w:noProof/>
                <w:webHidden/>
              </w:rPr>
              <w:fldChar w:fldCharType="end"/>
            </w:r>
          </w:hyperlink>
        </w:p>
        <w:p w:rsidR="00457DEA" w:rsidRDefault="00457DEA">
          <w:pPr>
            <w:pStyle w:val="TOC1"/>
            <w:tabs>
              <w:tab w:val="right" w:leader="dot" w:pos="8896"/>
            </w:tabs>
            <w:rPr>
              <w:rFonts w:asciiTheme="minorHAnsi" w:eastAsiaTheme="minorEastAsia" w:hAnsiTheme="minorHAnsi" w:cstheme="minorBidi"/>
              <w:noProof/>
              <w:sz w:val="22"/>
              <w:szCs w:val="22"/>
            </w:rPr>
          </w:pPr>
          <w:hyperlink w:anchor="_Toc471686408" w:history="1">
            <w:r w:rsidRPr="00C06D62">
              <w:rPr>
                <w:rStyle w:val="Hyperlink"/>
                <w:noProof/>
              </w:rPr>
              <w:t>Wprowadzenie</w:t>
            </w:r>
            <w:r>
              <w:rPr>
                <w:noProof/>
                <w:webHidden/>
              </w:rPr>
              <w:tab/>
            </w:r>
            <w:r>
              <w:rPr>
                <w:noProof/>
                <w:webHidden/>
              </w:rPr>
              <w:fldChar w:fldCharType="begin"/>
            </w:r>
            <w:r>
              <w:rPr>
                <w:noProof/>
                <w:webHidden/>
              </w:rPr>
              <w:instrText xml:space="preserve"> PAGEREF _Toc471686408 \h </w:instrText>
            </w:r>
            <w:r>
              <w:rPr>
                <w:noProof/>
                <w:webHidden/>
              </w:rPr>
            </w:r>
            <w:r>
              <w:rPr>
                <w:noProof/>
                <w:webHidden/>
              </w:rPr>
              <w:fldChar w:fldCharType="separate"/>
            </w:r>
            <w:r>
              <w:rPr>
                <w:noProof/>
                <w:webHidden/>
              </w:rPr>
              <w:t>5</w:t>
            </w:r>
            <w:r>
              <w:rPr>
                <w:noProof/>
                <w:webHidden/>
              </w:rPr>
              <w:fldChar w:fldCharType="end"/>
            </w:r>
          </w:hyperlink>
        </w:p>
        <w:p w:rsidR="00457DEA" w:rsidRDefault="00457DEA">
          <w:pPr>
            <w:pStyle w:val="TOC1"/>
            <w:tabs>
              <w:tab w:val="left" w:pos="480"/>
              <w:tab w:val="right" w:leader="dot" w:pos="8896"/>
            </w:tabs>
            <w:rPr>
              <w:rFonts w:asciiTheme="minorHAnsi" w:eastAsiaTheme="minorEastAsia" w:hAnsiTheme="minorHAnsi" w:cstheme="minorBidi"/>
              <w:noProof/>
              <w:sz w:val="22"/>
              <w:szCs w:val="22"/>
            </w:rPr>
          </w:pPr>
          <w:hyperlink w:anchor="_Toc471686409" w:history="1">
            <w:r w:rsidRPr="00C06D62">
              <w:rPr>
                <w:rStyle w:val="Hyperlink"/>
                <w:noProof/>
              </w:rPr>
              <w:t>1.</w:t>
            </w:r>
            <w:r>
              <w:rPr>
                <w:rFonts w:asciiTheme="minorHAnsi" w:eastAsiaTheme="minorEastAsia" w:hAnsiTheme="minorHAnsi" w:cstheme="minorBidi"/>
                <w:noProof/>
                <w:sz w:val="22"/>
                <w:szCs w:val="22"/>
              </w:rPr>
              <w:tab/>
            </w:r>
            <w:r w:rsidRPr="00C06D62">
              <w:rPr>
                <w:rStyle w:val="Hyperlink"/>
                <w:noProof/>
              </w:rPr>
              <w:t>Cel projektu</w:t>
            </w:r>
            <w:r>
              <w:rPr>
                <w:noProof/>
                <w:webHidden/>
              </w:rPr>
              <w:tab/>
            </w:r>
            <w:r>
              <w:rPr>
                <w:noProof/>
                <w:webHidden/>
              </w:rPr>
              <w:fldChar w:fldCharType="begin"/>
            </w:r>
            <w:r>
              <w:rPr>
                <w:noProof/>
                <w:webHidden/>
              </w:rPr>
              <w:instrText xml:space="preserve"> PAGEREF _Toc471686409 \h </w:instrText>
            </w:r>
            <w:r>
              <w:rPr>
                <w:noProof/>
                <w:webHidden/>
              </w:rPr>
            </w:r>
            <w:r>
              <w:rPr>
                <w:noProof/>
                <w:webHidden/>
              </w:rPr>
              <w:fldChar w:fldCharType="separate"/>
            </w:r>
            <w:r>
              <w:rPr>
                <w:noProof/>
                <w:webHidden/>
              </w:rPr>
              <w:t>6</w:t>
            </w:r>
            <w:r>
              <w:rPr>
                <w:noProof/>
                <w:webHidden/>
              </w:rPr>
              <w:fldChar w:fldCharType="end"/>
            </w:r>
          </w:hyperlink>
        </w:p>
        <w:p w:rsidR="00457DEA" w:rsidRDefault="00457DEA">
          <w:pPr>
            <w:pStyle w:val="TOC1"/>
            <w:tabs>
              <w:tab w:val="left" w:pos="480"/>
              <w:tab w:val="right" w:leader="dot" w:pos="8896"/>
            </w:tabs>
            <w:rPr>
              <w:rFonts w:asciiTheme="minorHAnsi" w:eastAsiaTheme="minorEastAsia" w:hAnsiTheme="minorHAnsi" w:cstheme="minorBidi"/>
              <w:noProof/>
              <w:sz w:val="22"/>
              <w:szCs w:val="22"/>
            </w:rPr>
          </w:pPr>
          <w:hyperlink w:anchor="_Toc471686410" w:history="1">
            <w:r w:rsidRPr="00C06D62">
              <w:rPr>
                <w:rStyle w:val="Hyperlink"/>
                <w:noProof/>
              </w:rPr>
              <w:t>2.</w:t>
            </w:r>
            <w:r>
              <w:rPr>
                <w:rFonts w:asciiTheme="minorHAnsi" w:eastAsiaTheme="minorEastAsia" w:hAnsiTheme="minorHAnsi" w:cstheme="minorBidi"/>
                <w:noProof/>
                <w:sz w:val="22"/>
                <w:szCs w:val="22"/>
              </w:rPr>
              <w:tab/>
            </w:r>
            <w:r w:rsidRPr="00C06D62">
              <w:rPr>
                <w:rStyle w:val="Hyperlink"/>
                <w:noProof/>
              </w:rPr>
              <w:t>Wstęp teoretyczny</w:t>
            </w:r>
            <w:r>
              <w:rPr>
                <w:noProof/>
                <w:webHidden/>
              </w:rPr>
              <w:tab/>
            </w:r>
            <w:r>
              <w:rPr>
                <w:noProof/>
                <w:webHidden/>
              </w:rPr>
              <w:fldChar w:fldCharType="begin"/>
            </w:r>
            <w:r>
              <w:rPr>
                <w:noProof/>
                <w:webHidden/>
              </w:rPr>
              <w:instrText xml:space="preserve"> PAGEREF _Toc471686410 \h </w:instrText>
            </w:r>
            <w:r>
              <w:rPr>
                <w:noProof/>
                <w:webHidden/>
              </w:rPr>
            </w:r>
            <w:r>
              <w:rPr>
                <w:noProof/>
                <w:webHidden/>
              </w:rPr>
              <w:fldChar w:fldCharType="separate"/>
            </w:r>
            <w:r>
              <w:rPr>
                <w:noProof/>
                <w:webHidden/>
              </w:rPr>
              <w:t>7</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11" w:history="1">
            <w:r w:rsidRPr="00C06D62">
              <w:rPr>
                <w:rStyle w:val="Hyperlink"/>
                <w:noProof/>
              </w:rPr>
              <w:t>2.1. Reakcja łańcuchowa polimerazy</w:t>
            </w:r>
            <w:r>
              <w:rPr>
                <w:noProof/>
                <w:webHidden/>
              </w:rPr>
              <w:tab/>
            </w:r>
            <w:r>
              <w:rPr>
                <w:noProof/>
                <w:webHidden/>
              </w:rPr>
              <w:fldChar w:fldCharType="begin"/>
            </w:r>
            <w:r>
              <w:rPr>
                <w:noProof/>
                <w:webHidden/>
              </w:rPr>
              <w:instrText xml:space="preserve"> PAGEREF _Toc471686411 \h </w:instrText>
            </w:r>
            <w:r>
              <w:rPr>
                <w:noProof/>
                <w:webHidden/>
              </w:rPr>
            </w:r>
            <w:r>
              <w:rPr>
                <w:noProof/>
                <w:webHidden/>
              </w:rPr>
              <w:fldChar w:fldCharType="separate"/>
            </w:r>
            <w:r>
              <w:rPr>
                <w:noProof/>
                <w:webHidden/>
              </w:rPr>
              <w:t>7</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12" w:history="1">
            <w:r w:rsidRPr="00C06D62">
              <w:rPr>
                <w:rStyle w:val="Hyperlink"/>
                <w:noProof/>
              </w:rPr>
              <w:t>2.2 Reakcja łańcuchowa polimerazy w czasie rzeczywistym (real-time PCR)</w:t>
            </w:r>
            <w:r>
              <w:rPr>
                <w:noProof/>
                <w:webHidden/>
              </w:rPr>
              <w:tab/>
            </w:r>
            <w:r>
              <w:rPr>
                <w:noProof/>
                <w:webHidden/>
              </w:rPr>
              <w:fldChar w:fldCharType="begin"/>
            </w:r>
            <w:r>
              <w:rPr>
                <w:noProof/>
                <w:webHidden/>
              </w:rPr>
              <w:instrText xml:space="preserve"> PAGEREF _Toc471686412 \h </w:instrText>
            </w:r>
            <w:r>
              <w:rPr>
                <w:noProof/>
                <w:webHidden/>
              </w:rPr>
            </w:r>
            <w:r>
              <w:rPr>
                <w:noProof/>
                <w:webHidden/>
              </w:rPr>
              <w:fldChar w:fldCharType="separate"/>
            </w:r>
            <w:r>
              <w:rPr>
                <w:noProof/>
                <w:webHidden/>
              </w:rPr>
              <w:t>9</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13" w:history="1">
            <w:r w:rsidRPr="00C06D62">
              <w:rPr>
                <w:rStyle w:val="Hyperlink"/>
                <w:noProof/>
              </w:rPr>
              <w:t>2.2.1 Metody detekcji amplikonu</w:t>
            </w:r>
            <w:r>
              <w:rPr>
                <w:noProof/>
                <w:webHidden/>
              </w:rPr>
              <w:tab/>
            </w:r>
            <w:r>
              <w:rPr>
                <w:noProof/>
                <w:webHidden/>
              </w:rPr>
              <w:fldChar w:fldCharType="begin"/>
            </w:r>
            <w:r>
              <w:rPr>
                <w:noProof/>
                <w:webHidden/>
              </w:rPr>
              <w:instrText xml:space="preserve"> PAGEREF _Toc471686413 \h </w:instrText>
            </w:r>
            <w:r>
              <w:rPr>
                <w:noProof/>
                <w:webHidden/>
              </w:rPr>
            </w:r>
            <w:r>
              <w:rPr>
                <w:noProof/>
                <w:webHidden/>
              </w:rPr>
              <w:fldChar w:fldCharType="separate"/>
            </w:r>
            <w:r>
              <w:rPr>
                <w:noProof/>
                <w:webHidden/>
              </w:rPr>
              <w:t>10</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14" w:history="1">
            <w:r w:rsidRPr="00C06D62">
              <w:rPr>
                <w:rStyle w:val="Hyperlink"/>
                <w:noProof/>
              </w:rPr>
              <w:t>2.2.2 Metody pomiaru poziomu ekspresji genów w eksperymencie real-time PCR</w:t>
            </w:r>
            <w:r>
              <w:rPr>
                <w:noProof/>
                <w:webHidden/>
              </w:rPr>
              <w:tab/>
            </w:r>
            <w:r>
              <w:rPr>
                <w:noProof/>
                <w:webHidden/>
              </w:rPr>
              <w:fldChar w:fldCharType="begin"/>
            </w:r>
            <w:r>
              <w:rPr>
                <w:noProof/>
                <w:webHidden/>
              </w:rPr>
              <w:instrText xml:space="preserve"> PAGEREF _Toc471686414 \h </w:instrText>
            </w:r>
            <w:r>
              <w:rPr>
                <w:noProof/>
                <w:webHidden/>
              </w:rPr>
            </w:r>
            <w:r>
              <w:rPr>
                <w:noProof/>
                <w:webHidden/>
              </w:rPr>
              <w:fldChar w:fldCharType="separate"/>
            </w:r>
            <w:r>
              <w:rPr>
                <w:noProof/>
                <w:webHidden/>
              </w:rPr>
              <w:t>12</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15" w:history="1">
            <w:r w:rsidRPr="00C06D62">
              <w:rPr>
                <w:rStyle w:val="Hyperlink"/>
                <w:noProof/>
              </w:rPr>
              <w:t>2.2.3 Metody obliczeń różnicy w poziomie ekspresji genów</w:t>
            </w:r>
            <w:r>
              <w:rPr>
                <w:noProof/>
                <w:webHidden/>
              </w:rPr>
              <w:tab/>
            </w:r>
            <w:r>
              <w:rPr>
                <w:noProof/>
                <w:webHidden/>
              </w:rPr>
              <w:fldChar w:fldCharType="begin"/>
            </w:r>
            <w:r>
              <w:rPr>
                <w:noProof/>
                <w:webHidden/>
              </w:rPr>
              <w:instrText xml:space="preserve"> PAGEREF _Toc471686415 \h </w:instrText>
            </w:r>
            <w:r>
              <w:rPr>
                <w:noProof/>
                <w:webHidden/>
              </w:rPr>
            </w:r>
            <w:r>
              <w:rPr>
                <w:noProof/>
                <w:webHidden/>
              </w:rPr>
              <w:fldChar w:fldCharType="separate"/>
            </w:r>
            <w:r>
              <w:rPr>
                <w:noProof/>
                <w:webHidden/>
              </w:rPr>
              <w:t>13</w:t>
            </w:r>
            <w:r>
              <w:rPr>
                <w:noProof/>
                <w:webHidden/>
              </w:rPr>
              <w:fldChar w:fldCharType="end"/>
            </w:r>
          </w:hyperlink>
        </w:p>
        <w:p w:rsidR="00457DEA" w:rsidRDefault="00457DEA">
          <w:pPr>
            <w:pStyle w:val="TOC3"/>
            <w:tabs>
              <w:tab w:val="right" w:leader="dot" w:pos="8896"/>
            </w:tabs>
            <w:rPr>
              <w:rFonts w:asciiTheme="minorHAnsi" w:eastAsiaTheme="minorEastAsia" w:hAnsiTheme="minorHAnsi" w:cstheme="minorBidi"/>
              <w:noProof/>
              <w:sz w:val="22"/>
              <w:szCs w:val="22"/>
            </w:rPr>
          </w:pPr>
          <w:hyperlink w:anchor="_Toc471686416" w:history="1">
            <w:r w:rsidRPr="00C06D62">
              <w:rPr>
                <w:rStyle w:val="Hyperlink"/>
                <w:noProof/>
              </w:rPr>
              <w:t xml:space="preserve">2.2.3.1 Metoda </w:t>
            </w:r>
            <w:r w:rsidRPr="00C06D62">
              <w:rPr>
                <w:rStyle w:val="Hyperlink"/>
                <w:bCs/>
                <w:noProof/>
              </w:rPr>
              <w:t>ΔΔCt</w:t>
            </w:r>
            <w:r>
              <w:rPr>
                <w:noProof/>
                <w:webHidden/>
              </w:rPr>
              <w:tab/>
            </w:r>
            <w:r>
              <w:rPr>
                <w:noProof/>
                <w:webHidden/>
              </w:rPr>
              <w:fldChar w:fldCharType="begin"/>
            </w:r>
            <w:r>
              <w:rPr>
                <w:noProof/>
                <w:webHidden/>
              </w:rPr>
              <w:instrText xml:space="preserve"> PAGEREF _Toc471686416 \h </w:instrText>
            </w:r>
            <w:r>
              <w:rPr>
                <w:noProof/>
                <w:webHidden/>
              </w:rPr>
            </w:r>
            <w:r>
              <w:rPr>
                <w:noProof/>
                <w:webHidden/>
              </w:rPr>
              <w:fldChar w:fldCharType="separate"/>
            </w:r>
            <w:r>
              <w:rPr>
                <w:noProof/>
                <w:webHidden/>
              </w:rPr>
              <w:t>13</w:t>
            </w:r>
            <w:r>
              <w:rPr>
                <w:noProof/>
                <w:webHidden/>
              </w:rPr>
              <w:fldChar w:fldCharType="end"/>
            </w:r>
          </w:hyperlink>
        </w:p>
        <w:p w:rsidR="00457DEA" w:rsidRDefault="00457DEA">
          <w:pPr>
            <w:pStyle w:val="TOC3"/>
            <w:tabs>
              <w:tab w:val="right" w:leader="dot" w:pos="8896"/>
            </w:tabs>
            <w:rPr>
              <w:rFonts w:asciiTheme="minorHAnsi" w:eastAsiaTheme="minorEastAsia" w:hAnsiTheme="minorHAnsi" w:cstheme="minorBidi"/>
              <w:noProof/>
              <w:sz w:val="22"/>
              <w:szCs w:val="22"/>
            </w:rPr>
          </w:pPr>
          <w:hyperlink w:anchor="_Toc471686417" w:history="1">
            <w:r w:rsidRPr="00C06D62">
              <w:rPr>
                <w:rStyle w:val="Hyperlink"/>
                <w:noProof/>
              </w:rPr>
              <w:t>2.2.3.2 Metoda Pfaffl</w:t>
            </w:r>
            <w:r>
              <w:rPr>
                <w:noProof/>
                <w:webHidden/>
              </w:rPr>
              <w:tab/>
            </w:r>
            <w:r>
              <w:rPr>
                <w:noProof/>
                <w:webHidden/>
              </w:rPr>
              <w:fldChar w:fldCharType="begin"/>
            </w:r>
            <w:r>
              <w:rPr>
                <w:noProof/>
                <w:webHidden/>
              </w:rPr>
              <w:instrText xml:space="preserve"> PAGEREF _Toc471686417 \h </w:instrText>
            </w:r>
            <w:r>
              <w:rPr>
                <w:noProof/>
                <w:webHidden/>
              </w:rPr>
            </w:r>
            <w:r>
              <w:rPr>
                <w:noProof/>
                <w:webHidden/>
              </w:rPr>
              <w:fldChar w:fldCharType="separate"/>
            </w:r>
            <w:r>
              <w:rPr>
                <w:noProof/>
                <w:webHidden/>
              </w:rPr>
              <w:t>14</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18" w:history="1">
            <w:r w:rsidRPr="00C06D62">
              <w:rPr>
                <w:rStyle w:val="Hyperlink"/>
                <w:noProof/>
              </w:rPr>
              <w:t>2.4 Wyznaczanie wydajności reakcji real-time PCR</w:t>
            </w:r>
            <w:r>
              <w:rPr>
                <w:noProof/>
                <w:webHidden/>
              </w:rPr>
              <w:tab/>
            </w:r>
            <w:r>
              <w:rPr>
                <w:noProof/>
                <w:webHidden/>
              </w:rPr>
              <w:fldChar w:fldCharType="begin"/>
            </w:r>
            <w:r>
              <w:rPr>
                <w:noProof/>
                <w:webHidden/>
              </w:rPr>
              <w:instrText xml:space="preserve"> PAGEREF _Toc471686418 \h </w:instrText>
            </w:r>
            <w:r>
              <w:rPr>
                <w:noProof/>
                <w:webHidden/>
              </w:rPr>
            </w:r>
            <w:r>
              <w:rPr>
                <w:noProof/>
                <w:webHidden/>
              </w:rPr>
              <w:fldChar w:fldCharType="separate"/>
            </w:r>
            <w:r>
              <w:rPr>
                <w:noProof/>
                <w:webHidden/>
              </w:rPr>
              <w:t>15</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19" w:history="1">
            <w:r w:rsidRPr="00C06D62">
              <w:rPr>
                <w:rStyle w:val="Hyperlink"/>
                <w:noProof/>
              </w:rPr>
              <w:t>2.5 Pakiet Shiny i struktura aplikacji</w:t>
            </w:r>
            <w:r>
              <w:rPr>
                <w:noProof/>
                <w:webHidden/>
              </w:rPr>
              <w:tab/>
            </w:r>
            <w:r>
              <w:rPr>
                <w:noProof/>
                <w:webHidden/>
              </w:rPr>
              <w:fldChar w:fldCharType="begin"/>
            </w:r>
            <w:r>
              <w:rPr>
                <w:noProof/>
                <w:webHidden/>
              </w:rPr>
              <w:instrText xml:space="preserve"> PAGEREF _Toc471686419 \h </w:instrText>
            </w:r>
            <w:r>
              <w:rPr>
                <w:noProof/>
                <w:webHidden/>
              </w:rPr>
            </w:r>
            <w:r>
              <w:rPr>
                <w:noProof/>
                <w:webHidden/>
              </w:rPr>
              <w:fldChar w:fldCharType="separate"/>
            </w:r>
            <w:r>
              <w:rPr>
                <w:noProof/>
                <w:webHidden/>
              </w:rPr>
              <w:t>16</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20" w:history="1">
            <w:r w:rsidRPr="00C06D62">
              <w:rPr>
                <w:rStyle w:val="Hyperlink"/>
                <w:noProof/>
              </w:rPr>
              <w:t>2.6 Przegląd programów do analizy wyników eksperymentu real-time PCR</w:t>
            </w:r>
            <w:r>
              <w:rPr>
                <w:noProof/>
                <w:webHidden/>
              </w:rPr>
              <w:tab/>
            </w:r>
            <w:r>
              <w:rPr>
                <w:noProof/>
                <w:webHidden/>
              </w:rPr>
              <w:fldChar w:fldCharType="begin"/>
            </w:r>
            <w:r>
              <w:rPr>
                <w:noProof/>
                <w:webHidden/>
              </w:rPr>
              <w:instrText xml:space="preserve"> PAGEREF _Toc471686420 \h </w:instrText>
            </w:r>
            <w:r>
              <w:rPr>
                <w:noProof/>
                <w:webHidden/>
              </w:rPr>
            </w:r>
            <w:r>
              <w:rPr>
                <w:noProof/>
                <w:webHidden/>
              </w:rPr>
              <w:fldChar w:fldCharType="separate"/>
            </w:r>
            <w:r>
              <w:rPr>
                <w:noProof/>
                <w:webHidden/>
              </w:rPr>
              <w:t>17</w:t>
            </w:r>
            <w:r>
              <w:rPr>
                <w:noProof/>
                <w:webHidden/>
              </w:rPr>
              <w:fldChar w:fldCharType="end"/>
            </w:r>
          </w:hyperlink>
        </w:p>
        <w:p w:rsidR="00457DEA" w:rsidRDefault="00457DEA">
          <w:pPr>
            <w:pStyle w:val="TOC1"/>
            <w:tabs>
              <w:tab w:val="left" w:pos="480"/>
              <w:tab w:val="right" w:leader="dot" w:pos="8896"/>
            </w:tabs>
            <w:rPr>
              <w:rFonts w:asciiTheme="minorHAnsi" w:eastAsiaTheme="minorEastAsia" w:hAnsiTheme="minorHAnsi" w:cstheme="minorBidi"/>
              <w:noProof/>
              <w:sz w:val="22"/>
              <w:szCs w:val="22"/>
            </w:rPr>
          </w:pPr>
          <w:hyperlink w:anchor="_Toc471686421" w:history="1">
            <w:r w:rsidRPr="00C06D62">
              <w:rPr>
                <w:rStyle w:val="Hyperlink"/>
                <w:noProof/>
              </w:rPr>
              <w:t>3.</w:t>
            </w:r>
            <w:r>
              <w:rPr>
                <w:rFonts w:asciiTheme="minorHAnsi" w:eastAsiaTheme="minorEastAsia" w:hAnsiTheme="minorHAnsi" w:cstheme="minorBidi"/>
                <w:noProof/>
                <w:sz w:val="22"/>
                <w:szCs w:val="22"/>
              </w:rPr>
              <w:tab/>
            </w:r>
            <w:r w:rsidRPr="00C06D62">
              <w:rPr>
                <w:rStyle w:val="Hyperlink"/>
                <w:noProof/>
              </w:rPr>
              <w:t>Metodyka</w:t>
            </w:r>
            <w:r>
              <w:rPr>
                <w:noProof/>
                <w:webHidden/>
              </w:rPr>
              <w:tab/>
            </w:r>
            <w:r>
              <w:rPr>
                <w:noProof/>
                <w:webHidden/>
              </w:rPr>
              <w:fldChar w:fldCharType="begin"/>
            </w:r>
            <w:r>
              <w:rPr>
                <w:noProof/>
                <w:webHidden/>
              </w:rPr>
              <w:instrText xml:space="preserve"> PAGEREF _Toc471686421 \h </w:instrText>
            </w:r>
            <w:r>
              <w:rPr>
                <w:noProof/>
                <w:webHidden/>
              </w:rPr>
            </w:r>
            <w:r>
              <w:rPr>
                <w:noProof/>
                <w:webHidden/>
              </w:rPr>
              <w:fldChar w:fldCharType="separate"/>
            </w:r>
            <w:r>
              <w:rPr>
                <w:noProof/>
                <w:webHidden/>
              </w:rPr>
              <w:t>19</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22" w:history="1">
            <w:r w:rsidRPr="00C06D62">
              <w:rPr>
                <w:rStyle w:val="Hyperlink"/>
                <w:noProof/>
              </w:rPr>
              <w:t>3.1 Dane testowe</w:t>
            </w:r>
            <w:r>
              <w:rPr>
                <w:noProof/>
                <w:webHidden/>
              </w:rPr>
              <w:tab/>
            </w:r>
            <w:r>
              <w:rPr>
                <w:noProof/>
                <w:webHidden/>
              </w:rPr>
              <w:fldChar w:fldCharType="begin"/>
            </w:r>
            <w:r>
              <w:rPr>
                <w:noProof/>
                <w:webHidden/>
              </w:rPr>
              <w:instrText xml:space="preserve"> PAGEREF _Toc471686422 \h </w:instrText>
            </w:r>
            <w:r>
              <w:rPr>
                <w:noProof/>
                <w:webHidden/>
              </w:rPr>
            </w:r>
            <w:r>
              <w:rPr>
                <w:noProof/>
                <w:webHidden/>
              </w:rPr>
              <w:fldChar w:fldCharType="separate"/>
            </w:r>
            <w:r>
              <w:rPr>
                <w:noProof/>
                <w:webHidden/>
              </w:rPr>
              <w:t>19</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23" w:history="1">
            <w:r w:rsidRPr="00C06D62">
              <w:rPr>
                <w:rStyle w:val="Hyperlink"/>
                <w:noProof/>
              </w:rPr>
              <w:t>3.2 Opis i struktura aplikacji</w:t>
            </w:r>
            <w:r>
              <w:rPr>
                <w:noProof/>
                <w:webHidden/>
              </w:rPr>
              <w:tab/>
            </w:r>
            <w:r>
              <w:rPr>
                <w:noProof/>
                <w:webHidden/>
              </w:rPr>
              <w:fldChar w:fldCharType="begin"/>
            </w:r>
            <w:r>
              <w:rPr>
                <w:noProof/>
                <w:webHidden/>
              </w:rPr>
              <w:instrText xml:space="preserve"> PAGEREF _Toc471686423 \h </w:instrText>
            </w:r>
            <w:r>
              <w:rPr>
                <w:noProof/>
                <w:webHidden/>
              </w:rPr>
            </w:r>
            <w:r>
              <w:rPr>
                <w:noProof/>
                <w:webHidden/>
              </w:rPr>
              <w:fldChar w:fldCharType="separate"/>
            </w:r>
            <w:r>
              <w:rPr>
                <w:noProof/>
                <w:webHidden/>
              </w:rPr>
              <w:t>19</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24" w:history="1">
            <w:r w:rsidRPr="00C06D62">
              <w:rPr>
                <w:rStyle w:val="Hyperlink"/>
                <w:noProof/>
              </w:rPr>
              <w:t>3.3 Interfejs graficzny</w:t>
            </w:r>
            <w:r>
              <w:rPr>
                <w:noProof/>
                <w:webHidden/>
              </w:rPr>
              <w:tab/>
            </w:r>
            <w:r>
              <w:rPr>
                <w:noProof/>
                <w:webHidden/>
              </w:rPr>
              <w:fldChar w:fldCharType="begin"/>
            </w:r>
            <w:r>
              <w:rPr>
                <w:noProof/>
                <w:webHidden/>
              </w:rPr>
              <w:instrText xml:space="preserve"> PAGEREF _Toc471686424 \h </w:instrText>
            </w:r>
            <w:r>
              <w:rPr>
                <w:noProof/>
                <w:webHidden/>
              </w:rPr>
            </w:r>
            <w:r>
              <w:rPr>
                <w:noProof/>
                <w:webHidden/>
              </w:rPr>
              <w:fldChar w:fldCharType="separate"/>
            </w:r>
            <w:r>
              <w:rPr>
                <w:noProof/>
                <w:webHidden/>
              </w:rPr>
              <w:t>20</w:t>
            </w:r>
            <w:r>
              <w:rPr>
                <w:noProof/>
                <w:webHidden/>
              </w:rPr>
              <w:fldChar w:fldCharType="end"/>
            </w:r>
          </w:hyperlink>
        </w:p>
        <w:p w:rsidR="00457DEA" w:rsidRDefault="00457DEA">
          <w:pPr>
            <w:pStyle w:val="TOC2"/>
            <w:tabs>
              <w:tab w:val="right" w:leader="dot" w:pos="8896"/>
            </w:tabs>
            <w:rPr>
              <w:rFonts w:asciiTheme="minorHAnsi" w:eastAsiaTheme="minorEastAsia" w:hAnsiTheme="minorHAnsi" w:cstheme="minorBidi"/>
              <w:noProof/>
              <w:sz w:val="22"/>
              <w:szCs w:val="22"/>
            </w:rPr>
          </w:pPr>
          <w:hyperlink w:anchor="_Toc471686425" w:history="1">
            <w:r w:rsidRPr="00C06D62">
              <w:rPr>
                <w:rStyle w:val="Hyperlink"/>
                <w:noProof/>
              </w:rPr>
              <w:t>3.4 Wynik</w:t>
            </w:r>
            <w:r>
              <w:rPr>
                <w:rStyle w:val="Hyperlink"/>
                <w:noProof/>
              </w:rPr>
              <w:t>i</w:t>
            </w:r>
            <w:r w:rsidRPr="00C06D62">
              <w:rPr>
                <w:rStyle w:val="Hyperlink"/>
                <w:noProof/>
              </w:rPr>
              <w:t xml:space="preserve"> działania programu</w:t>
            </w:r>
            <w:r>
              <w:rPr>
                <w:noProof/>
                <w:webHidden/>
              </w:rPr>
              <w:tab/>
            </w:r>
            <w:r>
              <w:rPr>
                <w:noProof/>
                <w:webHidden/>
              </w:rPr>
              <w:fldChar w:fldCharType="begin"/>
            </w:r>
            <w:r>
              <w:rPr>
                <w:noProof/>
                <w:webHidden/>
              </w:rPr>
              <w:instrText xml:space="preserve"> PAGEREF _Toc471686425 \h </w:instrText>
            </w:r>
            <w:r>
              <w:rPr>
                <w:noProof/>
                <w:webHidden/>
              </w:rPr>
            </w:r>
            <w:r>
              <w:rPr>
                <w:noProof/>
                <w:webHidden/>
              </w:rPr>
              <w:fldChar w:fldCharType="separate"/>
            </w:r>
            <w:r>
              <w:rPr>
                <w:noProof/>
                <w:webHidden/>
              </w:rPr>
              <w:t>23</w:t>
            </w:r>
            <w:r>
              <w:rPr>
                <w:noProof/>
                <w:webHidden/>
              </w:rPr>
              <w:fldChar w:fldCharType="end"/>
            </w:r>
          </w:hyperlink>
        </w:p>
        <w:p w:rsidR="00457DEA" w:rsidRDefault="00457DEA">
          <w:pPr>
            <w:pStyle w:val="TOC1"/>
            <w:tabs>
              <w:tab w:val="left" w:pos="480"/>
              <w:tab w:val="right" w:leader="dot" w:pos="8896"/>
            </w:tabs>
            <w:rPr>
              <w:rFonts w:asciiTheme="minorHAnsi" w:eastAsiaTheme="minorEastAsia" w:hAnsiTheme="minorHAnsi" w:cstheme="minorBidi"/>
              <w:noProof/>
              <w:sz w:val="22"/>
              <w:szCs w:val="22"/>
            </w:rPr>
          </w:pPr>
          <w:hyperlink w:anchor="_Toc471686426" w:history="1">
            <w:r w:rsidRPr="00C06D62">
              <w:rPr>
                <w:rStyle w:val="Hyperlink"/>
                <w:noProof/>
              </w:rPr>
              <w:t>4.</w:t>
            </w:r>
            <w:r>
              <w:rPr>
                <w:rFonts w:asciiTheme="minorHAnsi" w:eastAsiaTheme="minorEastAsia" w:hAnsiTheme="minorHAnsi" w:cstheme="minorBidi"/>
                <w:noProof/>
                <w:sz w:val="22"/>
                <w:szCs w:val="22"/>
              </w:rPr>
              <w:tab/>
            </w:r>
            <w:r w:rsidRPr="00C06D62">
              <w:rPr>
                <w:rStyle w:val="Hyperlink"/>
                <w:noProof/>
              </w:rPr>
              <w:t>Podsumowanie</w:t>
            </w:r>
            <w:r>
              <w:rPr>
                <w:noProof/>
                <w:webHidden/>
              </w:rPr>
              <w:tab/>
            </w:r>
            <w:r>
              <w:rPr>
                <w:noProof/>
                <w:webHidden/>
              </w:rPr>
              <w:fldChar w:fldCharType="begin"/>
            </w:r>
            <w:r>
              <w:rPr>
                <w:noProof/>
                <w:webHidden/>
              </w:rPr>
              <w:instrText xml:space="preserve"> PAGEREF _Toc471686426 \h </w:instrText>
            </w:r>
            <w:r>
              <w:rPr>
                <w:noProof/>
                <w:webHidden/>
              </w:rPr>
            </w:r>
            <w:r>
              <w:rPr>
                <w:noProof/>
                <w:webHidden/>
              </w:rPr>
              <w:fldChar w:fldCharType="separate"/>
            </w:r>
            <w:r>
              <w:rPr>
                <w:noProof/>
                <w:webHidden/>
              </w:rPr>
              <w:t>25</w:t>
            </w:r>
            <w:r>
              <w:rPr>
                <w:noProof/>
                <w:webHidden/>
              </w:rPr>
              <w:fldChar w:fldCharType="end"/>
            </w:r>
          </w:hyperlink>
        </w:p>
        <w:p w:rsidR="00457DEA" w:rsidRDefault="00457DEA">
          <w:pPr>
            <w:pStyle w:val="TOC1"/>
            <w:tabs>
              <w:tab w:val="right" w:leader="dot" w:pos="8896"/>
            </w:tabs>
            <w:rPr>
              <w:rFonts w:asciiTheme="minorHAnsi" w:eastAsiaTheme="minorEastAsia" w:hAnsiTheme="minorHAnsi" w:cstheme="minorBidi"/>
              <w:noProof/>
              <w:sz w:val="22"/>
              <w:szCs w:val="22"/>
            </w:rPr>
          </w:pPr>
          <w:hyperlink w:anchor="_Toc471686427" w:history="1">
            <w:r w:rsidRPr="00C06D62">
              <w:rPr>
                <w:rStyle w:val="Hyperlink"/>
                <w:noProof/>
              </w:rPr>
              <w:t>Bibliografia</w:t>
            </w:r>
            <w:r>
              <w:rPr>
                <w:noProof/>
                <w:webHidden/>
              </w:rPr>
              <w:tab/>
            </w:r>
            <w:r>
              <w:rPr>
                <w:noProof/>
                <w:webHidden/>
              </w:rPr>
              <w:fldChar w:fldCharType="begin"/>
            </w:r>
            <w:r>
              <w:rPr>
                <w:noProof/>
                <w:webHidden/>
              </w:rPr>
              <w:instrText xml:space="preserve"> PAGEREF _Toc471686427 \h </w:instrText>
            </w:r>
            <w:r>
              <w:rPr>
                <w:noProof/>
                <w:webHidden/>
              </w:rPr>
            </w:r>
            <w:r>
              <w:rPr>
                <w:noProof/>
                <w:webHidden/>
              </w:rPr>
              <w:fldChar w:fldCharType="separate"/>
            </w:r>
            <w:r>
              <w:rPr>
                <w:noProof/>
                <w:webHidden/>
              </w:rPr>
              <w:t>26</w:t>
            </w:r>
            <w:r>
              <w:rPr>
                <w:noProof/>
                <w:webHidden/>
              </w:rPr>
              <w:fldChar w:fldCharType="end"/>
            </w:r>
          </w:hyperlink>
        </w:p>
        <w:p w:rsidR="00457DEA" w:rsidRDefault="00457DEA">
          <w:pPr>
            <w:pStyle w:val="TOC1"/>
            <w:tabs>
              <w:tab w:val="right" w:leader="dot" w:pos="8896"/>
            </w:tabs>
            <w:rPr>
              <w:rFonts w:asciiTheme="minorHAnsi" w:eastAsiaTheme="minorEastAsia" w:hAnsiTheme="minorHAnsi" w:cstheme="minorBidi"/>
              <w:noProof/>
              <w:sz w:val="22"/>
              <w:szCs w:val="22"/>
            </w:rPr>
          </w:pPr>
          <w:hyperlink w:anchor="_Toc471686428" w:history="1">
            <w:r w:rsidRPr="00C06D62">
              <w:rPr>
                <w:rStyle w:val="Hyperlink"/>
                <w:noProof/>
              </w:rPr>
              <w:t>Dodatek 1 – spis zawartości dołączonej płyty CD</w:t>
            </w:r>
            <w:r>
              <w:rPr>
                <w:noProof/>
                <w:webHidden/>
              </w:rPr>
              <w:tab/>
            </w:r>
            <w:r>
              <w:rPr>
                <w:noProof/>
                <w:webHidden/>
              </w:rPr>
              <w:fldChar w:fldCharType="begin"/>
            </w:r>
            <w:r>
              <w:rPr>
                <w:noProof/>
                <w:webHidden/>
              </w:rPr>
              <w:instrText xml:space="preserve"> PAGEREF _Toc471686428 \h </w:instrText>
            </w:r>
            <w:r>
              <w:rPr>
                <w:noProof/>
                <w:webHidden/>
              </w:rPr>
            </w:r>
            <w:r>
              <w:rPr>
                <w:noProof/>
                <w:webHidden/>
              </w:rPr>
              <w:fldChar w:fldCharType="separate"/>
            </w:r>
            <w:r>
              <w:rPr>
                <w:noProof/>
                <w:webHidden/>
              </w:rPr>
              <w:t>27</w:t>
            </w:r>
            <w:r>
              <w:rPr>
                <w:noProof/>
                <w:webHidden/>
              </w:rPr>
              <w:fldChar w:fldCharType="end"/>
            </w:r>
          </w:hyperlink>
        </w:p>
        <w:p w:rsidR="00457DEA" w:rsidRDefault="00457DEA">
          <w:r>
            <w:rPr>
              <w:b/>
              <w:bCs/>
              <w:noProof/>
            </w:rPr>
            <w:fldChar w:fldCharType="end"/>
          </w:r>
        </w:p>
      </w:sdtContent>
    </w:sdt>
    <w:p w:rsidR="00E94970" w:rsidRDefault="00E94970" w:rsidP="00E94970">
      <w:pPr>
        <w:pStyle w:val="TOC1"/>
        <w:tabs>
          <w:tab w:val="right" w:leader="dot" w:pos="8493"/>
        </w:tabs>
        <w:rPr>
          <w:noProof/>
          <w:szCs w:val="24"/>
        </w:rPr>
      </w:pPr>
    </w:p>
    <w:p w:rsidR="00E94970" w:rsidRDefault="00E94970" w:rsidP="00E94970">
      <w:pPr>
        <w:pStyle w:val="Heading1"/>
      </w:pPr>
      <w:r>
        <w:br w:type="page"/>
      </w:r>
      <w:bookmarkStart w:id="1" w:name="_Toc381701319"/>
      <w:bookmarkStart w:id="2" w:name="_Toc471686407"/>
      <w:r>
        <w:lastRenderedPageBreak/>
        <w:t>Spis oznaczeń i symboli</w:t>
      </w:r>
      <w:bookmarkEnd w:id="1"/>
      <w:bookmarkEnd w:id="2"/>
    </w:p>
    <w:p w:rsidR="00E94970" w:rsidRDefault="00E94970" w:rsidP="00E94970"/>
    <w:tbl>
      <w:tblPr>
        <w:tblW w:w="0" w:type="auto"/>
        <w:tblLook w:val="01E0" w:firstRow="1" w:lastRow="1" w:firstColumn="1" w:lastColumn="1" w:noHBand="0" w:noVBand="0"/>
      </w:tblPr>
      <w:tblGrid>
        <w:gridCol w:w="1701"/>
        <w:gridCol w:w="336"/>
        <w:gridCol w:w="6806"/>
      </w:tblGrid>
      <w:tr w:rsidR="00C63AEB" w:rsidTr="00C63AEB">
        <w:trPr>
          <w:trHeight w:val="567"/>
        </w:trPr>
        <w:tc>
          <w:tcPr>
            <w:tcW w:w="1701" w:type="dxa"/>
            <w:vAlign w:val="center"/>
          </w:tcPr>
          <w:p w:rsidR="00C63AEB" w:rsidRDefault="00C63AEB" w:rsidP="00C63AEB">
            <w:pPr>
              <w:jc w:val="center"/>
              <w:rPr>
                <w:i/>
                <w:iCs/>
              </w:rPr>
            </w:pPr>
            <w:r>
              <w:rPr>
                <w:i/>
                <w:iCs/>
              </w:rPr>
              <w:t>DNA</w:t>
            </w:r>
          </w:p>
        </w:tc>
        <w:tc>
          <w:tcPr>
            <w:tcW w:w="336" w:type="dxa"/>
            <w:vAlign w:val="center"/>
          </w:tcPr>
          <w:p w:rsidR="00C63AEB" w:rsidRDefault="00C63AEB" w:rsidP="007A041D">
            <w:pPr>
              <w:jc w:val="center"/>
            </w:pPr>
            <w:r>
              <w:t>–</w:t>
            </w:r>
          </w:p>
        </w:tc>
        <w:tc>
          <w:tcPr>
            <w:tcW w:w="6806" w:type="dxa"/>
            <w:vAlign w:val="center"/>
          </w:tcPr>
          <w:p w:rsidR="00C63AEB" w:rsidRDefault="00C63AEB" w:rsidP="007A041D">
            <w:pPr>
              <w:jc w:val="left"/>
            </w:pPr>
            <w:r>
              <w:t>kwas deoksyrybonukleinowy,</w:t>
            </w:r>
          </w:p>
        </w:tc>
      </w:tr>
      <w:tr w:rsidR="00E94970" w:rsidTr="00C63AEB">
        <w:trPr>
          <w:trHeight w:val="567"/>
        </w:trPr>
        <w:tc>
          <w:tcPr>
            <w:tcW w:w="1701" w:type="dxa"/>
            <w:vAlign w:val="center"/>
          </w:tcPr>
          <w:p w:rsidR="00E94970" w:rsidRDefault="004409AB" w:rsidP="00C63AEB">
            <w:pPr>
              <w:jc w:val="center"/>
              <w:rPr>
                <w:i/>
                <w:iCs/>
              </w:rPr>
            </w:pPr>
            <w:r>
              <w:rPr>
                <w:i/>
                <w:iCs/>
              </w:rPr>
              <w:t>PCR</w:t>
            </w:r>
          </w:p>
        </w:tc>
        <w:tc>
          <w:tcPr>
            <w:tcW w:w="336" w:type="dxa"/>
            <w:vAlign w:val="center"/>
          </w:tcPr>
          <w:p w:rsidR="00E94970" w:rsidRDefault="00E94970" w:rsidP="007A041D">
            <w:pPr>
              <w:jc w:val="center"/>
            </w:pPr>
            <w:r>
              <w:t>–</w:t>
            </w:r>
          </w:p>
        </w:tc>
        <w:tc>
          <w:tcPr>
            <w:tcW w:w="6806" w:type="dxa"/>
            <w:vAlign w:val="center"/>
          </w:tcPr>
          <w:p w:rsidR="00E94970" w:rsidRDefault="009C73DA" w:rsidP="007A041D">
            <w:pPr>
              <w:jc w:val="left"/>
            </w:pPr>
            <w:r>
              <w:t>r</w:t>
            </w:r>
            <w:r w:rsidR="004409AB">
              <w:t>eakcja łańcuchowa polimerazy,</w:t>
            </w:r>
          </w:p>
        </w:tc>
      </w:tr>
      <w:tr w:rsidR="00E94970" w:rsidTr="00C63AEB">
        <w:trPr>
          <w:trHeight w:val="567"/>
        </w:trPr>
        <w:tc>
          <w:tcPr>
            <w:tcW w:w="1701" w:type="dxa"/>
            <w:vAlign w:val="center"/>
          </w:tcPr>
          <w:p w:rsidR="00E94970" w:rsidRDefault="00C63AEB" w:rsidP="00C63AEB">
            <w:pPr>
              <w:jc w:val="center"/>
              <w:rPr>
                <w:i/>
                <w:iCs/>
              </w:rPr>
            </w:pPr>
            <w:r>
              <w:rPr>
                <w:i/>
                <w:iCs/>
              </w:rPr>
              <w:t>Real-time PCR</w:t>
            </w:r>
          </w:p>
        </w:tc>
        <w:tc>
          <w:tcPr>
            <w:tcW w:w="336" w:type="dxa"/>
            <w:vAlign w:val="center"/>
          </w:tcPr>
          <w:p w:rsidR="00E94970" w:rsidRDefault="00E94970" w:rsidP="007A041D">
            <w:pPr>
              <w:jc w:val="center"/>
            </w:pPr>
            <w:r>
              <w:t>–</w:t>
            </w:r>
          </w:p>
        </w:tc>
        <w:tc>
          <w:tcPr>
            <w:tcW w:w="6806" w:type="dxa"/>
            <w:vAlign w:val="center"/>
          </w:tcPr>
          <w:p w:rsidR="00E94970" w:rsidRDefault="00D47BE1" w:rsidP="007A041D">
            <w:pPr>
              <w:jc w:val="left"/>
            </w:pPr>
            <w:r>
              <w:t>r</w:t>
            </w:r>
            <w:r w:rsidR="00C63AEB">
              <w:t>eakcja łańcuchowa polimerazy w czasie rzeczywistym,</w:t>
            </w:r>
          </w:p>
        </w:tc>
      </w:tr>
      <w:tr w:rsidR="00C63AEB" w:rsidTr="00C63AEB">
        <w:trPr>
          <w:trHeight w:val="567"/>
        </w:trPr>
        <w:tc>
          <w:tcPr>
            <w:tcW w:w="1701" w:type="dxa"/>
            <w:vAlign w:val="center"/>
          </w:tcPr>
          <w:p w:rsidR="00C63AEB" w:rsidRDefault="00C63AEB" w:rsidP="00C63AEB">
            <w:pPr>
              <w:jc w:val="center"/>
              <w:rPr>
                <w:i/>
                <w:iCs/>
                <w:vertAlign w:val="subscript"/>
              </w:rPr>
            </w:pPr>
            <w:r>
              <w:rPr>
                <w:i/>
                <w:iCs/>
              </w:rPr>
              <w:t>Ct</w:t>
            </w:r>
          </w:p>
        </w:tc>
        <w:tc>
          <w:tcPr>
            <w:tcW w:w="336" w:type="dxa"/>
            <w:vAlign w:val="center"/>
          </w:tcPr>
          <w:p w:rsidR="00C63AEB" w:rsidRDefault="00C63AEB" w:rsidP="007A041D">
            <w:pPr>
              <w:jc w:val="center"/>
            </w:pPr>
            <w:r>
              <w:t>–</w:t>
            </w:r>
          </w:p>
        </w:tc>
        <w:tc>
          <w:tcPr>
            <w:tcW w:w="6806" w:type="dxa"/>
            <w:vAlign w:val="center"/>
          </w:tcPr>
          <w:p w:rsidR="00C63AEB" w:rsidRDefault="00C63AEB" w:rsidP="007A041D">
            <w:pPr>
              <w:jc w:val="left"/>
            </w:pPr>
            <w:r>
              <w:t>cykl progowy,</w:t>
            </w:r>
          </w:p>
        </w:tc>
      </w:tr>
      <w:tr w:rsidR="00A03668" w:rsidTr="00C63AEB">
        <w:trPr>
          <w:trHeight w:val="567"/>
        </w:trPr>
        <w:tc>
          <w:tcPr>
            <w:tcW w:w="1701" w:type="dxa"/>
            <w:vAlign w:val="center"/>
          </w:tcPr>
          <w:p w:rsidR="00A03668" w:rsidRDefault="00A03668" w:rsidP="00C63AEB">
            <w:pPr>
              <w:jc w:val="center"/>
              <w:rPr>
                <w:i/>
                <w:iCs/>
              </w:rPr>
            </w:pPr>
            <w:r>
              <w:rPr>
                <w:i/>
                <w:iCs/>
              </w:rPr>
              <w:t>FAM</w:t>
            </w:r>
          </w:p>
        </w:tc>
        <w:tc>
          <w:tcPr>
            <w:tcW w:w="336" w:type="dxa"/>
            <w:vAlign w:val="center"/>
          </w:tcPr>
          <w:p w:rsidR="00A03668" w:rsidRDefault="00A03668" w:rsidP="007A041D">
            <w:pPr>
              <w:jc w:val="center"/>
            </w:pPr>
            <w:r>
              <w:t>–</w:t>
            </w:r>
          </w:p>
        </w:tc>
        <w:tc>
          <w:tcPr>
            <w:tcW w:w="6806" w:type="dxa"/>
            <w:vAlign w:val="center"/>
          </w:tcPr>
          <w:p w:rsidR="00A03668" w:rsidRDefault="00097057" w:rsidP="007A041D">
            <w:pPr>
              <w:jc w:val="left"/>
            </w:pPr>
            <w:r w:rsidRPr="00097057">
              <w:t>6-karboksyfluoresceina</w:t>
            </w:r>
            <w:r>
              <w:t>,</w:t>
            </w:r>
          </w:p>
        </w:tc>
      </w:tr>
      <w:tr w:rsidR="00A03668" w:rsidTr="00C63AEB">
        <w:trPr>
          <w:trHeight w:val="567"/>
        </w:trPr>
        <w:tc>
          <w:tcPr>
            <w:tcW w:w="1701" w:type="dxa"/>
            <w:vAlign w:val="center"/>
          </w:tcPr>
          <w:p w:rsidR="00A03668" w:rsidRDefault="00A03668" w:rsidP="00C63AEB">
            <w:pPr>
              <w:jc w:val="center"/>
              <w:rPr>
                <w:i/>
                <w:iCs/>
              </w:rPr>
            </w:pPr>
            <w:r>
              <w:rPr>
                <w:i/>
                <w:iCs/>
              </w:rPr>
              <w:t>TAMRA</w:t>
            </w:r>
          </w:p>
        </w:tc>
        <w:tc>
          <w:tcPr>
            <w:tcW w:w="336" w:type="dxa"/>
            <w:vAlign w:val="center"/>
          </w:tcPr>
          <w:p w:rsidR="00A03668" w:rsidRDefault="00A03668" w:rsidP="007A041D">
            <w:pPr>
              <w:jc w:val="center"/>
            </w:pPr>
            <w:r>
              <w:t>–</w:t>
            </w:r>
          </w:p>
        </w:tc>
        <w:tc>
          <w:tcPr>
            <w:tcW w:w="6806" w:type="dxa"/>
            <w:vAlign w:val="center"/>
          </w:tcPr>
          <w:p w:rsidR="00A03668" w:rsidRPr="00097057" w:rsidRDefault="00097057" w:rsidP="00097057">
            <w:r w:rsidRPr="00097057">
              <w:t>6-karboksy-tetrametylo-rodamina</w:t>
            </w:r>
            <w:r>
              <w:t>.</w:t>
            </w:r>
          </w:p>
        </w:tc>
      </w:tr>
    </w:tbl>
    <w:p w:rsidR="00E94970" w:rsidRDefault="00E94970" w:rsidP="00E94970"/>
    <w:p w:rsidR="00E94970" w:rsidRDefault="00E94970" w:rsidP="00E94970">
      <w:r>
        <w:br w:type="page"/>
      </w:r>
    </w:p>
    <w:p w:rsidR="00E94970" w:rsidRDefault="00E94970" w:rsidP="00914B2D">
      <w:pPr>
        <w:pStyle w:val="Heading1"/>
        <w:ind w:left="493"/>
        <w:jc w:val="left"/>
      </w:pPr>
      <w:bookmarkStart w:id="3" w:name="_Toc381701320"/>
      <w:bookmarkStart w:id="4" w:name="_Toc471686408"/>
      <w:r>
        <w:lastRenderedPageBreak/>
        <w:t>W</w:t>
      </w:r>
      <w:bookmarkEnd w:id="3"/>
      <w:r w:rsidR="00D67395">
        <w:t>prowadzenie</w:t>
      </w:r>
      <w:bookmarkEnd w:id="4"/>
    </w:p>
    <w:p w:rsidR="00DE6785" w:rsidRDefault="00AC7D54" w:rsidP="005B2D58">
      <w:pPr>
        <w:ind w:firstLine="493"/>
      </w:pPr>
      <w:r>
        <w:t xml:space="preserve">Wraz z rozwojem wiedzy na temat biologii molekularnej oraz genetyki coraz większa grupa badaczy dąży do poznania mechanizmów działania istniejących chorób o podłożu genetycznym w nadziei na znalezienie sposobu na spowolnienie </w:t>
      </w:r>
      <w:r w:rsidR="00237C21">
        <w:t>ich</w:t>
      </w:r>
      <w:r>
        <w:t xml:space="preserve"> rozwo</w:t>
      </w:r>
      <w:r w:rsidR="00C57FB2">
        <w:t>ju</w:t>
      </w:r>
      <w:r>
        <w:t xml:space="preserve"> lub całkowite wyleczenie.</w:t>
      </w:r>
      <w:r w:rsidR="00237C21">
        <w:t xml:space="preserve"> </w:t>
      </w:r>
      <w:r w:rsidR="00237C21" w:rsidRPr="00C57FB2">
        <w:t xml:space="preserve">Do chorób tych należą nowotwory, </w:t>
      </w:r>
      <w:r w:rsidR="00A868EA" w:rsidRPr="00C57FB2">
        <w:t>których liczba przypadków</w:t>
      </w:r>
      <w:r w:rsidR="00237C21" w:rsidRPr="00C57FB2">
        <w:t xml:space="preserve"> ciągle wzrasta, mimo intensywnych prac mających na celu ich poznanie i w</w:t>
      </w:r>
      <w:r w:rsidR="00C57FB2" w:rsidRPr="00C57FB2">
        <w:t>drożenie nowych terapii</w:t>
      </w:r>
      <w:r w:rsidR="00237C21">
        <w:t>. Mimo złożoności problemu</w:t>
      </w:r>
      <w:r w:rsidR="001B69CB">
        <w:t xml:space="preserve"> tego </w:t>
      </w:r>
      <w:r w:rsidR="00C57FB2">
        <w:t>typu schorzeń</w:t>
      </w:r>
      <w:r w:rsidR="00B56792">
        <w:t>,</w:t>
      </w:r>
      <w:r w:rsidR="001B69CB">
        <w:t xml:space="preserve"> </w:t>
      </w:r>
      <w:r w:rsidR="00237C21">
        <w:t>do badań nad ni</w:t>
      </w:r>
      <w:r w:rsidR="009F003F">
        <w:t>m</w:t>
      </w:r>
      <w:r w:rsidR="00C57FB2">
        <w:t>i</w:t>
      </w:r>
      <w:r w:rsidR="00237C21">
        <w:t xml:space="preserve"> często wykorzystuje się </w:t>
      </w:r>
      <w:r w:rsidR="00E070A4">
        <w:t xml:space="preserve">specyficzną </w:t>
      </w:r>
      <w:r w:rsidR="00237C21">
        <w:t xml:space="preserve">grupę technik i analiz, które dostarczają specjalistom informacji na temat natury </w:t>
      </w:r>
      <w:r w:rsidR="00B56792">
        <w:t>chorób</w:t>
      </w:r>
      <w:r w:rsidR="00237C21">
        <w:t>, pozwalają na wyciągnięcie odpowiednich wniosków i</w:t>
      </w:r>
      <w:r w:rsidR="00E656F6">
        <w:t xml:space="preserve"> podjęcie </w:t>
      </w:r>
      <w:r w:rsidR="00735B5B">
        <w:t>badań nad nową metodą leczenia</w:t>
      </w:r>
      <w:r w:rsidR="00E656F6">
        <w:t>.</w:t>
      </w:r>
      <w:r w:rsidR="001B24F5">
        <w:t xml:space="preserve"> Wyniki takich eksperymentów</w:t>
      </w:r>
      <w:r w:rsidR="003D67F5">
        <w:t xml:space="preserve"> często</w:t>
      </w:r>
      <w:r w:rsidR="001B24F5">
        <w:t xml:space="preserve"> są jednak trudne do przeanalizowania bez zastosowania metod komputerowych i specjalnego oprogramowania. </w:t>
      </w:r>
      <w:r w:rsidR="00BC7BEF">
        <w:t xml:space="preserve">Nawet </w:t>
      </w:r>
      <w:r w:rsidR="00817781">
        <w:t>nie wielce skomplikowane</w:t>
      </w:r>
      <w:r w:rsidR="00BC7BEF">
        <w:t xml:space="preserve"> metod</w:t>
      </w:r>
      <w:r w:rsidR="003018C5">
        <w:t>y</w:t>
      </w:r>
      <w:r w:rsidR="00BC7BEF">
        <w:t xml:space="preserve"> przetwarzania otrzymanych danych </w:t>
      </w:r>
      <w:r w:rsidR="003018C5">
        <w:t xml:space="preserve">mogą </w:t>
      </w:r>
      <w:r w:rsidR="003D67F5">
        <w:t>sprawiać trudności</w:t>
      </w:r>
      <w:r w:rsidR="003018C5">
        <w:t xml:space="preserve"> i </w:t>
      </w:r>
      <w:r w:rsidR="003D67F5">
        <w:t xml:space="preserve">być </w:t>
      </w:r>
      <w:r w:rsidR="003018C5">
        <w:t xml:space="preserve">bardzo czasochłonne dla </w:t>
      </w:r>
      <w:r w:rsidR="00E82820">
        <w:t>badaczy nie</w:t>
      </w:r>
      <w:r w:rsidR="007822B0">
        <w:t>posiadających doświadczenia w tej dziedzinie</w:t>
      </w:r>
      <w:r w:rsidR="00BC6D8D">
        <w:t xml:space="preserve">. </w:t>
      </w:r>
      <w:r w:rsidR="00A87836">
        <w:br/>
        <w:t>Dlatego też</w:t>
      </w:r>
      <w:r w:rsidR="00CB5BEA">
        <w:t xml:space="preserve"> </w:t>
      </w:r>
      <w:r w:rsidR="000A2BC3">
        <w:t xml:space="preserve">istnieje konieczność tworzenia oprogramowania i aplikacji, które pozwoliłyby na </w:t>
      </w:r>
      <w:r w:rsidR="00D51465">
        <w:t>szybką, prostą i wszechstronną analizę wyników powstałych na drodze eksperyment</w:t>
      </w:r>
      <w:r w:rsidR="007225FF">
        <w:t>ów</w:t>
      </w:r>
      <w:r w:rsidR="00D51465">
        <w:t xml:space="preserve">, </w:t>
      </w:r>
      <w:r w:rsidR="00A87836">
        <w:br/>
      </w:r>
      <w:r w:rsidR="007225FF">
        <w:t>w celu zwiększenia</w:t>
      </w:r>
      <w:r w:rsidR="001931EC">
        <w:t xml:space="preserve"> szybkości prac i zapewni</w:t>
      </w:r>
      <w:r w:rsidR="007225FF">
        <w:t>enia</w:t>
      </w:r>
      <w:r w:rsidR="001931EC">
        <w:t xml:space="preserve"> </w:t>
      </w:r>
      <w:r w:rsidR="00520D89">
        <w:t>odpowiedni</w:t>
      </w:r>
      <w:r w:rsidR="007225FF">
        <w:t xml:space="preserve">ch </w:t>
      </w:r>
      <w:r w:rsidR="00520D89">
        <w:t>me</w:t>
      </w:r>
      <w:r w:rsidR="007225FF">
        <w:t>tod analizy zadanych wyników</w:t>
      </w:r>
      <w:r w:rsidR="00520D89">
        <w:t>.</w:t>
      </w:r>
      <w:r w:rsidR="00D704F9">
        <w:t xml:space="preserve"> </w:t>
      </w:r>
    </w:p>
    <w:p w:rsidR="00561928" w:rsidRDefault="00561928" w:rsidP="00E94970"/>
    <w:p w:rsidR="00237C21" w:rsidRDefault="001B1DD7" w:rsidP="00D704F9">
      <w:pPr>
        <w:ind w:firstLine="493"/>
      </w:pPr>
      <w:r>
        <w:t>Aby sprostać powyższym wyzwaniom</w:t>
      </w:r>
      <w:r w:rsidR="00F56DD3">
        <w:t xml:space="preserve"> podjęto się stworzenia</w:t>
      </w:r>
      <w:r w:rsidR="00561928">
        <w:t xml:space="preserve"> prostej w obsłudze aplikacji internetowej pozwalającej na analizę danych z eksperymentu </w:t>
      </w:r>
      <w:r w:rsidR="00647880">
        <w:t>r</w:t>
      </w:r>
      <w:r w:rsidR="00561928">
        <w:t xml:space="preserve">eal-time PCR. Program ten jest skierowany </w:t>
      </w:r>
      <w:r w:rsidR="00BE49A0">
        <w:t xml:space="preserve">m.in. </w:t>
      </w:r>
      <w:r w:rsidR="00561928">
        <w:t xml:space="preserve">do biologów i biotechnologów nieposiadających doświadczenia </w:t>
      </w:r>
      <w:r w:rsidR="00E070A4">
        <w:br/>
      </w:r>
      <w:r w:rsidR="00561928">
        <w:t xml:space="preserve">w komputerowej analizie danych, </w:t>
      </w:r>
      <w:r w:rsidR="00CA71A0">
        <w:t>oraz do osób, kutym zależy na szybkim</w:t>
      </w:r>
      <w:r w:rsidR="00924299">
        <w:t xml:space="preserve"> uzyskaniu</w:t>
      </w:r>
      <w:r w:rsidR="00561928">
        <w:t xml:space="preserve"> wyników.</w:t>
      </w:r>
    </w:p>
    <w:p w:rsidR="00561928" w:rsidRDefault="00561928" w:rsidP="00E94970"/>
    <w:p w:rsidR="00561928" w:rsidRDefault="00561928" w:rsidP="00D704F9">
      <w:pPr>
        <w:ind w:firstLine="493"/>
      </w:pPr>
      <w:r>
        <w:t xml:space="preserve">W pierwszym rozdziale pracy </w:t>
      </w:r>
      <w:r w:rsidR="00A61841">
        <w:t>przedstawiono</w:t>
      </w:r>
      <w:r>
        <w:t xml:space="preserve"> </w:t>
      </w:r>
      <w:r w:rsidR="00A61841">
        <w:t>cel tego projektu inżynierskiego. W rozdziale drugim zawarto wstęp</w:t>
      </w:r>
      <w:r>
        <w:t xml:space="preserve"> merytoryczny oraz informacje potrzebne do zrozumienia założeń eksperymentu </w:t>
      </w:r>
      <w:r w:rsidR="00647880">
        <w:t>r</w:t>
      </w:r>
      <w:r w:rsidR="00451617">
        <w:t xml:space="preserve">eal-time PCR oraz </w:t>
      </w:r>
      <w:r w:rsidR="00374851">
        <w:t>metod analizy jego wyników</w:t>
      </w:r>
      <w:r w:rsidR="00DB4844">
        <w:t xml:space="preserve">. W </w:t>
      </w:r>
      <w:r w:rsidR="00971AD4">
        <w:t>trzecim</w:t>
      </w:r>
      <w:r w:rsidR="00DB4844">
        <w:t xml:space="preserve"> rozdziale pracy przedstawiono </w:t>
      </w:r>
      <w:r w:rsidR="00092A1E">
        <w:t>opis danych wykorzystanych do testowania programu, zastosow</w:t>
      </w:r>
      <w:r w:rsidR="00741379">
        <w:t xml:space="preserve">ane metody obliczeń, </w:t>
      </w:r>
      <w:r w:rsidR="009D39F1">
        <w:t>strukturę</w:t>
      </w:r>
      <w:r w:rsidR="00092A1E">
        <w:t xml:space="preserve"> aplikacji</w:t>
      </w:r>
      <w:r w:rsidR="00741379">
        <w:t xml:space="preserve"> i wyniki działania programu</w:t>
      </w:r>
      <w:r w:rsidR="00092A1E">
        <w:t>.</w:t>
      </w:r>
      <w:r w:rsidR="00A87836">
        <w:t xml:space="preserve"> </w:t>
      </w:r>
      <w:r w:rsidR="00741379">
        <w:t>W ostatnim rozdziale dokonano podsumowania podjętej pracy i spełnienia celi projektu oraz plany na ulepszenie aplikacji.</w:t>
      </w:r>
    </w:p>
    <w:p w:rsidR="00237C21" w:rsidRDefault="00237C21" w:rsidP="00E94970"/>
    <w:p w:rsidR="00E94970" w:rsidRDefault="00E94970" w:rsidP="00E94970">
      <w:r>
        <w:br w:type="page"/>
      </w:r>
    </w:p>
    <w:p w:rsidR="00914B2D" w:rsidRDefault="00914B2D" w:rsidP="00914B2D">
      <w:pPr>
        <w:pStyle w:val="Heading1"/>
        <w:numPr>
          <w:ilvl w:val="0"/>
          <w:numId w:val="2"/>
        </w:numPr>
        <w:jc w:val="left"/>
      </w:pPr>
      <w:bookmarkStart w:id="5" w:name="_Toc471686409"/>
      <w:r>
        <w:lastRenderedPageBreak/>
        <w:t>Cel projektu</w:t>
      </w:r>
      <w:bookmarkEnd w:id="5"/>
    </w:p>
    <w:p w:rsidR="00F026B8" w:rsidRPr="00420CFB" w:rsidRDefault="00960A4F" w:rsidP="00F026B8">
      <w:pPr>
        <w:ind w:firstLine="708"/>
      </w:pPr>
      <w:r>
        <w:t xml:space="preserve">Celem tego projektu inżynierskiego jest </w:t>
      </w:r>
      <w:r w:rsidR="00F026B8">
        <w:t xml:space="preserve">stworzenie aplikacji internetowej </w:t>
      </w:r>
      <w:r w:rsidR="001C3BAE">
        <w:t>z wykorzystaniem pakietu dla</w:t>
      </w:r>
      <w:r w:rsidR="00F026B8">
        <w:t xml:space="preserve"> R </w:t>
      </w:r>
      <w:r w:rsidR="001C3BAE">
        <w:t xml:space="preserve">o nazwie </w:t>
      </w:r>
      <w:r w:rsidR="00F026B8">
        <w:t xml:space="preserve">„Shiny”, której zadaniem jest analiza danych z eksperymentu </w:t>
      </w:r>
      <w:r w:rsidR="00647880">
        <w:t>r</w:t>
      </w:r>
      <w:r w:rsidR="00F026B8">
        <w:t xml:space="preserve">eal-time PCR. Aplikacja powinna być prosta w obsłudze i pozwalać na szybką i wygodną </w:t>
      </w:r>
      <w:r w:rsidR="006A2FD4">
        <w:t>prezentację wyników</w:t>
      </w:r>
      <w:r w:rsidR="00F026B8">
        <w:t>.</w:t>
      </w:r>
      <w:r w:rsidR="006A2FD4">
        <w:t xml:space="preserve"> </w:t>
      </w:r>
      <w:r w:rsidR="00893551">
        <w:t xml:space="preserve">W celu generacji </w:t>
      </w:r>
      <w:r w:rsidR="00A80285">
        <w:t xml:space="preserve">wyników </w:t>
      </w:r>
      <w:r w:rsidR="00546EC1">
        <w:t>zaplanowano wykorzystanie</w:t>
      </w:r>
      <w:r w:rsidR="00893551">
        <w:t xml:space="preserve"> i </w:t>
      </w:r>
      <w:r w:rsidR="00546EC1">
        <w:t>implementację metody</w:t>
      </w:r>
      <w:r w:rsidR="00893551">
        <w:t xml:space="preserve"> Pfaffl, w której uwzględni</w:t>
      </w:r>
      <w:r w:rsidR="00093C28">
        <w:t>a się</w:t>
      </w:r>
      <w:r w:rsidR="00893551">
        <w:t xml:space="preserve"> wartości wydajności przyłączania starterów </w:t>
      </w:r>
      <w:r w:rsidR="00420CFB">
        <w:t>wyznaczone w ramach doświadczenia.</w:t>
      </w:r>
      <w:r w:rsidR="00C07535">
        <w:t xml:space="preserve"> </w:t>
      </w:r>
      <w:r w:rsidR="00A80285">
        <w:t xml:space="preserve">Program powinien zawierać przykłady wczytywanych danych, wykonywać wszechstronną analizę wraz z wykresami i pozwalać na pobranie wyników </w:t>
      </w:r>
      <w:r w:rsidR="004872E2">
        <w:t xml:space="preserve">wykonanych </w:t>
      </w:r>
      <w:r w:rsidR="00A80285">
        <w:t>obliczeń.</w:t>
      </w:r>
      <w:r w:rsidR="00D704F9">
        <w:t xml:space="preserve"> Jedną z głównych zalet programu powinna być </w:t>
      </w:r>
      <w:r w:rsidR="005B548C">
        <w:t xml:space="preserve">możliwość wykorzystania go prze szerokie grono </w:t>
      </w:r>
      <w:r w:rsidR="00D704F9">
        <w:t xml:space="preserve">osób zainteresowanych analizą danych z eksperymentów </w:t>
      </w:r>
      <w:r w:rsidR="00647880">
        <w:t>r</w:t>
      </w:r>
      <w:r w:rsidR="00D704F9">
        <w:t xml:space="preserve">eal-time PCR, </w:t>
      </w:r>
      <w:r w:rsidR="00D704F9" w:rsidRPr="00617B7A">
        <w:t>poprzez łatwy</w:t>
      </w:r>
      <w:r w:rsidR="0043039A" w:rsidRPr="00617B7A">
        <w:t>,</w:t>
      </w:r>
      <w:r w:rsidR="00D704F9" w:rsidRPr="00617B7A">
        <w:t xml:space="preserve"> darmowy dostęp</w:t>
      </w:r>
      <w:r w:rsidR="00617B7A">
        <w:t>,</w:t>
      </w:r>
      <w:r w:rsidR="00D704F9">
        <w:t xml:space="preserve"> przejrzysty interfejs użytkownika</w:t>
      </w:r>
      <w:r w:rsidR="00617B7A">
        <w:t xml:space="preserve"> i prostą obsługę</w:t>
      </w:r>
      <w:r w:rsidR="00D704F9">
        <w:t>, co pomogłoby mu odróżnić się od innych programów tego typu.</w:t>
      </w:r>
    </w:p>
    <w:p w:rsidR="00F026B8" w:rsidRDefault="00F026B8" w:rsidP="00180EFD">
      <w:pPr>
        <w:ind w:left="493"/>
      </w:pPr>
    </w:p>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914B2D" w:rsidRDefault="00914B2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180EFD" w:rsidRDefault="00180EFD" w:rsidP="00E94970"/>
    <w:p w:rsidR="00E94970" w:rsidRDefault="000321CB" w:rsidP="00E94970">
      <w:pPr>
        <w:pStyle w:val="Heading1"/>
        <w:numPr>
          <w:ilvl w:val="0"/>
          <w:numId w:val="2"/>
        </w:numPr>
        <w:jc w:val="left"/>
      </w:pPr>
      <w:bookmarkStart w:id="6" w:name="_Toc471686410"/>
      <w:r>
        <w:lastRenderedPageBreak/>
        <w:t>Wstęp teoretyczny</w:t>
      </w:r>
      <w:bookmarkEnd w:id="6"/>
    </w:p>
    <w:p w:rsidR="00315BD2" w:rsidRPr="00063918" w:rsidRDefault="00E94970" w:rsidP="00063918">
      <w:pPr>
        <w:pStyle w:val="Heading2"/>
      </w:pPr>
      <w:bookmarkStart w:id="7" w:name="_Toc381701322"/>
      <w:bookmarkStart w:id="8" w:name="_Toc471686411"/>
      <w:r>
        <w:t>2.1</w:t>
      </w:r>
      <w:r w:rsidR="00525D70">
        <w:t>.</w:t>
      </w:r>
      <w:r>
        <w:t xml:space="preserve"> </w:t>
      </w:r>
      <w:bookmarkEnd w:id="7"/>
      <w:r w:rsidR="000321CB">
        <w:t>Reakcja łańcuchowa polimerazy</w:t>
      </w:r>
      <w:bookmarkEnd w:id="8"/>
    </w:p>
    <w:p w:rsidR="00C410B5" w:rsidRDefault="001F1C19" w:rsidP="00014E5C">
      <w:pPr>
        <w:ind w:firstLine="708"/>
        <w:rPr>
          <w:bCs/>
          <w:szCs w:val="24"/>
        </w:rPr>
      </w:pPr>
      <w:r>
        <w:rPr>
          <w:bCs/>
          <w:szCs w:val="24"/>
        </w:rPr>
        <w:t>Reakcja łańcuchowa polimerazy jest podstawową i zarazem jedną z najczęściej wykorzystywanych technik w labo</w:t>
      </w:r>
      <w:r w:rsidR="0046141B">
        <w:rPr>
          <w:bCs/>
          <w:szCs w:val="24"/>
        </w:rPr>
        <w:t>r</w:t>
      </w:r>
      <w:r>
        <w:rPr>
          <w:bCs/>
          <w:szCs w:val="24"/>
        </w:rPr>
        <w:t>atorium biologii molekularnej.</w:t>
      </w:r>
      <w:r w:rsidR="003B0FF2">
        <w:rPr>
          <w:bCs/>
          <w:szCs w:val="24"/>
        </w:rPr>
        <w:t xml:space="preserve"> Pozwala ona na powielenie wybranego fragmentu </w:t>
      </w:r>
      <w:r w:rsidR="00FF14E4">
        <w:rPr>
          <w:bCs/>
          <w:szCs w:val="24"/>
        </w:rPr>
        <w:t>nici kwasu deoksyrybonukleinowego</w:t>
      </w:r>
      <w:r w:rsidR="00AF07CF">
        <w:rPr>
          <w:bCs/>
          <w:szCs w:val="24"/>
        </w:rPr>
        <w:t xml:space="preserve"> w niewielkim czasie, stosując proste metody oparte</w:t>
      </w:r>
      <w:r w:rsidR="002F1580">
        <w:rPr>
          <w:bCs/>
          <w:szCs w:val="24"/>
        </w:rPr>
        <w:t xml:space="preserve"> częściowo</w:t>
      </w:r>
      <w:r w:rsidR="00AF07CF">
        <w:rPr>
          <w:bCs/>
          <w:szCs w:val="24"/>
        </w:rPr>
        <w:t xml:space="preserve"> na mechanizmie replikacji </w:t>
      </w:r>
      <w:r w:rsidR="006004D4">
        <w:rPr>
          <w:bCs/>
          <w:szCs w:val="24"/>
        </w:rPr>
        <w:t xml:space="preserve">materiału genetycznego </w:t>
      </w:r>
      <w:r w:rsidR="00AF07CF">
        <w:rPr>
          <w:bCs/>
          <w:szCs w:val="24"/>
        </w:rPr>
        <w:t>w żywych komórkach.</w:t>
      </w:r>
      <w:r w:rsidR="006004D4">
        <w:rPr>
          <w:bCs/>
          <w:szCs w:val="24"/>
        </w:rPr>
        <w:t xml:space="preserve"> </w:t>
      </w:r>
    </w:p>
    <w:p w:rsidR="00014E5C" w:rsidRDefault="00014E5C" w:rsidP="00014E5C">
      <w:pPr>
        <w:ind w:firstLine="708"/>
        <w:rPr>
          <w:bCs/>
          <w:szCs w:val="24"/>
        </w:rPr>
      </w:pPr>
    </w:p>
    <w:p w:rsidR="007A314F" w:rsidRDefault="00F73625" w:rsidP="00014E5C">
      <w:pPr>
        <w:ind w:firstLine="708"/>
        <w:rPr>
          <w:bCs/>
          <w:szCs w:val="24"/>
        </w:rPr>
      </w:pPr>
      <w:r>
        <w:rPr>
          <w:bCs/>
          <w:szCs w:val="24"/>
        </w:rPr>
        <w:t xml:space="preserve">W pierwszej fazie eksperymentu zostają zaprojektowane startery, czyli krótkie jednoniciowe cząsteczki DNA, które są komplementarne do </w:t>
      </w:r>
      <w:r w:rsidR="003D02EF">
        <w:rPr>
          <w:bCs/>
          <w:szCs w:val="24"/>
        </w:rPr>
        <w:t>sekwencji</w:t>
      </w:r>
      <w:r>
        <w:rPr>
          <w:bCs/>
          <w:szCs w:val="24"/>
        </w:rPr>
        <w:t xml:space="preserve"> matrycowego DNA</w:t>
      </w:r>
      <w:r w:rsidR="003D02EF">
        <w:rPr>
          <w:bCs/>
          <w:szCs w:val="24"/>
        </w:rPr>
        <w:t xml:space="preserve"> oskrzydlających powielany fragment</w:t>
      </w:r>
      <w:r w:rsidR="00B31A06">
        <w:rPr>
          <w:bCs/>
          <w:szCs w:val="24"/>
        </w:rPr>
        <w:t xml:space="preserve">, przez co </w:t>
      </w:r>
      <w:r>
        <w:rPr>
          <w:bCs/>
          <w:szCs w:val="24"/>
        </w:rPr>
        <w:t>wyznaczają granice powielanej sekwencji.</w:t>
      </w:r>
      <w:r w:rsidR="00212AC7">
        <w:rPr>
          <w:bCs/>
          <w:szCs w:val="24"/>
        </w:rPr>
        <w:t xml:space="preserve"> </w:t>
      </w:r>
      <w:r w:rsidR="003D02EF">
        <w:rPr>
          <w:bCs/>
          <w:szCs w:val="24"/>
        </w:rPr>
        <w:t>Wykorzystywane są</w:t>
      </w:r>
      <w:r w:rsidR="00212AC7">
        <w:rPr>
          <w:bCs/>
          <w:szCs w:val="24"/>
        </w:rPr>
        <w:t xml:space="preserve"> startery </w:t>
      </w:r>
      <w:r w:rsidR="00212AC7" w:rsidRPr="0071066B">
        <w:rPr>
          <w:bCs/>
          <w:i/>
          <w:szCs w:val="24"/>
        </w:rPr>
        <w:t>forward</w:t>
      </w:r>
      <w:r w:rsidR="00212AC7" w:rsidRPr="00D77ADD">
        <w:rPr>
          <w:bCs/>
          <w:szCs w:val="24"/>
        </w:rPr>
        <w:t xml:space="preserve">, który </w:t>
      </w:r>
      <w:r w:rsidR="00D77ADD" w:rsidRPr="00D77ADD">
        <w:rPr>
          <w:bCs/>
          <w:szCs w:val="24"/>
        </w:rPr>
        <w:t>wyznacza początek</w:t>
      </w:r>
      <w:r w:rsidR="005D0D93" w:rsidRPr="00D77ADD">
        <w:rPr>
          <w:bCs/>
          <w:szCs w:val="24"/>
        </w:rPr>
        <w:t xml:space="preserve"> sekwencji oraz </w:t>
      </w:r>
      <w:r w:rsidR="005D0D93" w:rsidRPr="00D77ADD">
        <w:rPr>
          <w:bCs/>
          <w:i/>
          <w:szCs w:val="24"/>
        </w:rPr>
        <w:t>reverse</w:t>
      </w:r>
      <w:r w:rsidR="005D0D93" w:rsidRPr="00D77ADD">
        <w:rPr>
          <w:bCs/>
          <w:szCs w:val="24"/>
        </w:rPr>
        <w:t xml:space="preserve">, który </w:t>
      </w:r>
      <w:r w:rsidR="00D77ADD" w:rsidRPr="00D77ADD">
        <w:rPr>
          <w:bCs/>
          <w:szCs w:val="24"/>
        </w:rPr>
        <w:t>wyznacza koniec</w:t>
      </w:r>
      <w:r w:rsidR="005D0D93" w:rsidRPr="00D77ADD">
        <w:rPr>
          <w:bCs/>
          <w:szCs w:val="24"/>
        </w:rPr>
        <w:t xml:space="preserve"> sekwencji.</w:t>
      </w:r>
      <w:r w:rsidR="005D0D93">
        <w:rPr>
          <w:bCs/>
          <w:szCs w:val="24"/>
        </w:rPr>
        <w:t xml:space="preserve"> </w:t>
      </w:r>
      <w:r w:rsidR="00591019">
        <w:rPr>
          <w:bCs/>
          <w:szCs w:val="24"/>
        </w:rPr>
        <w:t xml:space="preserve">Po zaprojektowaniu i syntezie starterów tworzy się mieszaninę reakcyjną, w skład której wchodzą </w:t>
      </w:r>
      <w:r w:rsidR="00591019">
        <w:t xml:space="preserve">matrycowe DNA, trifosforany deoksyrybonukleotydów, startery oraz termostabilna polimeraza DNA. </w:t>
      </w:r>
      <w:r w:rsidR="00265FA0">
        <w:t xml:space="preserve">Tak przygotowaną mieszaninę umieszcza się w termocyklerze – urządzeniu </w:t>
      </w:r>
      <w:r w:rsidR="00131D78">
        <w:t>służącemu</w:t>
      </w:r>
      <w:r w:rsidR="00A7196F">
        <w:t xml:space="preserve"> do</w:t>
      </w:r>
      <w:r w:rsidR="00265FA0">
        <w:t xml:space="preserve"> </w:t>
      </w:r>
      <w:r w:rsidR="00622740">
        <w:t>amplifikacji (powielania) materiału genetycznego poprzez zmiany temperatury w poszczególnych etapach reakcji</w:t>
      </w:r>
      <w:r w:rsidR="00265FA0">
        <w:t xml:space="preserve">. </w:t>
      </w:r>
      <w:r w:rsidR="004051C6">
        <w:t xml:space="preserve">Cała reakcja zachodzi w kilkudziesięciu cyklach, które dzielą się na 3 etapy przebiegające w różnych temperaturach. </w:t>
      </w:r>
      <w:r w:rsidR="00E070A4">
        <w:br/>
      </w:r>
      <w:r w:rsidR="000224CC">
        <w:t>W pierwszym etapie</w:t>
      </w:r>
      <w:r w:rsidR="007051DA">
        <w:t xml:space="preserve"> każdego z cykli</w:t>
      </w:r>
      <w:r w:rsidR="000224CC">
        <w:t xml:space="preserve"> mieszaninę podgrzewa się do temperatury ok. 95</w:t>
      </w:r>
      <w:r w:rsidR="000224CC">
        <w:rPr>
          <w:vertAlign w:val="superscript"/>
        </w:rPr>
        <w:t>o</w:t>
      </w:r>
      <w:r w:rsidR="000224CC">
        <w:t xml:space="preserve">C, co skutkuje denaturacją DNA, czyli </w:t>
      </w:r>
      <w:r w:rsidR="00B62CD1">
        <w:t xml:space="preserve">rozdzieleniem dwuniciowej cząsteczki DNA na pojedyncze łańcuchy. </w:t>
      </w:r>
      <w:r w:rsidR="00B221D2">
        <w:t>W kolejnym etapie</w:t>
      </w:r>
      <w:r w:rsidR="00B62CD1">
        <w:t xml:space="preserve"> temperaturę obniża się do wartości odpowiadającym temperaturze topnienia starterów, co skutkuje ich przyłączeniem się do </w:t>
      </w:r>
      <w:r w:rsidR="007051DA">
        <w:t>komplementarnych</w:t>
      </w:r>
      <w:r w:rsidR="00B62CD1">
        <w:t xml:space="preserve"> miejsc </w:t>
      </w:r>
      <w:r w:rsidR="00024D95">
        <w:t xml:space="preserve">na </w:t>
      </w:r>
      <w:r w:rsidR="00B62CD1">
        <w:t>matrycy.</w:t>
      </w:r>
      <w:r w:rsidR="00C410B5">
        <w:t xml:space="preserve"> W ostatnim etapie temperaturę zwiększa się do ok. 72</w:t>
      </w:r>
      <w:r w:rsidR="00C410B5">
        <w:rPr>
          <w:vertAlign w:val="superscript"/>
        </w:rPr>
        <w:t>o</w:t>
      </w:r>
      <w:r w:rsidR="00B221D2">
        <w:t xml:space="preserve">C, co umożliwia związanie się termostabilnej polimerazy DNA ze starterami. Następnie </w:t>
      </w:r>
      <w:r w:rsidR="00ED72B0">
        <w:t xml:space="preserve">za jej pomocą </w:t>
      </w:r>
      <w:r w:rsidR="00355DCA">
        <w:t xml:space="preserve">od startera </w:t>
      </w:r>
      <w:r w:rsidR="00ED72B0">
        <w:t xml:space="preserve">syntetyzowana jest druga nić, poprzez </w:t>
      </w:r>
      <w:r w:rsidR="004732B5">
        <w:t xml:space="preserve">jego </w:t>
      </w:r>
      <w:r w:rsidR="00ED72B0">
        <w:t>wydłużanie</w:t>
      </w:r>
      <w:r w:rsidR="004732B5">
        <w:t xml:space="preserve"> i </w:t>
      </w:r>
      <w:r w:rsidR="002B6893">
        <w:t>dołączanie</w:t>
      </w:r>
      <w:r w:rsidR="00ED72B0">
        <w:t xml:space="preserve"> do niego </w:t>
      </w:r>
      <w:r w:rsidR="00ED72B0">
        <w:rPr>
          <w:bCs/>
          <w:szCs w:val="24"/>
        </w:rPr>
        <w:t>trifosforan</w:t>
      </w:r>
      <w:r w:rsidR="00393DC0">
        <w:rPr>
          <w:bCs/>
          <w:szCs w:val="24"/>
        </w:rPr>
        <w:t>ów</w:t>
      </w:r>
      <w:r w:rsidR="00ED72B0">
        <w:rPr>
          <w:bCs/>
          <w:szCs w:val="24"/>
        </w:rPr>
        <w:t xml:space="preserve"> deoksyrybonukleotydów.</w:t>
      </w:r>
      <w:r w:rsidR="00384D48">
        <w:rPr>
          <w:bCs/>
          <w:szCs w:val="24"/>
        </w:rPr>
        <w:t xml:space="preserve"> </w:t>
      </w:r>
      <w:r w:rsidR="003624D0">
        <w:rPr>
          <w:bCs/>
          <w:szCs w:val="24"/>
        </w:rPr>
        <w:t xml:space="preserve">Do tak utworzonej nici w kolejnych cyklach zostanie dołączony drugi starter i otrzymany zostanie </w:t>
      </w:r>
      <w:r w:rsidR="004A5B9B">
        <w:rPr>
          <w:bCs/>
          <w:szCs w:val="24"/>
        </w:rPr>
        <w:t xml:space="preserve">docelowy </w:t>
      </w:r>
      <w:r w:rsidR="003624D0">
        <w:rPr>
          <w:bCs/>
          <w:szCs w:val="24"/>
        </w:rPr>
        <w:t xml:space="preserve">fragment </w:t>
      </w:r>
      <w:r w:rsidR="004A5B9B">
        <w:rPr>
          <w:bCs/>
          <w:szCs w:val="24"/>
        </w:rPr>
        <w:t>DNA.</w:t>
      </w:r>
      <w:r w:rsidR="00BA0198">
        <w:rPr>
          <w:bCs/>
          <w:szCs w:val="24"/>
        </w:rPr>
        <w:t xml:space="preserve"> </w:t>
      </w:r>
      <w:r w:rsidR="00CF64C7">
        <w:rPr>
          <w:bCs/>
          <w:szCs w:val="24"/>
        </w:rPr>
        <w:t xml:space="preserve">Po zakończeniu reakcji w próbce znajdują się miliony kopii powielanej sekwencji. </w:t>
      </w:r>
    </w:p>
    <w:p w:rsidR="00BA0198" w:rsidRDefault="00BA0198" w:rsidP="00014E5C">
      <w:pPr>
        <w:ind w:firstLine="708"/>
        <w:rPr>
          <w:bCs/>
          <w:szCs w:val="24"/>
        </w:rPr>
      </w:pPr>
    </w:p>
    <w:p w:rsidR="00897523" w:rsidRDefault="00897523" w:rsidP="00014E5C">
      <w:pPr>
        <w:ind w:firstLine="708"/>
        <w:rPr>
          <w:bCs/>
          <w:szCs w:val="24"/>
        </w:rPr>
      </w:pPr>
    </w:p>
    <w:p w:rsidR="00897523" w:rsidRDefault="00897523" w:rsidP="00014E5C">
      <w:pPr>
        <w:ind w:firstLine="708"/>
        <w:rPr>
          <w:bCs/>
          <w:szCs w:val="24"/>
        </w:rPr>
      </w:pPr>
    </w:p>
    <w:p w:rsidR="00BA0198" w:rsidRDefault="00BA0198" w:rsidP="00014E5C">
      <w:pPr>
        <w:ind w:firstLine="708"/>
        <w:rPr>
          <w:bCs/>
          <w:szCs w:val="24"/>
        </w:rPr>
      </w:pPr>
      <w:r>
        <w:rPr>
          <w:bCs/>
          <w:szCs w:val="24"/>
        </w:rPr>
        <w:lastRenderedPageBreak/>
        <w:t xml:space="preserve">W procesie można wyróżnić 4 główne fazy. W pierwszej z nich, czyli fazie wstępnej, startery odszukują na matrycy regiony komplementarne i przez to dochodzi do powolnego powielania produktu. W fazie wykładniczej ilość produktu jest większa, przez co startery łączą się z komplementarnymi sekwencjami łatwiej i liczba kopii zwiększa się najszybciej. </w:t>
      </w:r>
      <w:r w:rsidR="00856E7E">
        <w:rPr>
          <w:bCs/>
          <w:szCs w:val="24"/>
        </w:rPr>
        <w:br/>
      </w:r>
      <w:r>
        <w:rPr>
          <w:bCs/>
          <w:szCs w:val="24"/>
        </w:rPr>
        <w:t>W fazie logarytmicznej zaczyna brakować substratów i tempo reakcji zwalnia aż do ostatniej fazy stacjonarnej, po której dochodzi do zatrzymania</w:t>
      </w:r>
      <w:r w:rsidR="005C1CC7">
        <w:rPr>
          <w:bCs/>
          <w:szCs w:val="24"/>
        </w:rPr>
        <w:t xml:space="preserve"> reakcji</w:t>
      </w:r>
      <w:r w:rsidR="00E04E17">
        <w:rPr>
          <w:bCs/>
          <w:szCs w:val="24"/>
        </w:rPr>
        <w:t xml:space="preserve"> </w:t>
      </w:r>
      <w:r w:rsidR="005C1CC7">
        <w:rPr>
          <w:bCs/>
          <w:szCs w:val="24"/>
        </w:rPr>
        <w:t>[</w:t>
      </w:r>
      <w:r w:rsidR="007E72A0">
        <w:rPr>
          <w:bCs/>
          <w:szCs w:val="24"/>
        </w:rPr>
        <w:t>2, 9, 10</w:t>
      </w:r>
      <w:r w:rsidR="005C1CC7">
        <w:rPr>
          <w:bCs/>
          <w:szCs w:val="24"/>
        </w:rPr>
        <w:t>].</w:t>
      </w: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3F0E44" w:rsidRDefault="003F0E44" w:rsidP="00014E5C">
      <w:pPr>
        <w:ind w:firstLine="708"/>
        <w:rPr>
          <w:bCs/>
          <w:szCs w:val="24"/>
        </w:rPr>
      </w:pPr>
    </w:p>
    <w:p w:rsidR="007A314F" w:rsidRDefault="007A314F" w:rsidP="00014E5C">
      <w:pPr>
        <w:ind w:firstLine="708"/>
        <w:rPr>
          <w:bCs/>
          <w:szCs w:val="24"/>
        </w:rPr>
      </w:pPr>
    </w:p>
    <w:p w:rsidR="007A314F" w:rsidRDefault="007A314F" w:rsidP="00014E5C">
      <w:pPr>
        <w:ind w:firstLine="708"/>
        <w:rPr>
          <w:bCs/>
          <w:szCs w:val="24"/>
        </w:rPr>
      </w:pPr>
    </w:p>
    <w:p w:rsidR="007A314F" w:rsidRDefault="007A314F" w:rsidP="00014E5C">
      <w:pPr>
        <w:ind w:firstLine="708"/>
        <w:rPr>
          <w:bCs/>
          <w:szCs w:val="24"/>
        </w:rPr>
      </w:pPr>
    </w:p>
    <w:p w:rsidR="007A314F" w:rsidRDefault="007A314F" w:rsidP="009A6F0A">
      <w:pPr>
        <w:rPr>
          <w:bCs/>
          <w:szCs w:val="24"/>
        </w:rPr>
      </w:pPr>
    </w:p>
    <w:p w:rsidR="00AF759B" w:rsidRDefault="00181472" w:rsidP="00AF759B">
      <w:pPr>
        <w:pStyle w:val="Heading2"/>
      </w:pPr>
      <w:bookmarkStart w:id="9" w:name="_Toc471686412"/>
      <w:r>
        <w:lastRenderedPageBreak/>
        <w:t>2.2 Reakcja łańcuchowa polimerazy w czasie rzeczywistym</w:t>
      </w:r>
      <w:r w:rsidR="007020CE">
        <w:t xml:space="preserve"> (</w:t>
      </w:r>
      <w:r w:rsidR="00647880">
        <w:t>r</w:t>
      </w:r>
      <w:r w:rsidR="007020CE">
        <w:t>eal-time PCR)</w:t>
      </w:r>
      <w:bookmarkEnd w:id="9"/>
    </w:p>
    <w:p w:rsidR="00044DCF" w:rsidRDefault="00181472" w:rsidP="00AF759B">
      <w:pPr>
        <w:ind w:firstLine="708"/>
      </w:pPr>
      <w:r>
        <w:t xml:space="preserve">Jednym z wariantów reakcji </w:t>
      </w:r>
      <w:r w:rsidR="00650F8B">
        <w:t>łańcuchowej</w:t>
      </w:r>
      <w:r>
        <w:t xml:space="preserve"> polimerazy </w:t>
      </w:r>
      <w:r w:rsidR="00650F8B">
        <w:t xml:space="preserve">jest </w:t>
      </w:r>
      <w:r w:rsidR="00F25578">
        <w:t>r</w:t>
      </w:r>
      <w:r w:rsidR="00650F8B">
        <w:t>eal-time PCR</w:t>
      </w:r>
      <w:r>
        <w:t xml:space="preserve">. </w:t>
      </w:r>
      <w:r w:rsidR="00A71C3F">
        <w:t>Istotą tej</w:t>
      </w:r>
      <w:r w:rsidR="003B2D6F">
        <w:t xml:space="preserve"> </w:t>
      </w:r>
      <w:r w:rsidR="00A71C3F">
        <w:t>techniki</w:t>
      </w:r>
      <w:r w:rsidR="003B2D6F">
        <w:t xml:space="preserve"> jest wykorzystanie jednej z metod śledzenia przebiegu reakcji w czasie rzeczywistym w celu określenia ilości powstałego produktu po każdym cyklu reakcji.</w:t>
      </w:r>
    </w:p>
    <w:p w:rsidR="00AF759B" w:rsidRDefault="00AF759B" w:rsidP="00AF759B">
      <w:pPr>
        <w:ind w:firstLine="708"/>
      </w:pPr>
    </w:p>
    <w:p w:rsidR="008F0B2B" w:rsidRDefault="00127CB5" w:rsidP="00AC424E">
      <w:pPr>
        <w:ind w:firstLine="708"/>
      </w:pPr>
      <w:r>
        <w:t xml:space="preserve">Aby przeprowadzić </w:t>
      </w:r>
      <w:r w:rsidR="00F25578">
        <w:t>r</w:t>
      </w:r>
      <w:r>
        <w:t xml:space="preserve">eal-time PCR konieczne jest dodanie do mieszaniny reakcyjnej </w:t>
      </w:r>
      <w:r w:rsidR="00757EE7">
        <w:t xml:space="preserve">oprócz podstawowych substratów reakcji PCR </w:t>
      </w:r>
      <w:r w:rsidR="00AC424E">
        <w:t>interkalującego barwnika, czyli związku zdolnego do wiązania się wewnątrz dw</w:t>
      </w:r>
      <w:r w:rsidR="00157C1B">
        <w:t>u</w:t>
      </w:r>
      <w:r w:rsidR="00AC424E">
        <w:t>niciowej helisy DNA, lub sondy molekularnej</w:t>
      </w:r>
      <w:r w:rsidR="00F55D18">
        <w:t xml:space="preserve"> [</w:t>
      </w:r>
      <w:r w:rsidR="00342747">
        <w:t>5</w:t>
      </w:r>
      <w:r w:rsidR="00D27478">
        <w:t xml:space="preserve">, </w:t>
      </w:r>
      <w:r w:rsidR="00B7419B">
        <w:t>6</w:t>
      </w:r>
      <w:r w:rsidR="00F55D18">
        <w:t>]</w:t>
      </w:r>
      <w:r w:rsidR="00AC424E">
        <w:t>.</w:t>
      </w:r>
      <w:r w:rsidR="00DF79E1">
        <w:t xml:space="preserve"> </w:t>
      </w:r>
      <w:r w:rsidR="00115650">
        <w:t xml:space="preserve">Podczas trwania reakcji </w:t>
      </w:r>
      <w:r w:rsidR="007866B1">
        <w:t xml:space="preserve">związki te będą oddziaływać z dwuniciowym DNA obecnym w próbce </w:t>
      </w:r>
      <w:r w:rsidR="00AD63F4">
        <w:br/>
      </w:r>
      <w:r w:rsidR="007866B1">
        <w:t xml:space="preserve">i emitować </w:t>
      </w:r>
      <w:r w:rsidR="00D9280E">
        <w:t xml:space="preserve">fluorescencję, której poziom będzie </w:t>
      </w:r>
      <w:r w:rsidR="008D2FA0">
        <w:t xml:space="preserve">proporcjonalny do ilości </w:t>
      </w:r>
      <w:r w:rsidR="00F25578">
        <w:t>powielanego</w:t>
      </w:r>
      <w:r w:rsidR="008D2FA0">
        <w:t xml:space="preserve"> DNA, co daje informację na temat ilości amplikonu (produktu) w </w:t>
      </w:r>
      <w:r w:rsidR="0090573D">
        <w:t>mieszaninie</w:t>
      </w:r>
      <w:r w:rsidR="00C47293">
        <w:t xml:space="preserve"> w każdym cyklu</w:t>
      </w:r>
      <w:r w:rsidR="008D2FA0">
        <w:t>.</w:t>
      </w:r>
      <w:r w:rsidR="00C47293">
        <w:t xml:space="preserve"> </w:t>
      </w:r>
      <w:r w:rsidR="00757EE7">
        <w:t>Pozwala to również na określenie</w:t>
      </w:r>
      <w:r w:rsidR="00C47293">
        <w:t xml:space="preserve"> początkowego stężenia danej próbki</w:t>
      </w:r>
      <w:r w:rsidR="002D7EE3">
        <w:t xml:space="preserve"> </w:t>
      </w:r>
      <w:r w:rsidR="002D7EE3" w:rsidRPr="00DC70B0">
        <w:t>(mRNA lub cDNA)</w:t>
      </w:r>
      <w:r w:rsidR="00C47293">
        <w:t>,</w:t>
      </w:r>
      <w:r w:rsidR="00DC70B0">
        <w:t xml:space="preserve"> </w:t>
      </w:r>
      <w:r w:rsidR="00DC70B0">
        <w:br/>
      </w:r>
      <w:r w:rsidR="00C47293">
        <w:t xml:space="preserve">a </w:t>
      </w:r>
      <w:r w:rsidR="00DC70B0">
        <w:t>przez to</w:t>
      </w:r>
      <w:r w:rsidR="00C47293">
        <w:t xml:space="preserve"> poziomu ekspresji poszczególnych genów.</w:t>
      </w:r>
      <w:r w:rsidR="00A85B60">
        <w:t xml:space="preserve"> W pierwszych cyklach reakcji pow</w:t>
      </w:r>
      <w:r w:rsidR="00E8695B">
        <w:t>ielanie produktu zachodzi wolno, przez co poziom fluorescencji jest rejestrowany jako tło</w:t>
      </w:r>
      <w:r w:rsidR="001704A7">
        <w:t xml:space="preserve">. Dopiero w kolejnych cyklach </w:t>
      </w:r>
      <w:r w:rsidR="00563AB1">
        <w:t>zostaje przekroczona wartość progowa, a cykl, w którym ją przekroczono</w:t>
      </w:r>
      <w:r w:rsidR="00DF2905">
        <w:t>,</w:t>
      </w:r>
      <w:r w:rsidR="00563AB1">
        <w:t xml:space="preserve"> nazywa się cyklem progowym</w:t>
      </w:r>
      <w:r w:rsidR="00BA0198">
        <w:t xml:space="preserve"> (Ct)</w:t>
      </w:r>
      <w:r w:rsidR="00563AB1">
        <w:t>.</w:t>
      </w:r>
      <w:r w:rsidR="000A3147">
        <w:t xml:space="preserve"> </w:t>
      </w:r>
      <w:r w:rsidR="00527625">
        <w:t>Wraz ze wzrostem ilości</w:t>
      </w:r>
      <w:r w:rsidR="00D84B3C">
        <w:t xml:space="preserve"> początkowego materiału w próbce</w:t>
      </w:r>
      <w:r w:rsidR="00AA3CD0">
        <w:t xml:space="preserve"> </w:t>
      </w:r>
      <w:r w:rsidR="00527625">
        <w:t xml:space="preserve">zmniejsza się czas potrzebny do osiągnięcia wartości progowej fluorescencji, </w:t>
      </w:r>
      <w:r w:rsidR="00A21DB7">
        <w:t>przez co</w:t>
      </w:r>
      <w:r w:rsidR="00527625">
        <w:t xml:space="preserve"> </w:t>
      </w:r>
      <w:r w:rsidR="00AA3CD0">
        <w:t>numer</w:t>
      </w:r>
      <w:r w:rsidR="00527625">
        <w:t xml:space="preserve"> cyklu progowego jest niższ</w:t>
      </w:r>
      <w:r w:rsidR="00AA3CD0">
        <w:t>y</w:t>
      </w:r>
      <w:r w:rsidR="00527625">
        <w:t>.</w:t>
      </w:r>
      <w:r w:rsidR="00AA3CD0">
        <w:t xml:space="preserve"> </w:t>
      </w:r>
      <w:r w:rsidR="00712129">
        <w:t xml:space="preserve">Wartość Ct może być więc wykorzystywana do porównywania ilości fragmentów </w:t>
      </w:r>
      <w:r w:rsidR="00DB5BA8">
        <w:t xml:space="preserve">do których specyficzne są wykorzystane startery </w:t>
      </w:r>
      <w:r w:rsidR="00712129">
        <w:t>obecn</w:t>
      </w:r>
      <w:r w:rsidR="007E25CA">
        <w:t>e</w:t>
      </w:r>
      <w:r w:rsidR="00DB5BA8">
        <w:t xml:space="preserve"> </w:t>
      </w:r>
      <w:r w:rsidR="00A21DB7">
        <w:br/>
      </w:r>
      <w:r w:rsidR="00DB5BA8">
        <w:t>w mieszaninie</w:t>
      </w:r>
      <w:r w:rsidR="007E25CA">
        <w:t>.</w:t>
      </w:r>
      <w:r w:rsidR="008F0B2B">
        <w:t xml:space="preserve"> Aby uzyskać dokładne informacje na temat liczby kopii w próbce wartość Ct porównywana jest z krzywą wzorcową, którą wyznacz</w:t>
      </w:r>
      <w:r w:rsidR="00602113">
        <w:t>a się dla zestawu prób ze znany</w:t>
      </w:r>
      <w:r w:rsidR="008F0B2B">
        <w:t>mi i</w:t>
      </w:r>
      <w:r w:rsidR="00BA0198">
        <w:t xml:space="preserve">lościami początkowego materiału, lub </w:t>
      </w:r>
      <w:r w:rsidR="00D71B83">
        <w:t>dokonuje analizy zmian ilości obecnego w próbie transkryptu pomiędzy wybranymi genami i genami referencyjnymi</w:t>
      </w:r>
      <w:r w:rsidR="001C2628">
        <w:t xml:space="preserve"> [</w:t>
      </w:r>
      <w:r w:rsidR="00AA205A">
        <w:t>3</w:t>
      </w:r>
      <w:r w:rsidR="007E72A0">
        <w:t xml:space="preserve">, </w:t>
      </w:r>
      <w:r w:rsidR="00B7419B">
        <w:t>10</w:t>
      </w:r>
      <w:r w:rsidR="001C2628">
        <w:t>].</w:t>
      </w:r>
      <w:r w:rsidR="00DC15BE">
        <w:t xml:space="preserve"> </w:t>
      </w:r>
      <w:r w:rsidR="00DB5BA8">
        <w:t>W celu wyznaczenia różnicy pomiędz</w:t>
      </w:r>
      <w:r w:rsidR="00D71B83">
        <w:t xml:space="preserve">y ekspresją tych genów </w:t>
      </w:r>
      <w:r w:rsidR="00F17C50">
        <w:t>w</w:t>
      </w:r>
      <w:r w:rsidR="00F86E8A">
        <w:t>ykorzystuje się różne metody obliczeniowe</w:t>
      </w:r>
      <w:r w:rsidR="00024783">
        <w:t xml:space="preserve"> </w:t>
      </w:r>
      <w:r w:rsidR="00A21DB7">
        <w:t>pozwalające na porównanie</w:t>
      </w:r>
      <w:r w:rsidR="00024783">
        <w:t xml:space="preserve"> wartość Ct </w:t>
      </w:r>
      <w:r w:rsidR="009C5977">
        <w:t>pomiędzy genami</w:t>
      </w:r>
      <w:r w:rsidR="00024783">
        <w:t>.</w:t>
      </w:r>
    </w:p>
    <w:p w:rsidR="001458DE" w:rsidRDefault="001458DE" w:rsidP="005411CF"/>
    <w:p w:rsidR="001458DE" w:rsidRDefault="001458DE" w:rsidP="00C85F74"/>
    <w:p w:rsidR="00162AD1" w:rsidRDefault="00162AD1" w:rsidP="00C85F74"/>
    <w:p w:rsidR="00162AD1" w:rsidRDefault="00162AD1" w:rsidP="00C85F74"/>
    <w:p w:rsidR="001544EA" w:rsidRPr="007B6B66" w:rsidRDefault="001544EA" w:rsidP="001544EA">
      <w:pPr>
        <w:pStyle w:val="Heading2"/>
        <w:rPr>
          <w:i w:val="0"/>
        </w:rPr>
      </w:pPr>
      <w:bookmarkStart w:id="10" w:name="_Toc471686413"/>
      <w:r w:rsidRPr="007B6B66">
        <w:rPr>
          <w:i w:val="0"/>
        </w:rPr>
        <w:lastRenderedPageBreak/>
        <w:t>2.</w:t>
      </w:r>
      <w:r w:rsidR="007B6B66" w:rsidRPr="007B6B66">
        <w:rPr>
          <w:i w:val="0"/>
        </w:rPr>
        <w:t>2.1</w:t>
      </w:r>
      <w:r w:rsidRPr="007B6B66">
        <w:rPr>
          <w:i w:val="0"/>
        </w:rPr>
        <w:t xml:space="preserve"> </w:t>
      </w:r>
      <w:r w:rsidR="0098365F" w:rsidRPr="007B6B66">
        <w:rPr>
          <w:i w:val="0"/>
        </w:rPr>
        <w:t>Metody detekcji amplikonu</w:t>
      </w:r>
      <w:bookmarkEnd w:id="10"/>
    </w:p>
    <w:p w:rsidR="00FE24BA" w:rsidRDefault="00FE24BA" w:rsidP="00FE24BA">
      <w:pPr>
        <w:rPr>
          <w:bCs/>
          <w:szCs w:val="24"/>
        </w:rPr>
      </w:pPr>
      <w:r>
        <w:rPr>
          <w:bCs/>
          <w:szCs w:val="24"/>
        </w:rPr>
        <w:tab/>
        <w:t xml:space="preserve">W celu </w:t>
      </w:r>
      <w:r w:rsidR="0025624F">
        <w:rPr>
          <w:bCs/>
          <w:szCs w:val="24"/>
        </w:rPr>
        <w:t>wykrycia</w:t>
      </w:r>
      <w:r>
        <w:rPr>
          <w:bCs/>
          <w:szCs w:val="24"/>
        </w:rPr>
        <w:t xml:space="preserve"> i określenia ilości produktu reakcji PCR wykorzystuje się różnego rodzaju indywidua chemiczne.</w:t>
      </w:r>
      <w:r w:rsidR="001435F9">
        <w:rPr>
          <w:bCs/>
          <w:szCs w:val="24"/>
        </w:rPr>
        <w:t xml:space="preserve"> Ich zastosowanie </w:t>
      </w:r>
      <w:r w:rsidR="00162AD1">
        <w:rPr>
          <w:bCs/>
          <w:szCs w:val="24"/>
        </w:rPr>
        <w:t>pozwala na określenie poziomu</w:t>
      </w:r>
      <w:r w:rsidR="001435F9">
        <w:rPr>
          <w:bCs/>
          <w:szCs w:val="24"/>
        </w:rPr>
        <w:t xml:space="preserve"> fluorescencji</w:t>
      </w:r>
      <w:r w:rsidR="00B176FF">
        <w:rPr>
          <w:bCs/>
          <w:szCs w:val="24"/>
        </w:rPr>
        <w:t>, a mechanizm działania zależy od rodzaju zastosowanego reportera</w:t>
      </w:r>
      <w:r w:rsidR="001435F9">
        <w:rPr>
          <w:bCs/>
          <w:szCs w:val="24"/>
        </w:rPr>
        <w:t xml:space="preserve">. </w:t>
      </w:r>
      <w:r w:rsidR="002D4900">
        <w:rPr>
          <w:bCs/>
          <w:szCs w:val="24"/>
        </w:rPr>
        <w:t>Wyróżnić można dwie grupy związków:</w:t>
      </w:r>
      <w:r w:rsidR="00881527">
        <w:rPr>
          <w:bCs/>
          <w:szCs w:val="24"/>
        </w:rPr>
        <w:t xml:space="preserve"> specyficzne do produktu reakcji i niespecyficzne.</w:t>
      </w:r>
      <w:r w:rsidR="00876303">
        <w:rPr>
          <w:bCs/>
          <w:szCs w:val="24"/>
        </w:rPr>
        <w:t xml:space="preserve"> </w:t>
      </w:r>
    </w:p>
    <w:p w:rsidR="0025624F" w:rsidRDefault="0025624F" w:rsidP="00FE24BA">
      <w:pPr>
        <w:rPr>
          <w:bCs/>
          <w:szCs w:val="24"/>
        </w:rPr>
      </w:pPr>
    </w:p>
    <w:p w:rsidR="0025624F" w:rsidRDefault="0025624F" w:rsidP="00FE24BA">
      <w:pPr>
        <w:rPr>
          <w:bCs/>
          <w:szCs w:val="24"/>
        </w:rPr>
      </w:pPr>
      <w:r>
        <w:rPr>
          <w:bCs/>
          <w:szCs w:val="24"/>
        </w:rPr>
        <w:tab/>
        <w:t xml:space="preserve">Istotą detekcji </w:t>
      </w:r>
      <w:r w:rsidR="00DE6222">
        <w:rPr>
          <w:bCs/>
          <w:szCs w:val="24"/>
        </w:rPr>
        <w:t xml:space="preserve">dwuniciowych </w:t>
      </w:r>
      <w:r w:rsidR="003D383E">
        <w:rPr>
          <w:bCs/>
          <w:szCs w:val="24"/>
        </w:rPr>
        <w:t xml:space="preserve">sekwencji </w:t>
      </w:r>
      <w:r w:rsidR="009E59BD">
        <w:rPr>
          <w:bCs/>
          <w:szCs w:val="24"/>
        </w:rPr>
        <w:t xml:space="preserve">DNA metodą niespecyficzną jest wykorzystanie </w:t>
      </w:r>
      <w:r w:rsidR="003B6F56" w:rsidRPr="00594299">
        <w:rPr>
          <w:bCs/>
          <w:szCs w:val="24"/>
        </w:rPr>
        <w:t>fluorescencyjnych</w:t>
      </w:r>
      <w:r w:rsidR="003D383E" w:rsidRPr="00594299">
        <w:rPr>
          <w:bCs/>
          <w:szCs w:val="24"/>
        </w:rPr>
        <w:t xml:space="preserve"> </w:t>
      </w:r>
      <w:r w:rsidR="00B176FF">
        <w:rPr>
          <w:bCs/>
          <w:szCs w:val="24"/>
        </w:rPr>
        <w:t>barwników</w:t>
      </w:r>
      <w:r w:rsidR="003D383E">
        <w:rPr>
          <w:bCs/>
          <w:szCs w:val="24"/>
        </w:rPr>
        <w:t xml:space="preserve"> wiążących się z DNA</w:t>
      </w:r>
      <w:r w:rsidR="008C561D">
        <w:rPr>
          <w:bCs/>
          <w:szCs w:val="24"/>
        </w:rPr>
        <w:t>.</w:t>
      </w:r>
      <w:r w:rsidR="00121DD7">
        <w:rPr>
          <w:bCs/>
          <w:szCs w:val="24"/>
        </w:rPr>
        <w:t xml:space="preserve"> Stosuje się takie związki jak </w:t>
      </w:r>
      <w:r w:rsidR="00121DD7">
        <w:rPr>
          <w:color w:val="000000"/>
          <w:shd w:val="clear" w:color="auto" w:fill="FFFFFF"/>
        </w:rPr>
        <w:t>SYBR Green I, EvaGreen,</w:t>
      </w:r>
      <w:r w:rsidR="00EF0B49">
        <w:rPr>
          <w:color w:val="000000"/>
          <w:shd w:val="clear" w:color="auto" w:fill="FFFFFF"/>
        </w:rPr>
        <w:t xml:space="preserve"> czy</w:t>
      </w:r>
      <w:r w:rsidR="00121DD7">
        <w:rPr>
          <w:color w:val="000000"/>
          <w:shd w:val="clear" w:color="auto" w:fill="FFFFFF"/>
        </w:rPr>
        <w:t xml:space="preserve"> </w:t>
      </w:r>
      <w:r w:rsidR="002552F8">
        <w:rPr>
          <w:color w:val="000000"/>
          <w:shd w:val="clear" w:color="auto" w:fill="FFFFFF"/>
        </w:rPr>
        <w:t>bromek etydyny.</w:t>
      </w:r>
      <w:r w:rsidR="008C561D">
        <w:rPr>
          <w:bCs/>
          <w:szCs w:val="24"/>
        </w:rPr>
        <w:t xml:space="preserve"> </w:t>
      </w:r>
      <w:r w:rsidR="007E2BA8">
        <w:rPr>
          <w:bCs/>
          <w:szCs w:val="24"/>
        </w:rPr>
        <w:t xml:space="preserve">Każda z tych cząsteczek jest zdolna do emisji </w:t>
      </w:r>
      <w:r w:rsidR="004A51A3">
        <w:rPr>
          <w:bCs/>
          <w:szCs w:val="24"/>
        </w:rPr>
        <w:t>fluorescencji, kiedy</w:t>
      </w:r>
      <w:r w:rsidR="007E2BA8">
        <w:rPr>
          <w:bCs/>
          <w:szCs w:val="24"/>
        </w:rPr>
        <w:t xml:space="preserve"> jest poddana działaniu światła o odpowiedniej długości fali</w:t>
      </w:r>
      <w:r w:rsidR="00FC11CA">
        <w:rPr>
          <w:bCs/>
          <w:szCs w:val="24"/>
        </w:rPr>
        <w:t xml:space="preserve"> i jest związana z DNA</w:t>
      </w:r>
      <w:r w:rsidR="007E2BA8">
        <w:rPr>
          <w:bCs/>
          <w:szCs w:val="24"/>
        </w:rPr>
        <w:t>.</w:t>
      </w:r>
      <w:r w:rsidR="00955293">
        <w:rPr>
          <w:bCs/>
          <w:szCs w:val="24"/>
        </w:rPr>
        <w:t xml:space="preserve"> </w:t>
      </w:r>
      <w:r w:rsidR="0019280B">
        <w:rPr>
          <w:bCs/>
          <w:szCs w:val="24"/>
        </w:rPr>
        <w:t>Wykorzystanie</w:t>
      </w:r>
      <w:r w:rsidR="004A51A3">
        <w:rPr>
          <w:bCs/>
          <w:szCs w:val="24"/>
        </w:rPr>
        <w:t xml:space="preserve"> tych cząsteczek nie wymaga tyle wiedzy co projektowanie sond </w:t>
      </w:r>
      <w:r w:rsidR="00D9673E">
        <w:rPr>
          <w:bCs/>
          <w:szCs w:val="24"/>
        </w:rPr>
        <w:t xml:space="preserve">oligonukleotydowych </w:t>
      </w:r>
      <w:r w:rsidR="004A51A3">
        <w:rPr>
          <w:bCs/>
          <w:szCs w:val="24"/>
        </w:rPr>
        <w:t>specyficznych do określonego amplikonu,</w:t>
      </w:r>
      <w:r w:rsidR="00DE6222">
        <w:rPr>
          <w:bCs/>
          <w:szCs w:val="24"/>
        </w:rPr>
        <w:t xml:space="preserve"> metoda ta</w:t>
      </w:r>
      <w:r w:rsidR="004A51A3">
        <w:rPr>
          <w:bCs/>
          <w:szCs w:val="24"/>
        </w:rPr>
        <w:t xml:space="preserve"> jest </w:t>
      </w:r>
      <w:r w:rsidR="00DE6222">
        <w:rPr>
          <w:bCs/>
          <w:szCs w:val="24"/>
        </w:rPr>
        <w:t xml:space="preserve">też </w:t>
      </w:r>
      <w:r w:rsidR="004A51A3">
        <w:rPr>
          <w:bCs/>
          <w:szCs w:val="24"/>
        </w:rPr>
        <w:t xml:space="preserve">tańsza </w:t>
      </w:r>
      <w:r w:rsidR="00AD63F4">
        <w:rPr>
          <w:bCs/>
          <w:szCs w:val="24"/>
        </w:rPr>
        <w:br/>
      </w:r>
      <w:r w:rsidR="004A51A3">
        <w:rPr>
          <w:bCs/>
          <w:szCs w:val="24"/>
        </w:rPr>
        <w:t>i może być wykorzystana w przypadku, gdy fragmenty sekwencji próbki różnią się między sobą.</w:t>
      </w:r>
      <w:r w:rsidR="00786D6A">
        <w:rPr>
          <w:bCs/>
          <w:szCs w:val="24"/>
        </w:rPr>
        <w:t xml:space="preserve"> </w:t>
      </w:r>
      <w:r w:rsidR="00DE6222">
        <w:rPr>
          <w:bCs/>
          <w:szCs w:val="24"/>
        </w:rPr>
        <w:t>Istnieje jednak możliwość, że startery w mieszaninie mogą wiązać się ze sobą</w:t>
      </w:r>
      <w:r w:rsidR="00594299">
        <w:rPr>
          <w:bCs/>
          <w:szCs w:val="24"/>
        </w:rPr>
        <w:t xml:space="preserve"> tworząc dimery</w:t>
      </w:r>
      <w:r w:rsidR="00DE6222">
        <w:rPr>
          <w:bCs/>
          <w:szCs w:val="24"/>
        </w:rPr>
        <w:t xml:space="preserve">, </w:t>
      </w:r>
      <w:r w:rsidR="00594299">
        <w:rPr>
          <w:bCs/>
          <w:szCs w:val="24"/>
        </w:rPr>
        <w:t>czyli</w:t>
      </w:r>
      <w:r w:rsidR="00DE6222">
        <w:rPr>
          <w:bCs/>
          <w:szCs w:val="24"/>
        </w:rPr>
        <w:t xml:space="preserve"> dwuniciow</w:t>
      </w:r>
      <w:r w:rsidR="00594299">
        <w:rPr>
          <w:bCs/>
          <w:szCs w:val="24"/>
        </w:rPr>
        <w:t>e</w:t>
      </w:r>
      <w:r w:rsidR="00DE6222">
        <w:rPr>
          <w:bCs/>
          <w:szCs w:val="24"/>
        </w:rPr>
        <w:t xml:space="preserve"> cząsteczk</w:t>
      </w:r>
      <w:r w:rsidR="00594299">
        <w:rPr>
          <w:bCs/>
          <w:szCs w:val="24"/>
        </w:rPr>
        <w:t>i</w:t>
      </w:r>
      <w:r w:rsidR="0087636E">
        <w:rPr>
          <w:bCs/>
          <w:szCs w:val="24"/>
        </w:rPr>
        <w:t>,</w:t>
      </w:r>
      <w:r w:rsidR="00DE6222">
        <w:rPr>
          <w:bCs/>
          <w:szCs w:val="24"/>
        </w:rPr>
        <w:t xml:space="preserve"> z któr</w:t>
      </w:r>
      <w:r w:rsidR="00594299">
        <w:rPr>
          <w:bCs/>
          <w:szCs w:val="24"/>
        </w:rPr>
        <w:t>ymi</w:t>
      </w:r>
      <w:r w:rsidR="00DE6222">
        <w:rPr>
          <w:bCs/>
          <w:szCs w:val="24"/>
        </w:rPr>
        <w:t xml:space="preserve"> wiązać się mogą</w:t>
      </w:r>
      <w:r w:rsidR="0087636E">
        <w:rPr>
          <w:bCs/>
          <w:szCs w:val="24"/>
        </w:rPr>
        <w:t xml:space="preserve"> barwniki fluorescencyjne</w:t>
      </w:r>
      <w:r w:rsidR="00594299">
        <w:rPr>
          <w:bCs/>
          <w:szCs w:val="24"/>
        </w:rPr>
        <w:t>, przez co otrzymane wyniki mogą nie być miarodajne</w:t>
      </w:r>
      <w:r w:rsidR="0087636E">
        <w:rPr>
          <w:bCs/>
          <w:szCs w:val="24"/>
        </w:rPr>
        <w:t>.</w:t>
      </w:r>
      <w:r w:rsidR="006E21AA">
        <w:rPr>
          <w:bCs/>
          <w:szCs w:val="24"/>
        </w:rPr>
        <w:t xml:space="preserve"> Tworzy to konieczność zastosowania dodatkowej inkubacji w wysokiej temperaturze po etapie wydłużania starterów w reakcji PCR lub wykorzystania oprogramowania zdolnego do analizy krzywych topnienia </w:t>
      </w:r>
      <w:r w:rsidR="002867E3">
        <w:rPr>
          <w:bCs/>
          <w:szCs w:val="24"/>
        </w:rPr>
        <w:t xml:space="preserve">fluorescencji. Dimery starterów to krótkie cząsteczki, których temperatura </w:t>
      </w:r>
      <w:r w:rsidR="00F1234E">
        <w:rPr>
          <w:bCs/>
          <w:szCs w:val="24"/>
        </w:rPr>
        <w:t>denaturacji</w:t>
      </w:r>
      <w:r w:rsidR="002867E3">
        <w:rPr>
          <w:bCs/>
          <w:szCs w:val="24"/>
        </w:rPr>
        <w:t xml:space="preserve"> jest </w:t>
      </w:r>
      <w:r w:rsidR="00F1234E">
        <w:rPr>
          <w:bCs/>
          <w:szCs w:val="24"/>
        </w:rPr>
        <w:t xml:space="preserve">niższa niż </w:t>
      </w:r>
      <w:r w:rsidR="00594299">
        <w:rPr>
          <w:bCs/>
          <w:szCs w:val="24"/>
        </w:rPr>
        <w:br/>
      </w:r>
      <w:r w:rsidR="00F1234E">
        <w:rPr>
          <w:bCs/>
          <w:szCs w:val="24"/>
        </w:rPr>
        <w:t>w przypadku amplikonu</w:t>
      </w:r>
      <w:r w:rsidR="002867E3">
        <w:rPr>
          <w:bCs/>
          <w:szCs w:val="24"/>
        </w:rPr>
        <w:t>, dlatego możliwe jest rozpoznanie sygnału fluorescencyjnego pochodzącego od nich i dokonania korekcji</w:t>
      </w:r>
      <w:r w:rsidR="00D27478">
        <w:rPr>
          <w:bCs/>
          <w:szCs w:val="24"/>
        </w:rPr>
        <w:t xml:space="preserve"> [</w:t>
      </w:r>
      <w:r w:rsidR="00342747">
        <w:rPr>
          <w:bCs/>
          <w:szCs w:val="24"/>
        </w:rPr>
        <w:t>5</w:t>
      </w:r>
      <w:r w:rsidR="00D27478">
        <w:rPr>
          <w:bCs/>
          <w:szCs w:val="24"/>
        </w:rPr>
        <w:t>]</w:t>
      </w:r>
      <w:r w:rsidR="002867E3">
        <w:rPr>
          <w:bCs/>
          <w:szCs w:val="24"/>
        </w:rPr>
        <w:t>.</w:t>
      </w:r>
      <w:r w:rsidR="00645882">
        <w:rPr>
          <w:bCs/>
          <w:szCs w:val="24"/>
        </w:rPr>
        <w:t xml:space="preserve"> Ważne jest również zastosowanie odpowiedniego stężenie barwników w reakcji, gdyż mogą one wpływać na jej przebieg.</w:t>
      </w:r>
      <w:r w:rsidR="007B6B66">
        <w:rPr>
          <w:bCs/>
          <w:szCs w:val="24"/>
        </w:rPr>
        <w:t xml:space="preserve"> Zbyt wysokie stężenia barwników mogą doprowadzić do inhibicji reakcji PCR i konieczne może być wyznaczenie progu maksymalnego stężenia, który zależy od wielu czynników</w:t>
      </w:r>
      <w:r w:rsidR="00645882">
        <w:rPr>
          <w:bCs/>
          <w:szCs w:val="24"/>
        </w:rPr>
        <w:t xml:space="preserve"> </w:t>
      </w:r>
      <w:r w:rsidR="00C674CF">
        <w:rPr>
          <w:bCs/>
          <w:szCs w:val="24"/>
        </w:rPr>
        <w:t>[</w:t>
      </w:r>
      <w:r w:rsidR="00B7419B">
        <w:rPr>
          <w:bCs/>
          <w:szCs w:val="24"/>
        </w:rPr>
        <w:t>7</w:t>
      </w:r>
      <w:r w:rsidR="00F1641A">
        <w:rPr>
          <w:bCs/>
          <w:szCs w:val="24"/>
        </w:rPr>
        <w:t>]</w:t>
      </w:r>
      <w:r w:rsidR="007B6B66">
        <w:rPr>
          <w:bCs/>
          <w:szCs w:val="24"/>
        </w:rPr>
        <w:t>.</w:t>
      </w:r>
    </w:p>
    <w:p w:rsidR="0014101E" w:rsidRDefault="0014101E" w:rsidP="00FE24BA">
      <w:pPr>
        <w:rPr>
          <w:bCs/>
          <w:szCs w:val="24"/>
        </w:rPr>
      </w:pPr>
      <w:r>
        <w:rPr>
          <w:bCs/>
          <w:szCs w:val="24"/>
        </w:rPr>
        <w:tab/>
      </w:r>
    </w:p>
    <w:p w:rsidR="006C6FB4" w:rsidRDefault="0014101E" w:rsidP="00162AD1">
      <w:pPr>
        <w:rPr>
          <w:bCs/>
          <w:szCs w:val="24"/>
        </w:rPr>
      </w:pPr>
      <w:r>
        <w:rPr>
          <w:bCs/>
          <w:szCs w:val="24"/>
        </w:rPr>
        <w:tab/>
      </w:r>
      <w:r w:rsidR="00D576F1">
        <w:rPr>
          <w:bCs/>
          <w:szCs w:val="24"/>
        </w:rPr>
        <w:t>Jedną z głównych metod wykorzystujących cząsteczki specyficzne do określonej sekwencji DNA jest stosowanie sond oligonukleotydowych</w:t>
      </w:r>
      <w:r w:rsidR="00A03668">
        <w:rPr>
          <w:bCs/>
          <w:szCs w:val="24"/>
        </w:rPr>
        <w:t xml:space="preserve">. </w:t>
      </w:r>
      <w:r w:rsidR="00A85E5B">
        <w:rPr>
          <w:bCs/>
          <w:szCs w:val="24"/>
        </w:rPr>
        <w:t>D</w:t>
      </w:r>
      <w:r w:rsidR="00A03668">
        <w:rPr>
          <w:bCs/>
          <w:szCs w:val="24"/>
        </w:rPr>
        <w:t xml:space="preserve">użą popularnością cieszą się sondy TaqMan, </w:t>
      </w:r>
      <w:r w:rsidR="00AE45FA">
        <w:rPr>
          <w:bCs/>
          <w:szCs w:val="24"/>
        </w:rPr>
        <w:t>których mechanizm działania oparty jest na nukleolitycznym działaniu polimerazy DNA</w:t>
      </w:r>
      <w:r w:rsidR="00D576F1">
        <w:rPr>
          <w:bCs/>
          <w:szCs w:val="24"/>
        </w:rPr>
        <w:t>.</w:t>
      </w:r>
      <w:r w:rsidR="002172A7">
        <w:rPr>
          <w:bCs/>
          <w:szCs w:val="24"/>
        </w:rPr>
        <w:t xml:space="preserve"> </w:t>
      </w:r>
      <w:r w:rsidR="00A85E5B">
        <w:rPr>
          <w:bCs/>
          <w:szCs w:val="24"/>
        </w:rPr>
        <w:t>Cząsteczki te to zmodyfikowane chemicznie fragmenty DNA, w których na</w:t>
      </w:r>
      <w:r w:rsidR="002172A7">
        <w:rPr>
          <w:bCs/>
          <w:szCs w:val="24"/>
        </w:rPr>
        <w:t xml:space="preserve"> jednym końcu znajduje się </w:t>
      </w:r>
      <w:r w:rsidR="00A03668">
        <w:rPr>
          <w:bCs/>
          <w:szCs w:val="24"/>
        </w:rPr>
        <w:t xml:space="preserve">barwnik </w:t>
      </w:r>
      <w:r w:rsidR="00A85E5B">
        <w:rPr>
          <w:bCs/>
          <w:szCs w:val="24"/>
        </w:rPr>
        <w:t>reporterowy</w:t>
      </w:r>
      <w:r w:rsidR="00A03668">
        <w:rPr>
          <w:bCs/>
          <w:szCs w:val="24"/>
        </w:rPr>
        <w:t xml:space="preserve"> (FAM)</w:t>
      </w:r>
      <w:r w:rsidR="00A85E5B">
        <w:rPr>
          <w:bCs/>
          <w:szCs w:val="24"/>
        </w:rPr>
        <w:t>, będący</w:t>
      </w:r>
      <w:r w:rsidR="002172A7">
        <w:rPr>
          <w:bCs/>
          <w:szCs w:val="24"/>
        </w:rPr>
        <w:t xml:space="preserve"> </w:t>
      </w:r>
      <w:r w:rsidR="00B56DE8">
        <w:rPr>
          <w:bCs/>
          <w:szCs w:val="24"/>
        </w:rPr>
        <w:t>źródłem fluoresce</w:t>
      </w:r>
      <w:r w:rsidR="00A85E5B">
        <w:rPr>
          <w:bCs/>
          <w:szCs w:val="24"/>
        </w:rPr>
        <w:t xml:space="preserve">ncji, natomiast na drugim końcu </w:t>
      </w:r>
      <w:r w:rsidR="00B56DE8">
        <w:rPr>
          <w:bCs/>
          <w:szCs w:val="24"/>
        </w:rPr>
        <w:t xml:space="preserve">znajduje się </w:t>
      </w:r>
      <w:r w:rsidR="00A03668">
        <w:rPr>
          <w:bCs/>
          <w:szCs w:val="24"/>
        </w:rPr>
        <w:t>barwnik</w:t>
      </w:r>
      <w:r w:rsidR="00B56DE8">
        <w:rPr>
          <w:bCs/>
          <w:szCs w:val="24"/>
        </w:rPr>
        <w:t xml:space="preserve"> </w:t>
      </w:r>
      <w:r w:rsidR="00A85E5B">
        <w:rPr>
          <w:bCs/>
          <w:szCs w:val="24"/>
        </w:rPr>
        <w:t>tłumiący</w:t>
      </w:r>
      <w:r w:rsidR="00B56DE8">
        <w:rPr>
          <w:bCs/>
          <w:szCs w:val="24"/>
        </w:rPr>
        <w:t xml:space="preserve"> fluorescencję</w:t>
      </w:r>
      <w:r w:rsidR="00A03668">
        <w:rPr>
          <w:bCs/>
          <w:szCs w:val="24"/>
        </w:rPr>
        <w:t xml:space="preserve"> (TAMRA)</w:t>
      </w:r>
      <w:r w:rsidR="00B56DE8">
        <w:rPr>
          <w:bCs/>
          <w:szCs w:val="24"/>
        </w:rPr>
        <w:t>.</w:t>
      </w:r>
      <w:r w:rsidR="00D576F1">
        <w:rPr>
          <w:bCs/>
          <w:szCs w:val="24"/>
        </w:rPr>
        <w:t xml:space="preserve"> </w:t>
      </w:r>
      <w:r w:rsidR="004D5254">
        <w:rPr>
          <w:bCs/>
          <w:szCs w:val="24"/>
        </w:rPr>
        <w:t>Podczas reakcji PCR w każdym cyklu następuje denaturacja DNA, po której następuje przyłączanie się komplementarnych starterów</w:t>
      </w:r>
      <w:r w:rsidR="00CA4811">
        <w:rPr>
          <w:bCs/>
          <w:szCs w:val="24"/>
        </w:rPr>
        <w:t xml:space="preserve"> na końcach sekwencji, która ma być amplifikowana</w:t>
      </w:r>
      <w:r w:rsidR="004D5254">
        <w:rPr>
          <w:bCs/>
          <w:szCs w:val="24"/>
        </w:rPr>
        <w:t xml:space="preserve">. Jeżeli </w:t>
      </w:r>
      <w:r w:rsidR="00522197">
        <w:rPr>
          <w:bCs/>
          <w:szCs w:val="24"/>
        </w:rPr>
        <w:br/>
      </w:r>
      <w:r w:rsidR="004D5254">
        <w:rPr>
          <w:bCs/>
          <w:szCs w:val="24"/>
        </w:rPr>
        <w:lastRenderedPageBreak/>
        <w:t xml:space="preserve">w mieszaninie obecne są sondy oligonukleotydowe komplementarne do fragmentu sekwencji produktu, to </w:t>
      </w:r>
      <w:r w:rsidR="00724942">
        <w:rPr>
          <w:bCs/>
          <w:szCs w:val="24"/>
        </w:rPr>
        <w:t xml:space="preserve">będą one również przyłączać się do DNA próbki. </w:t>
      </w:r>
      <w:r w:rsidR="00CA4811">
        <w:rPr>
          <w:bCs/>
          <w:szCs w:val="24"/>
        </w:rPr>
        <w:t>W ostatnim etapie cyklu następuje wydłużenie starterów</w:t>
      </w:r>
      <w:r w:rsidR="005501E4">
        <w:rPr>
          <w:bCs/>
          <w:szCs w:val="24"/>
        </w:rPr>
        <w:t xml:space="preserve"> i synteza produktu za pomocą polimerazy DNA</w:t>
      </w:r>
      <w:r w:rsidR="00522197">
        <w:rPr>
          <w:bCs/>
          <w:szCs w:val="24"/>
        </w:rPr>
        <w:t>. Jeżeli</w:t>
      </w:r>
      <w:r w:rsidR="005501E4">
        <w:rPr>
          <w:bCs/>
          <w:szCs w:val="24"/>
        </w:rPr>
        <w:t xml:space="preserve"> do próbki przyłączona jest sonda oligonukleotydowa, zostanie ona rozerwana</w:t>
      </w:r>
      <w:r w:rsidR="00E67F6F">
        <w:rPr>
          <w:bCs/>
          <w:szCs w:val="24"/>
        </w:rPr>
        <w:t xml:space="preserve"> przez polimerazę DNA</w:t>
      </w:r>
      <w:r w:rsidR="009B0235">
        <w:rPr>
          <w:bCs/>
          <w:szCs w:val="24"/>
        </w:rPr>
        <w:t xml:space="preserve"> dzięki jej nukleolitycznej aktywności w kierunku 5’-3’</w:t>
      </w:r>
      <w:r w:rsidR="005501E4">
        <w:rPr>
          <w:bCs/>
          <w:szCs w:val="24"/>
        </w:rPr>
        <w:t xml:space="preserve">, a barwnik </w:t>
      </w:r>
      <w:r w:rsidR="00303B92">
        <w:rPr>
          <w:bCs/>
          <w:szCs w:val="24"/>
        </w:rPr>
        <w:t>reporterowy</w:t>
      </w:r>
      <w:r w:rsidR="005501E4">
        <w:rPr>
          <w:bCs/>
          <w:szCs w:val="24"/>
        </w:rPr>
        <w:t xml:space="preserve"> i cząsteczka wygaszająca fluorescencję zostaną rozdzielone, przez co możliw</w:t>
      </w:r>
      <w:r w:rsidR="00562590">
        <w:rPr>
          <w:bCs/>
          <w:szCs w:val="24"/>
        </w:rPr>
        <w:t>e</w:t>
      </w:r>
      <w:r w:rsidR="005501E4">
        <w:rPr>
          <w:bCs/>
          <w:szCs w:val="24"/>
        </w:rPr>
        <w:t xml:space="preserve"> będzie </w:t>
      </w:r>
      <w:r w:rsidR="00562590">
        <w:rPr>
          <w:bCs/>
          <w:szCs w:val="24"/>
        </w:rPr>
        <w:t>określenie poziomu</w:t>
      </w:r>
      <w:r w:rsidR="005501E4">
        <w:rPr>
          <w:bCs/>
          <w:szCs w:val="24"/>
        </w:rPr>
        <w:t xml:space="preserve"> fluorescencji pochodzącej od dokładnie określonego, specyficznego produktu</w:t>
      </w:r>
      <w:r w:rsidR="0065797A">
        <w:rPr>
          <w:bCs/>
          <w:szCs w:val="24"/>
        </w:rPr>
        <w:t xml:space="preserve"> [</w:t>
      </w:r>
      <w:r w:rsidR="00FB73F0">
        <w:rPr>
          <w:bCs/>
          <w:szCs w:val="24"/>
        </w:rPr>
        <w:t xml:space="preserve">3, </w:t>
      </w:r>
      <w:r w:rsidR="00342747">
        <w:rPr>
          <w:bCs/>
          <w:szCs w:val="24"/>
        </w:rPr>
        <w:t>5</w:t>
      </w:r>
      <w:r w:rsidR="00C674CF">
        <w:rPr>
          <w:bCs/>
          <w:szCs w:val="24"/>
        </w:rPr>
        <w:t>,</w:t>
      </w:r>
      <w:r w:rsidR="00D27478">
        <w:rPr>
          <w:bCs/>
          <w:szCs w:val="24"/>
        </w:rPr>
        <w:t xml:space="preserve"> </w:t>
      </w:r>
      <w:r w:rsidR="00B7419B">
        <w:rPr>
          <w:bCs/>
          <w:szCs w:val="24"/>
        </w:rPr>
        <w:t>6</w:t>
      </w:r>
      <w:r w:rsidR="0065797A">
        <w:rPr>
          <w:bCs/>
          <w:szCs w:val="24"/>
        </w:rPr>
        <w:t>]</w:t>
      </w:r>
      <w:r w:rsidR="005501E4">
        <w:rPr>
          <w:bCs/>
          <w:szCs w:val="24"/>
        </w:rPr>
        <w:t>.</w:t>
      </w: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FA01BC" w:rsidRDefault="00FA01BC" w:rsidP="00162AD1">
      <w:pPr>
        <w:rPr>
          <w:bCs/>
          <w:szCs w:val="24"/>
        </w:rPr>
      </w:pPr>
    </w:p>
    <w:p w:rsidR="00162AD1" w:rsidRPr="007B6B66" w:rsidRDefault="00162AD1" w:rsidP="00162AD1">
      <w:pPr>
        <w:pStyle w:val="Heading2"/>
        <w:rPr>
          <w:i w:val="0"/>
        </w:rPr>
      </w:pPr>
      <w:bookmarkStart w:id="11" w:name="_Toc471686414"/>
      <w:r w:rsidRPr="007B6B66">
        <w:rPr>
          <w:i w:val="0"/>
        </w:rPr>
        <w:lastRenderedPageBreak/>
        <w:t>2.</w:t>
      </w:r>
      <w:r w:rsidR="007B6B66">
        <w:rPr>
          <w:i w:val="0"/>
        </w:rPr>
        <w:t>2.2</w:t>
      </w:r>
      <w:r w:rsidRPr="007B6B66">
        <w:rPr>
          <w:i w:val="0"/>
        </w:rPr>
        <w:t xml:space="preserve"> Metody pomiaru poziomu ekspresji genów w eksperymencie real-time PCR</w:t>
      </w:r>
      <w:bookmarkEnd w:id="11"/>
    </w:p>
    <w:p w:rsidR="00162AD1" w:rsidRDefault="00162AD1" w:rsidP="00162AD1">
      <w:pPr>
        <w:ind w:firstLine="708"/>
        <w:rPr>
          <w:bCs/>
          <w:szCs w:val="24"/>
        </w:rPr>
      </w:pPr>
      <w:r>
        <w:rPr>
          <w:bCs/>
          <w:szCs w:val="24"/>
        </w:rPr>
        <w:t>W celu określenia poziomu ekspresji genów stosuje się dwa główne podejścia – metodę ilościową (absolutną) oraz względną (relatywną). Obie te metody wymagają innych procedur laboratoryjnych, mają różne zastosowania oraz wady i zalety. Wybór pomiędzy nimi zależy przede wszystkim od celu eksperymentu.</w:t>
      </w:r>
    </w:p>
    <w:p w:rsidR="00162AD1" w:rsidRDefault="00162AD1" w:rsidP="00162AD1">
      <w:pPr>
        <w:ind w:firstLine="708"/>
        <w:rPr>
          <w:bCs/>
          <w:szCs w:val="24"/>
        </w:rPr>
      </w:pPr>
    </w:p>
    <w:p w:rsidR="00162AD1" w:rsidRDefault="00162AD1" w:rsidP="00162AD1">
      <w:pPr>
        <w:ind w:firstLine="708"/>
        <w:rPr>
          <w:bCs/>
          <w:szCs w:val="24"/>
        </w:rPr>
      </w:pPr>
      <w:r>
        <w:rPr>
          <w:bCs/>
          <w:szCs w:val="24"/>
        </w:rPr>
        <w:t xml:space="preserve">Istotą metody absolutnej jest pomiar ilości na podstawie interpolacji danych z krzywej standardowej, która przedstawia zależność pomiędzy początkowym stężeniem próbki a wartością cyklu progowego. Krzywa standardową wyznacza się na podstawie znanych ilości produktu, którego rodzaj zależy od materiału badawczego i spodziewanej ilości próbki. Stosuje się m.in. rekombinowane plazmidowe DNA, genomowe DNA oraz produkty RT-PCR. </w:t>
      </w:r>
      <w:r>
        <w:rPr>
          <w:bCs/>
          <w:szCs w:val="24"/>
        </w:rPr>
        <w:br/>
      </w:r>
      <w:r w:rsidR="007640A4">
        <w:rPr>
          <w:bCs/>
          <w:szCs w:val="24"/>
        </w:rPr>
        <w:t xml:space="preserve">Zastosowanie tego podejścia wymaga założenia, iż wydajności wszystkich reakcji, na podstawie których wyznaczono krzywą, były </w:t>
      </w:r>
      <w:r w:rsidR="008F2C3F">
        <w:rPr>
          <w:bCs/>
          <w:szCs w:val="24"/>
        </w:rPr>
        <w:t>bardzo podobne</w:t>
      </w:r>
      <w:r w:rsidR="007640A4">
        <w:rPr>
          <w:bCs/>
          <w:szCs w:val="24"/>
        </w:rPr>
        <w:t xml:space="preserve">. </w:t>
      </w:r>
      <w:r>
        <w:rPr>
          <w:bCs/>
          <w:szCs w:val="24"/>
        </w:rPr>
        <w:t>W celu wykrycia możliwych inhibitorów reakcji PCR w próbie, związki te dodaje się również w określonej ilości do próby badanej w celu sprawdzenia, czy reakcja zachodzi prawidłowo. Zaletą tej metody jest możliwość dokładnego określenia ilości badanego materiału w określonych jednostkach (np. ng/</w:t>
      </w:r>
      <w:r w:rsidRPr="00656164">
        <w:rPr>
          <w:rFonts w:ascii="Arial" w:hAnsi="Arial" w:cs="Arial"/>
          <w:sz w:val="21"/>
          <w:szCs w:val="21"/>
          <w:shd w:val="clear" w:color="auto" w:fill="FFFFFF"/>
        </w:rPr>
        <w:t>μ</w:t>
      </w:r>
      <w:r>
        <w:rPr>
          <w:bCs/>
          <w:szCs w:val="24"/>
        </w:rPr>
        <w:t>l, liczba kopii), natomiast wadą konieczność stworzenia krzywych kalibracyjnych, których jakość zależy od poprawności procedury laboratoryjnej</w:t>
      </w:r>
      <w:r w:rsidR="008F2C3F">
        <w:rPr>
          <w:bCs/>
          <w:szCs w:val="24"/>
        </w:rPr>
        <w:t>, spełnienia założeń</w:t>
      </w:r>
      <w:r>
        <w:rPr>
          <w:bCs/>
          <w:szCs w:val="24"/>
        </w:rPr>
        <w:t xml:space="preserve"> oraz stosowanych związków</w:t>
      </w:r>
      <w:r w:rsidR="007640A4">
        <w:rPr>
          <w:bCs/>
          <w:szCs w:val="24"/>
        </w:rPr>
        <w:t xml:space="preserve"> [</w:t>
      </w:r>
      <w:r w:rsidR="00B7419B">
        <w:rPr>
          <w:bCs/>
          <w:szCs w:val="24"/>
        </w:rPr>
        <w:t>10</w:t>
      </w:r>
      <w:r w:rsidR="0008152C">
        <w:rPr>
          <w:bCs/>
          <w:szCs w:val="24"/>
        </w:rPr>
        <w:t xml:space="preserve">, </w:t>
      </w:r>
      <w:r w:rsidR="00B7419B">
        <w:rPr>
          <w:bCs/>
          <w:szCs w:val="24"/>
        </w:rPr>
        <w:t>11</w:t>
      </w:r>
      <w:r w:rsidR="007640A4">
        <w:rPr>
          <w:bCs/>
          <w:szCs w:val="24"/>
        </w:rPr>
        <w:t>]</w:t>
      </w:r>
      <w:r>
        <w:rPr>
          <w:bCs/>
          <w:szCs w:val="24"/>
        </w:rPr>
        <w:t>.</w:t>
      </w:r>
    </w:p>
    <w:p w:rsidR="00162AD1" w:rsidRDefault="00162AD1" w:rsidP="00162AD1">
      <w:pPr>
        <w:ind w:firstLine="708"/>
        <w:rPr>
          <w:bCs/>
          <w:szCs w:val="24"/>
        </w:rPr>
      </w:pPr>
    </w:p>
    <w:p w:rsidR="00162AD1" w:rsidRDefault="00162AD1" w:rsidP="00162AD1">
      <w:pPr>
        <w:ind w:firstLine="708"/>
        <w:rPr>
          <w:bCs/>
          <w:szCs w:val="24"/>
        </w:rPr>
      </w:pPr>
      <w:r>
        <w:rPr>
          <w:bCs/>
          <w:szCs w:val="24"/>
        </w:rPr>
        <w:t xml:space="preserve">Metoda względna opiera się na porównaniu ilości produktu pomiędzy dwoma próbkami – dla genu testowego oraz genu referencyjnego. Jako gen referencyjny stosuje się przede wszystkim geny </w:t>
      </w:r>
      <w:r>
        <w:rPr>
          <w:bCs/>
          <w:i/>
          <w:szCs w:val="24"/>
        </w:rPr>
        <w:t>house-keeping</w:t>
      </w:r>
      <w:r>
        <w:rPr>
          <w:bCs/>
          <w:szCs w:val="24"/>
        </w:rPr>
        <w:t xml:space="preserve"> (geny podstawowego metabolizmu), których ekspresja jest względnie stała w komórce. Pozwala to na określenie zmian ekspresji w komórce oraz jej zmian fizjologicznych. Istnieje kilka modeli matematycznych wykorzystywanych do obliczeń zmian ekspresji, które można podzielić na te, które zakładają wydajność przyłączania starterów oraz te,</w:t>
      </w:r>
      <w:r w:rsidR="00FA01BC">
        <w:rPr>
          <w:bCs/>
          <w:szCs w:val="24"/>
        </w:rPr>
        <w:t xml:space="preserve"> które wykorzystują rzeczywistą wydajność wyznaczoną na podstawie danych</w:t>
      </w:r>
      <w:r>
        <w:rPr>
          <w:bCs/>
          <w:szCs w:val="24"/>
        </w:rPr>
        <w:t xml:space="preserve"> </w:t>
      </w:r>
      <w:r w:rsidR="00FA01BC">
        <w:rPr>
          <w:bCs/>
          <w:szCs w:val="24"/>
        </w:rPr>
        <w:br/>
      </w:r>
      <w:r>
        <w:rPr>
          <w:bCs/>
          <w:szCs w:val="24"/>
        </w:rPr>
        <w:t xml:space="preserve">z eksperymentu. Zaletą tej metody jest brak konieczności sporządzania krzywych standardowych, jednakże ekspresja genów </w:t>
      </w:r>
      <w:r>
        <w:rPr>
          <w:bCs/>
          <w:i/>
          <w:szCs w:val="24"/>
        </w:rPr>
        <w:t xml:space="preserve">house-keeping </w:t>
      </w:r>
      <w:r>
        <w:rPr>
          <w:bCs/>
          <w:szCs w:val="24"/>
        </w:rPr>
        <w:t>może się różnić znacząco pomiędzy eksperymentami w zależności od warunków reakcji [</w:t>
      </w:r>
      <w:r w:rsidR="00342747">
        <w:rPr>
          <w:bCs/>
          <w:szCs w:val="24"/>
        </w:rPr>
        <w:t>5</w:t>
      </w:r>
      <w:r w:rsidR="00B7419B">
        <w:rPr>
          <w:bCs/>
          <w:szCs w:val="24"/>
        </w:rPr>
        <w:t>, 10</w:t>
      </w:r>
      <w:r>
        <w:rPr>
          <w:bCs/>
          <w:szCs w:val="24"/>
        </w:rPr>
        <w:t>].</w:t>
      </w:r>
    </w:p>
    <w:p w:rsidR="00162AD1" w:rsidRDefault="00162AD1" w:rsidP="00162AD1">
      <w:pPr>
        <w:ind w:firstLine="708"/>
        <w:rPr>
          <w:bCs/>
          <w:szCs w:val="24"/>
        </w:rPr>
      </w:pPr>
    </w:p>
    <w:p w:rsidR="006C6FB4" w:rsidRDefault="006C6FB4" w:rsidP="00F67FBF">
      <w:pPr>
        <w:rPr>
          <w:bCs/>
          <w:szCs w:val="24"/>
        </w:rPr>
      </w:pPr>
    </w:p>
    <w:p w:rsidR="00465E5E" w:rsidRDefault="00465E5E" w:rsidP="00593CB8">
      <w:pPr>
        <w:pStyle w:val="Heading2"/>
      </w:pPr>
      <w:bookmarkStart w:id="12" w:name="_Toc471686415"/>
      <w:r>
        <w:lastRenderedPageBreak/>
        <w:t>2.</w:t>
      </w:r>
      <w:r w:rsidR="002F48CA">
        <w:t>2.3</w:t>
      </w:r>
      <w:r>
        <w:t xml:space="preserve"> </w:t>
      </w:r>
      <w:r w:rsidR="00593CB8">
        <w:t>Metody obliczeń różnicy w poziomie ekspresji genów</w:t>
      </w:r>
      <w:bookmarkEnd w:id="12"/>
    </w:p>
    <w:p w:rsidR="00593CB8" w:rsidRPr="002F48CA" w:rsidRDefault="00593CB8" w:rsidP="00593CB8">
      <w:pPr>
        <w:pStyle w:val="Heading3"/>
        <w:ind w:left="0"/>
        <w:rPr>
          <w:bCs/>
          <w:sz w:val="26"/>
          <w:szCs w:val="26"/>
        </w:rPr>
      </w:pPr>
      <w:bookmarkStart w:id="13" w:name="_Toc471686416"/>
      <w:r w:rsidRPr="002F48CA">
        <w:rPr>
          <w:sz w:val="26"/>
          <w:szCs w:val="26"/>
        </w:rPr>
        <w:t>2.</w:t>
      </w:r>
      <w:r w:rsidR="002F48CA" w:rsidRPr="002F48CA">
        <w:rPr>
          <w:sz w:val="26"/>
          <w:szCs w:val="26"/>
        </w:rPr>
        <w:t>2</w:t>
      </w:r>
      <w:r w:rsidRPr="002F48CA">
        <w:rPr>
          <w:sz w:val="26"/>
          <w:szCs w:val="26"/>
        </w:rPr>
        <w:t>.</w:t>
      </w:r>
      <w:r w:rsidR="002F48CA" w:rsidRPr="002F48CA">
        <w:rPr>
          <w:sz w:val="26"/>
          <w:szCs w:val="26"/>
        </w:rPr>
        <w:t>3.1</w:t>
      </w:r>
      <w:r w:rsidRPr="002F48CA">
        <w:rPr>
          <w:sz w:val="26"/>
          <w:szCs w:val="26"/>
        </w:rPr>
        <w:t xml:space="preserve"> Metoda </w:t>
      </w:r>
      <w:r w:rsidRPr="002F48CA">
        <w:rPr>
          <w:bCs/>
          <w:sz w:val="26"/>
          <w:szCs w:val="26"/>
        </w:rPr>
        <w:t>ΔΔCt</w:t>
      </w:r>
      <w:bookmarkEnd w:id="13"/>
    </w:p>
    <w:p w:rsidR="00593CB8" w:rsidRDefault="003804B4" w:rsidP="00593CB8">
      <w:r>
        <w:tab/>
        <w:t>Jedną z popularniejszych metod służących do wyznaczania różnicy w ekspresji genów jest metoda komparatywna (</w:t>
      </w:r>
      <w:r w:rsidRPr="003804B4">
        <w:rPr>
          <w:b/>
          <w:bCs/>
        </w:rPr>
        <w:t>ΔΔ</w:t>
      </w:r>
      <w:r>
        <w:t xml:space="preserve">Ct). </w:t>
      </w:r>
      <w:r w:rsidR="00784F95">
        <w:t>Podejście to opiera się na stworzeniu krzywej standardowej na podstawie serii rozcieńczeń próby.</w:t>
      </w:r>
      <w:r w:rsidR="00CB3B6C">
        <w:t xml:space="preserve"> </w:t>
      </w:r>
      <w:r w:rsidR="008B3504">
        <w:t xml:space="preserve">Ważne jest, aby warunki, w których wykonuje się reakcję </w:t>
      </w:r>
      <w:r w:rsidR="00647880">
        <w:t>r</w:t>
      </w:r>
      <w:r w:rsidR="008B3504">
        <w:t>eal-time PCR w celu wykonania krzywej, były zbliżone do tych w reakcji dla próby badanej, a wydajności reakcji były podobne.</w:t>
      </w:r>
      <w:r w:rsidR="001A5822">
        <w:t xml:space="preserve"> Metoda ta wykorzystuje model matematyczny pozwalający na wyznaczenie różnicy pomiędzy próbą badaną a genem referencyjnym.</w:t>
      </w:r>
      <w:r w:rsidR="005345DE">
        <w:t xml:space="preserve"> </w:t>
      </w:r>
      <w:r w:rsidR="001463A4">
        <w:br/>
      </w:r>
      <w:r w:rsidR="005345DE">
        <w:t>W pierwszym etapie obliczeń dokonuje się normalizacji wartości Ct próby badanej względem genu referencyjnego.</w:t>
      </w:r>
      <w:r w:rsidR="00846008">
        <w:t xml:space="preserve"> </w:t>
      </w:r>
    </w:p>
    <w:p w:rsidR="00A247CA" w:rsidRDefault="00A247CA" w:rsidP="00593CB8"/>
    <w:tbl>
      <w:tblPr>
        <w:tblW w:w="0" w:type="auto"/>
        <w:tblInd w:w="108" w:type="dxa"/>
        <w:tblLook w:val="01E0" w:firstRow="1" w:lastRow="1" w:firstColumn="1" w:lastColumn="1" w:noHBand="0" w:noVBand="0"/>
      </w:tblPr>
      <w:tblGrid>
        <w:gridCol w:w="1067"/>
        <w:gridCol w:w="359"/>
        <w:gridCol w:w="6136"/>
        <w:gridCol w:w="1236"/>
      </w:tblGrid>
      <w:tr w:rsidR="00675859" w:rsidTr="00675859">
        <w:tc>
          <w:tcPr>
            <w:tcW w:w="7562" w:type="dxa"/>
            <w:gridSpan w:val="3"/>
            <w:vAlign w:val="center"/>
          </w:tcPr>
          <w:p w:rsidR="00675859" w:rsidRPr="00675859" w:rsidRDefault="00675859" w:rsidP="00675859">
            <w:pPr>
              <w:jc w:val="right"/>
            </w:pPr>
            <m:oMathPara>
              <m:oMath>
                <m:r>
                  <w:rPr>
                    <w:rFonts w:ascii="Cambria Math" w:hAnsi="Cambria Math"/>
                  </w:rPr>
                  <m:t>∆Ct=Ct</m:t>
                </m:r>
                <m:d>
                  <m:dPr>
                    <m:ctrlPr>
                      <w:rPr>
                        <w:rFonts w:ascii="Cambria Math" w:hAnsi="Cambria Math"/>
                        <w:i/>
                      </w:rPr>
                    </m:ctrlPr>
                  </m:dPr>
                  <m:e>
                    <m:r>
                      <w:rPr>
                        <w:rFonts w:ascii="Cambria Math" w:hAnsi="Cambria Math"/>
                      </w:rPr>
                      <m:t>gen</m:t>
                    </m:r>
                  </m:e>
                </m:d>
                <m:r>
                  <w:rPr>
                    <w:rFonts w:ascii="Cambria Math" w:hAnsi="Cambria Math"/>
                  </w:rPr>
                  <m:t>-Ct(ref)</m:t>
                </m:r>
              </m:oMath>
            </m:oMathPara>
          </w:p>
        </w:tc>
        <w:tc>
          <w:tcPr>
            <w:tcW w:w="1236" w:type="dxa"/>
            <w:vAlign w:val="center"/>
          </w:tcPr>
          <w:p w:rsidR="00675859" w:rsidRDefault="00675859" w:rsidP="00675859">
            <w:pPr>
              <w:jc w:val="center"/>
            </w:pPr>
            <w:r>
              <w:t>(</w:t>
            </w:r>
            <w:r>
              <w:t>1</w:t>
            </w:r>
            <w:r>
              <w:t>.1)</w:t>
            </w:r>
          </w:p>
        </w:tc>
      </w:tr>
      <w:tr w:rsidR="00675859" w:rsidTr="00675859">
        <w:tc>
          <w:tcPr>
            <w:tcW w:w="8798" w:type="dxa"/>
            <w:gridSpan w:val="4"/>
            <w:vAlign w:val="center"/>
          </w:tcPr>
          <w:p w:rsidR="00675859" w:rsidRDefault="00675859" w:rsidP="00030CB8">
            <w:pPr>
              <w:jc w:val="left"/>
            </w:pPr>
            <w:r>
              <w:rPr>
                <w:i/>
                <w:iCs/>
              </w:rPr>
              <w:t>gdzie:</w:t>
            </w:r>
          </w:p>
        </w:tc>
      </w:tr>
      <w:tr w:rsidR="00675859" w:rsidTr="00675859">
        <w:tc>
          <w:tcPr>
            <w:tcW w:w="1067" w:type="dxa"/>
            <w:vAlign w:val="center"/>
          </w:tcPr>
          <w:p w:rsidR="00675859" w:rsidRDefault="00675859" w:rsidP="00675859">
            <w:pPr>
              <w:jc w:val="left"/>
              <w:rPr>
                <w:i/>
                <w:iCs/>
              </w:rPr>
            </w:pPr>
            <m:oMathPara>
              <m:oMath>
                <m:r>
                  <w:rPr>
                    <w:rFonts w:ascii="Cambria Math" w:hAnsi="Cambria Math"/>
                  </w:rPr>
                  <m:t>∆Ct</m:t>
                </m:r>
              </m:oMath>
            </m:oMathPara>
          </w:p>
        </w:tc>
        <w:tc>
          <w:tcPr>
            <w:tcW w:w="359" w:type="dxa"/>
            <w:vAlign w:val="center"/>
          </w:tcPr>
          <w:p w:rsidR="00675859" w:rsidRDefault="00675859" w:rsidP="00675859">
            <w:pPr>
              <w:jc w:val="left"/>
              <w:rPr>
                <w:i/>
                <w:iCs/>
              </w:rPr>
            </w:pPr>
            <w:r>
              <w:rPr>
                <w:i/>
                <w:iCs/>
              </w:rPr>
              <w:t>–</w:t>
            </w:r>
          </w:p>
        </w:tc>
        <w:tc>
          <w:tcPr>
            <w:tcW w:w="7372" w:type="dxa"/>
            <w:gridSpan w:val="2"/>
            <w:vAlign w:val="center"/>
          </w:tcPr>
          <w:p w:rsidR="00675859" w:rsidRDefault="00675859" w:rsidP="00675859">
            <w:pPr>
              <w:jc w:val="left"/>
            </w:pPr>
            <w:r>
              <w:rPr>
                <w:i/>
                <w:iCs/>
              </w:rPr>
              <w:t>znormalizowana wartość dla kalibratora lub badanej próby,</w:t>
            </w:r>
          </w:p>
        </w:tc>
      </w:tr>
      <w:tr w:rsidR="00675859" w:rsidTr="00675859">
        <w:tc>
          <w:tcPr>
            <w:tcW w:w="1067" w:type="dxa"/>
            <w:vAlign w:val="center"/>
          </w:tcPr>
          <w:p w:rsidR="00675859" w:rsidRDefault="00675859" w:rsidP="00675859">
            <w:pPr>
              <w:jc w:val="left"/>
              <w:rPr>
                <w:i/>
                <w:iCs/>
              </w:rPr>
            </w:pPr>
            <m:oMathPara>
              <m:oMath>
                <m:r>
                  <w:rPr>
                    <w:rFonts w:ascii="Cambria Math" w:hAnsi="Cambria Math"/>
                  </w:rPr>
                  <m:t>Ct(gen)</m:t>
                </m:r>
              </m:oMath>
            </m:oMathPara>
          </w:p>
        </w:tc>
        <w:tc>
          <w:tcPr>
            <w:tcW w:w="359" w:type="dxa"/>
            <w:vAlign w:val="center"/>
          </w:tcPr>
          <w:p w:rsidR="00675859" w:rsidRDefault="00675859" w:rsidP="00675859">
            <w:pPr>
              <w:jc w:val="left"/>
              <w:rPr>
                <w:i/>
                <w:iCs/>
              </w:rPr>
            </w:pPr>
            <w:r>
              <w:rPr>
                <w:i/>
                <w:iCs/>
              </w:rPr>
              <w:t>–</w:t>
            </w:r>
          </w:p>
        </w:tc>
        <w:tc>
          <w:tcPr>
            <w:tcW w:w="7372" w:type="dxa"/>
            <w:gridSpan w:val="2"/>
            <w:vAlign w:val="center"/>
          </w:tcPr>
          <w:p w:rsidR="00675859" w:rsidRDefault="00675859" w:rsidP="00675859">
            <w:pPr>
              <w:jc w:val="left"/>
              <w:rPr>
                <w:i/>
                <w:iCs/>
              </w:rPr>
            </w:pPr>
            <w:r>
              <w:rPr>
                <w:i/>
                <w:iCs/>
              </w:rPr>
              <w:t>wartość Ct dla genu będącego obiektem badań,</w:t>
            </w:r>
          </w:p>
        </w:tc>
      </w:tr>
      <w:tr w:rsidR="00675859" w:rsidTr="00675859">
        <w:tc>
          <w:tcPr>
            <w:tcW w:w="1067" w:type="dxa"/>
            <w:vAlign w:val="center"/>
          </w:tcPr>
          <w:p w:rsidR="00675859" w:rsidRDefault="00675859" w:rsidP="00675859">
            <w:pPr>
              <w:jc w:val="left"/>
            </w:pPr>
            <m:oMathPara>
              <m:oMath>
                <m:r>
                  <w:rPr>
                    <w:rFonts w:ascii="Cambria Math" w:hAnsi="Cambria Math"/>
                  </w:rPr>
                  <m:t>Ct(ref)</m:t>
                </m:r>
              </m:oMath>
            </m:oMathPara>
          </w:p>
        </w:tc>
        <w:tc>
          <w:tcPr>
            <w:tcW w:w="359" w:type="dxa"/>
            <w:vAlign w:val="center"/>
          </w:tcPr>
          <w:p w:rsidR="00675859" w:rsidRDefault="00675859" w:rsidP="00675859">
            <w:pPr>
              <w:jc w:val="left"/>
              <w:rPr>
                <w:i/>
                <w:iCs/>
              </w:rPr>
            </w:pPr>
            <w:r>
              <w:rPr>
                <w:i/>
                <w:iCs/>
              </w:rPr>
              <w:t>–</w:t>
            </w:r>
          </w:p>
        </w:tc>
        <w:tc>
          <w:tcPr>
            <w:tcW w:w="7372" w:type="dxa"/>
            <w:gridSpan w:val="2"/>
            <w:vAlign w:val="center"/>
          </w:tcPr>
          <w:p w:rsidR="00675859" w:rsidRDefault="00675859" w:rsidP="00675859">
            <w:pPr>
              <w:jc w:val="left"/>
              <w:rPr>
                <w:i/>
                <w:iCs/>
              </w:rPr>
            </w:pPr>
            <w:r>
              <w:rPr>
                <w:i/>
                <w:iCs/>
              </w:rPr>
              <w:t>wartość Ct dla genu referencyjnego.</w:t>
            </w:r>
          </w:p>
        </w:tc>
      </w:tr>
    </w:tbl>
    <w:p w:rsidR="002138FA" w:rsidRDefault="002138FA" w:rsidP="00593CB8"/>
    <w:p w:rsidR="0059461D" w:rsidRDefault="002138FA" w:rsidP="00593CB8">
      <w:r>
        <w:t>W kolejnym etapie dokonuje się normalizacji wartości Ct każdej próby względem kalibratora według poniższego wzoru:</w:t>
      </w:r>
    </w:p>
    <w:p w:rsidR="0059461D" w:rsidRPr="0059461D" w:rsidRDefault="0059461D" w:rsidP="0059461D"/>
    <w:tbl>
      <w:tblPr>
        <w:tblW w:w="0" w:type="auto"/>
        <w:tblInd w:w="108" w:type="dxa"/>
        <w:tblLook w:val="01E0" w:firstRow="1" w:lastRow="1" w:firstColumn="1" w:lastColumn="1" w:noHBand="0" w:noVBand="0"/>
      </w:tblPr>
      <w:tblGrid>
        <w:gridCol w:w="1228"/>
        <w:gridCol w:w="358"/>
        <w:gridCol w:w="7212"/>
      </w:tblGrid>
      <w:tr w:rsidR="0059461D" w:rsidTr="00E434B9">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C227E1" w:rsidTr="00030CB8">
              <w:tc>
                <w:tcPr>
                  <w:tcW w:w="7562" w:type="dxa"/>
                  <w:vAlign w:val="center"/>
                </w:tcPr>
                <w:p w:rsidR="00C227E1" w:rsidRPr="00675859" w:rsidRDefault="00C227E1" w:rsidP="00C227E1">
                  <w:pPr>
                    <w:jc w:val="right"/>
                  </w:pPr>
                  <m:oMathPara>
                    <m:oMath>
                      <m:r>
                        <w:rPr>
                          <w:rFonts w:ascii="Cambria Math" w:hAnsi="Cambria Math"/>
                        </w:rPr>
                        <m:t>∆∆Ct=∆Ct</m:t>
                      </m:r>
                      <m:d>
                        <m:dPr>
                          <m:ctrlPr>
                            <w:rPr>
                              <w:rFonts w:ascii="Cambria Math" w:hAnsi="Cambria Math"/>
                              <w:i/>
                            </w:rPr>
                          </m:ctrlPr>
                        </m:dPr>
                        <m:e>
                          <m:r>
                            <w:rPr>
                              <w:rFonts w:ascii="Cambria Math" w:hAnsi="Cambria Math"/>
                            </w:rPr>
                            <m:t>test</m:t>
                          </m:r>
                        </m:e>
                      </m:d>
                      <m:r>
                        <w:rPr>
                          <w:rFonts w:ascii="Cambria Math" w:hAnsi="Cambria Math"/>
                        </w:rPr>
                        <m:t>-∆Ct(cal)</m:t>
                      </m:r>
                    </m:oMath>
                  </m:oMathPara>
                </w:p>
              </w:tc>
              <w:tc>
                <w:tcPr>
                  <w:tcW w:w="1236" w:type="dxa"/>
                  <w:vAlign w:val="center"/>
                </w:tcPr>
                <w:p w:rsidR="00C227E1" w:rsidRDefault="00C227E1" w:rsidP="00C227E1">
                  <w:pPr>
                    <w:jc w:val="center"/>
                  </w:pPr>
                  <w:r>
                    <w:t>(1.</w:t>
                  </w:r>
                  <w:r>
                    <w:t>2</w:t>
                  </w:r>
                  <w:r>
                    <w:t>)</w:t>
                  </w:r>
                </w:p>
              </w:tc>
            </w:tr>
          </w:tbl>
          <w:p w:rsidR="0059461D" w:rsidRDefault="0059461D" w:rsidP="00E434B9">
            <w:pPr>
              <w:jc w:val="left"/>
            </w:pPr>
            <w:r>
              <w:rPr>
                <w:i/>
                <w:iCs/>
              </w:rPr>
              <w:t>gdzie:</w:t>
            </w:r>
          </w:p>
        </w:tc>
      </w:tr>
      <w:tr w:rsidR="0059461D" w:rsidTr="00E434B9">
        <w:tc>
          <w:tcPr>
            <w:tcW w:w="1169" w:type="dxa"/>
            <w:vAlign w:val="center"/>
          </w:tcPr>
          <w:p w:rsidR="0059461D" w:rsidRDefault="0059461D" w:rsidP="00E434B9">
            <w:pPr>
              <w:jc w:val="left"/>
              <w:rPr>
                <w:i/>
                <w:iCs/>
              </w:rPr>
            </w:pPr>
            <m:oMathPara>
              <m:oMath>
                <m:r>
                  <w:rPr>
                    <w:rFonts w:ascii="Cambria Math" w:hAnsi="Cambria Math"/>
                  </w:rPr>
                  <m:t>∆∆Ct</m:t>
                </m:r>
              </m:oMath>
            </m:oMathPara>
          </w:p>
        </w:tc>
        <w:tc>
          <w:tcPr>
            <w:tcW w:w="358" w:type="dxa"/>
            <w:vAlign w:val="center"/>
          </w:tcPr>
          <w:p w:rsidR="0059461D" w:rsidRDefault="0059461D" w:rsidP="00E434B9">
            <w:pPr>
              <w:jc w:val="left"/>
              <w:rPr>
                <w:i/>
                <w:iCs/>
              </w:rPr>
            </w:pPr>
            <w:r>
              <w:rPr>
                <w:i/>
                <w:iCs/>
              </w:rPr>
              <w:t>–</w:t>
            </w:r>
          </w:p>
        </w:tc>
        <w:tc>
          <w:tcPr>
            <w:tcW w:w="7271" w:type="dxa"/>
            <w:vAlign w:val="center"/>
          </w:tcPr>
          <w:p w:rsidR="0059461D" w:rsidRDefault="0059461D" w:rsidP="0059461D">
            <w:pPr>
              <w:jc w:val="left"/>
            </w:pPr>
            <w:r>
              <w:rPr>
                <w:i/>
                <w:iCs/>
              </w:rPr>
              <w:t xml:space="preserve">różnica wartości </w:t>
            </w:r>
            <m:oMath>
              <m:r>
                <w:rPr>
                  <w:rFonts w:ascii="Cambria Math" w:hAnsi="Cambria Math"/>
                </w:rPr>
                <m:t>∆</m:t>
              </m:r>
            </m:oMath>
            <w:r>
              <w:rPr>
                <w:i/>
                <w:iCs/>
              </w:rPr>
              <w:t>Ct badanej próby i kalibratora,</w:t>
            </w:r>
          </w:p>
        </w:tc>
      </w:tr>
      <w:tr w:rsidR="0059461D" w:rsidTr="00E434B9">
        <w:tc>
          <w:tcPr>
            <w:tcW w:w="1169" w:type="dxa"/>
            <w:vAlign w:val="center"/>
          </w:tcPr>
          <w:p w:rsidR="0059461D" w:rsidRDefault="0059461D" w:rsidP="00E434B9">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rsidR="0059461D" w:rsidRDefault="0059461D" w:rsidP="00E434B9">
            <w:pPr>
              <w:jc w:val="left"/>
              <w:rPr>
                <w:i/>
                <w:iCs/>
              </w:rPr>
            </w:pPr>
            <w:r>
              <w:rPr>
                <w:i/>
                <w:iCs/>
              </w:rPr>
              <w:t>–</w:t>
            </w:r>
          </w:p>
        </w:tc>
        <w:tc>
          <w:tcPr>
            <w:tcW w:w="7271" w:type="dxa"/>
            <w:vAlign w:val="center"/>
          </w:tcPr>
          <w:p w:rsidR="0059461D" w:rsidRDefault="0059461D" w:rsidP="00E434B9">
            <w:pPr>
              <w:jc w:val="left"/>
              <w:rPr>
                <w:i/>
                <w:iCs/>
              </w:rPr>
            </w:pPr>
            <w:r>
              <w:rPr>
                <w:i/>
                <w:iCs/>
              </w:rPr>
              <w:t xml:space="preserve">wartość </w:t>
            </w:r>
            <m:oMath>
              <m:r>
                <w:rPr>
                  <w:rFonts w:ascii="Cambria Math" w:hAnsi="Cambria Math"/>
                </w:rPr>
                <m:t>∆</m:t>
              </m:r>
            </m:oMath>
            <w:r>
              <w:rPr>
                <w:i/>
                <w:iCs/>
              </w:rPr>
              <w:t>Ct dla kalibratora,</w:t>
            </w:r>
          </w:p>
        </w:tc>
      </w:tr>
      <w:tr w:rsidR="0059461D" w:rsidTr="00E434B9">
        <w:tc>
          <w:tcPr>
            <w:tcW w:w="1169" w:type="dxa"/>
            <w:vAlign w:val="center"/>
          </w:tcPr>
          <w:p w:rsidR="0059461D" w:rsidRDefault="0059461D" w:rsidP="00E434B9">
            <w:pPr>
              <w:jc w:val="left"/>
            </w:pPr>
            <m:oMathPara>
              <m:oMath>
                <m:r>
                  <w:rPr>
                    <w:rFonts w:ascii="Cambria Math" w:hAnsi="Cambria Math"/>
                  </w:rPr>
                  <m:t>∆Ct(test)</m:t>
                </m:r>
              </m:oMath>
            </m:oMathPara>
          </w:p>
        </w:tc>
        <w:tc>
          <w:tcPr>
            <w:tcW w:w="358" w:type="dxa"/>
            <w:vAlign w:val="center"/>
          </w:tcPr>
          <w:p w:rsidR="0059461D" w:rsidRDefault="0059461D" w:rsidP="00E434B9">
            <w:pPr>
              <w:jc w:val="left"/>
              <w:rPr>
                <w:i/>
                <w:iCs/>
              </w:rPr>
            </w:pPr>
            <w:r>
              <w:rPr>
                <w:i/>
                <w:iCs/>
              </w:rPr>
              <w:t>–</w:t>
            </w:r>
          </w:p>
        </w:tc>
        <w:tc>
          <w:tcPr>
            <w:tcW w:w="7271" w:type="dxa"/>
            <w:vAlign w:val="center"/>
          </w:tcPr>
          <w:p w:rsidR="0059461D" w:rsidRDefault="0059461D" w:rsidP="00E434B9">
            <w:pPr>
              <w:jc w:val="left"/>
              <w:rPr>
                <w:i/>
                <w:iCs/>
              </w:rPr>
            </w:pPr>
            <w:r>
              <w:rPr>
                <w:i/>
                <w:iCs/>
              </w:rPr>
              <w:t xml:space="preserve">wartość </w:t>
            </w:r>
            <m:oMath>
              <m:r>
                <w:rPr>
                  <w:rFonts w:ascii="Cambria Math" w:hAnsi="Cambria Math"/>
                </w:rPr>
                <m:t>∆</m:t>
              </m:r>
            </m:oMath>
            <w:r>
              <w:rPr>
                <w:i/>
                <w:iCs/>
              </w:rPr>
              <w:t>Ct dla badanej próby.</w:t>
            </w:r>
          </w:p>
        </w:tc>
      </w:tr>
    </w:tbl>
    <w:p w:rsidR="0059461D" w:rsidRDefault="0059461D" w:rsidP="0059461D"/>
    <w:p w:rsidR="0059461D" w:rsidRDefault="0059461D" w:rsidP="0059461D">
      <w:r>
        <w:t xml:space="preserve">W ostatnim etapie obliczeń wyznacza się </w:t>
      </w:r>
      <w:r w:rsidR="00E776B5">
        <w:t xml:space="preserve">stosunek </w:t>
      </w:r>
      <w:r>
        <w:t>ekspresji badanej próby względem kalibratora</w:t>
      </w:r>
      <w:r w:rsidR="00DD3287">
        <w:t xml:space="preserve"> [</w:t>
      </w:r>
      <w:r w:rsidR="00C644F1">
        <w:t>4, 9</w:t>
      </w:r>
      <w:r w:rsidR="00C674CF">
        <w:t>]</w:t>
      </w:r>
      <w:r>
        <w:t>:</w:t>
      </w:r>
    </w:p>
    <w:p w:rsidR="0059461D" w:rsidRPr="00E776B5" w:rsidRDefault="0059461D" w:rsidP="0059461D"/>
    <w:tbl>
      <w:tblPr>
        <w:tblW w:w="0" w:type="auto"/>
        <w:tblInd w:w="108" w:type="dxa"/>
        <w:tblLook w:val="01E0" w:firstRow="1" w:lastRow="1" w:firstColumn="1" w:lastColumn="1" w:noHBand="0" w:noVBand="0"/>
      </w:tblPr>
      <w:tblGrid>
        <w:gridCol w:w="1228"/>
        <w:gridCol w:w="358"/>
        <w:gridCol w:w="7212"/>
      </w:tblGrid>
      <w:tr w:rsidR="00E776B5" w:rsidTr="00E434B9">
        <w:tc>
          <w:tcPr>
            <w:tcW w:w="8798" w:type="dxa"/>
            <w:gridSpan w:val="3"/>
            <w:vAlign w:val="center"/>
          </w:tcPr>
          <w:tbl>
            <w:tblPr>
              <w:tblW w:w="0" w:type="auto"/>
              <w:tblInd w:w="108" w:type="dxa"/>
              <w:tblLook w:val="01E0" w:firstRow="1" w:lastRow="1" w:firstColumn="1" w:lastColumn="1" w:noHBand="0" w:noVBand="0"/>
            </w:tblPr>
            <w:tblGrid>
              <w:gridCol w:w="7264"/>
              <w:gridCol w:w="1210"/>
            </w:tblGrid>
            <w:tr w:rsidR="00C227E1" w:rsidTr="00030CB8">
              <w:tc>
                <w:tcPr>
                  <w:tcW w:w="7562" w:type="dxa"/>
                  <w:vAlign w:val="center"/>
                </w:tcPr>
                <w:p w:rsidR="00C227E1" w:rsidRPr="00675859" w:rsidRDefault="00C227E1" w:rsidP="00C227E1">
                  <w:pPr>
                    <w:jc w:val="right"/>
                  </w:pPr>
                  <m:oMathPara>
                    <m:oMath>
                      <m:r>
                        <w:rPr>
                          <w:rFonts w:ascii="Cambria Math" w:hAnsi="Cambria Math"/>
                        </w:rPr>
                        <m:t xml:space="preserve">Różnica= </m:t>
                      </m:r>
                      <m:sSup>
                        <m:sSupPr>
                          <m:ctrlPr>
                            <w:rPr>
                              <w:rFonts w:ascii="Cambria Math" w:hAnsi="Cambria Math"/>
                              <w:i/>
                            </w:rPr>
                          </m:ctrlPr>
                        </m:sSupPr>
                        <m:e>
                          <m:r>
                            <w:rPr>
                              <w:rFonts w:ascii="Cambria Math" w:hAnsi="Cambria Math"/>
                            </w:rPr>
                            <m:t>2</m:t>
                          </m:r>
                        </m:e>
                        <m:sup>
                          <m:r>
                            <w:rPr>
                              <w:rFonts w:ascii="Cambria Math" w:hAnsi="Cambria Math"/>
                            </w:rPr>
                            <m:t>-∆∆Ct</m:t>
                          </m:r>
                        </m:sup>
                      </m:sSup>
                    </m:oMath>
                  </m:oMathPara>
                </w:p>
              </w:tc>
              <w:tc>
                <w:tcPr>
                  <w:tcW w:w="1236" w:type="dxa"/>
                  <w:vAlign w:val="center"/>
                </w:tcPr>
                <w:p w:rsidR="00C227E1" w:rsidRDefault="00C227E1" w:rsidP="00C227E1">
                  <w:pPr>
                    <w:jc w:val="center"/>
                  </w:pPr>
                  <w:r>
                    <w:t>(1.</w:t>
                  </w:r>
                  <w:r>
                    <w:t>3</w:t>
                  </w:r>
                  <w:r>
                    <w:t>)</w:t>
                  </w:r>
                </w:p>
              </w:tc>
            </w:tr>
          </w:tbl>
          <w:p w:rsidR="00E776B5" w:rsidRDefault="00C227E1" w:rsidP="00E434B9">
            <w:pPr>
              <w:jc w:val="left"/>
            </w:pPr>
            <w:r>
              <w:rPr>
                <w:i/>
                <w:iCs/>
              </w:rPr>
              <w:t>gdzie:</w:t>
            </w:r>
          </w:p>
        </w:tc>
      </w:tr>
      <w:tr w:rsidR="00E776B5" w:rsidTr="00E776B5">
        <w:tc>
          <w:tcPr>
            <w:tcW w:w="1228" w:type="dxa"/>
            <w:vAlign w:val="center"/>
          </w:tcPr>
          <w:p w:rsidR="00E776B5" w:rsidRDefault="00E776B5" w:rsidP="00E434B9">
            <w:pPr>
              <w:jc w:val="left"/>
              <w:rPr>
                <w:i/>
                <w:iCs/>
              </w:rPr>
            </w:pPr>
            <m:oMathPara>
              <m:oMath>
                <m:r>
                  <w:rPr>
                    <w:rFonts w:ascii="Cambria Math" w:hAnsi="Cambria Math"/>
                  </w:rPr>
                  <m:t>∆∆Ct</m:t>
                </m:r>
              </m:oMath>
            </m:oMathPara>
          </w:p>
        </w:tc>
        <w:tc>
          <w:tcPr>
            <w:tcW w:w="358" w:type="dxa"/>
            <w:vAlign w:val="center"/>
          </w:tcPr>
          <w:p w:rsidR="00E776B5" w:rsidRDefault="00E776B5" w:rsidP="00E434B9">
            <w:pPr>
              <w:jc w:val="left"/>
              <w:rPr>
                <w:i/>
                <w:iCs/>
              </w:rPr>
            </w:pPr>
            <w:r>
              <w:rPr>
                <w:i/>
                <w:iCs/>
              </w:rPr>
              <w:t>–</w:t>
            </w:r>
          </w:p>
        </w:tc>
        <w:tc>
          <w:tcPr>
            <w:tcW w:w="7212" w:type="dxa"/>
            <w:vAlign w:val="center"/>
          </w:tcPr>
          <w:p w:rsidR="00E776B5" w:rsidRDefault="00E776B5" w:rsidP="00E434B9">
            <w:pPr>
              <w:jc w:val="left"/>
            </w:pPr>
            <w:r>
              <w:rPr>
                <w:i/>
                <w:iCs/>
              </w:rPr>
              <w:t xml:space="preserve">różnica wartości </w:t>
            </w:r>
            <m:oMath>
              <m:r>
                <w:rPr>
                  <w:rFonts w:ascii="Cambria Math" w:hAnsi="Cambria Math"/>
                </w:rPr>
                <m:t>∆</m:t>
              </m:r>
            </m:oMath>
            <w:r>
              <w:rPr>
                <w:i/>
                <w:iCs/>
              </w:rPr>
              <w:t>Ct badanej próby i kalibratora.</w:t>
            </w:r>
          </w:p>
        </w:tc>
      </w:tr>
    </w:tbl>
    <w:p w:rsidR="00353F35" w:rsidRPr="002F48CA" w:rsidRDefault="00324911" w:rsidP="00593CB8">
      <w:pPr>
        <w:pStyle w:val="Heading3"/>
        <w:ind w:left="0"/>
        <w:rPr>
          <w:sz w:val="26"/>
          <w:szCs w:val="26"/>
        </w:rPr>
      </w:pPr>
      <w:bookmarkStart w:id="14" w:name="_Toc471686417"/>
      <w:r w:rsidRPr="002F48CA">
        <w:rPr>
          <w:sz w:val="26"/>
          <w:szCs w:val="26"/>
        </w:rPr>
        <w:lastRenderedPageBreak/>
        <w:t>2</w:t>
      </w:r>
      <w:r w:rsidR="00353F35" w:rsidRPr="002F48CA">
        <w:rPr>
          <w:sz w:val="26"/>
          <w:szCs w:val="26"/>
        </w:rPr>
        <w:t>.</w:t>
      </w:r>
      <w:r w:rsidR="002F48CA" w:rsidRPr="002F48CA">
        <w:rPr>
          <w:sz w:val="26"/>
          <w:szCs w:val="26"/>
        </w:rPr>
        <w:t>2</w:t>
      </w:r>
      <w:r w:rsidR="00593CB8" w:rsidRPr="002F48CA">
        <w:rPr>
          <w:sz w:val="26"/>
          <w:szCs w:val="26"/>
        </w:rPr>
        <w:t>.</w:t>
      </w:r>
      <w:r w:rsidR="002F48CA" w:rsidRPr="002F48CA">
        <w:rPr>
          <w:sz w:val="26"/>
          <w:szCs w:val="26"/>
        </w:rPr>
        <w:t>3.2</w:t>
      </w:r>
      <w:r w:rsidR="00353F35" w:rsidRPr="002F48CA">
        <w:rPr>
          <w:sz w:val="26"/>
          <w:szCs w:val="26"/>
        </w:rPr>
        <w:t xml:space="preserve"> Metoda Pfaffl</w:t>
      </w:r>
      <w:bookmarkEnd w:id="14"/>
    </w:p>
    <w:p w:rsidR="00353F35" w:rsidRDefault="003804B4" w:rsidP="004150E1">
      <w:pPr>
        <w:ind w:firstLine="708"/>
      </w:pPr>
      <w:r>
        <w:t>Kolejną</w:t>
      </w:r>
      <w:r w:rsidR="00353F35">
        <w:t xml:space="preserve"> z metod obliczeniowych wykorzystywanych we względnej analizie ekspresji genów jest metoda Pfaffl. Jej zastosowanie wykorzystuje efektywność przyłączania starterów w obliczeniach, przez co nie ma konieczności osiągnięcia wysokich wydajności w rzeczywistym eksperymencie. Część etapów obliczeń tej metody powtarza się w innych sposobach obliczeń, jednakże główną różnicą jest właśnie wykorzystanie rzeczywistej wydajności. Aby wyznaczyć zmiany w ekspresji genów potrzebne są 4 wartości Ct, a mianowicie wartości testowe i kontrolne dla genu będącego obiektem badań i genu referencyjnego. W pierwszej części obliczeń dochodzi do normalizacji wartości Ct kalibratora względem wartości Ct próby testowej zgodnie z poniższym wzorem:</w:t>
      </w:r>
    </w:p>
    <w:p w:rsidR="00353F35" w:rsidRDefault="00353F35" w:rsidP="00353F35">
      <w:r>
        <w:t xml:space="preserve"> </w:t>
      </w:r>
    </w:p>
    <w:tbl>
      <w:tblPr>
        <w:tblW w:w="0" w:type="auto"/>
        <w:tblInd w:w="108" w:type="dxa"/>
        <w:tblLook w:val="01E0" w:firstRow="1" w:lastRow="1" w:firstColumn="1" w:lastColumn="1" w:noHBand="0" w:noVBand="0"/>
      </w:tblPr>
      <w:tblGrid>
        <w:gridCol w:w="1169"/>
        <w:gridCol w:w="358"/>
        <w:gridCol w:w="7271"/>
      </w:tblGrid>
      <w:tr w:rsidR="00353F35" w:rsidTr="00A247CA">
        <w:tc>
          <w:tcPr>
            <w:tcW w:w="8798" w:type="dxa"/>
            <w:gridSpan w:val="3"/>
            <w:vAlign w:val="center"/>
          </w:tcPr>
          <w:tbl>
            <w:tblPr>
              <w:tblW w:w="0" w:type="auto"/>
              <w:tblInd w:w="108" w:type="dxa"/>
              <w:tblLook w:val="01E0" w:firstRow="1" w:lastRow="1" w:firstColumn="1" w:lastColumn="1" w:noHBand="0" w:noVBand="0"/>
            </w:tblPr>
            <w:tblGrid>
              <w:gridCol w:w="7265"/>
              <w:gridCol w:w="1209"/>
            </w:tblGrid>
            <w:tr w:rsidR="00516B3C" w:rsidTr="00030CB8">
              <w:tc>
                <w:tcPr>
                  <w:tcW w:w="7562" w:type="dxa"/>
                  <w:vAlign w:val="center"/>
                </w:tcPr>
                <w:p w:rsidR="00516B3C" w:rsidRPr="00675859" w:rsidRDefault="00516B3C" w:rsidP="00516B3C">
                  <m:oMathPara>
                    <m:oMath>
                      <m:r>
                        <w:rPr>
                          <w:rFonts w:ascii="Cambria Math" w:hAnsi="Cambria Math"/>
                        </w:rPr>
                        <m:t>∆Ct=Ct</m:t>
                      </m:r>
                      <m:d>
                        <m:dPr>
                          <m:ctrlPr>
                            <w:rPr>
                              <w:rFonts w:ascii="Cambria Math" w:hAnsi="Cambria Math"/>
                              <w:i/>
                            </w:rPr>
                          </m:ctrlPr>
                        </m:dPr>
                        <m:e>
                          <m:r>
                            <w:rPr>
                              <w:rFonts w:ascii="Cambria Math" w:hAnsi="Cambria Math"/>
                            </w:rPr>
                            <m:t>cal</m:t>
                          </m:r>
                        </m:e>
                      </m:d>
                      <m:r>
                        <w:rPr>
                          <w:rFonts w:ascii="Cambria Math" w:hAnsi="Cambria Math"/>
                        </w:rPr>
                        <m:t>-Ct(test)</m:t>
                      </m:r>
                    </m:oMath>
                  </m:oMathPara>
                </w:p>
              </w:tc>
              <w:tc>
                <w:tcPr>
                  <w:tcW w:w="1236" w:type="dxa"/>
                  <w:vAlign w:val="center"/>
                </w:tcPr>
                <w:p w:rsidR="00516B3C" w:rsidRDefault="00516B3C" w:rsidP="00516B3C">
                  <w:pPr>
                    <w:jc w:val="center"/>
                  </w:pPr>
                  <w:r>
                    <w:t>(</w:t>
                  </w:r>
                  <w:r>
                    <w:t>2.1</w:t>
                  </w:r>
                  <w:r>
                    <w:t>)</w:t>
                  </w:r>
                </w:p>
              </w:tc>
            </w:tr>
          </w:tbl>
          <w:p w:rsidR="00353F35" w:rsidRDefault="00516B3C" w:rsidP="00A247CA">
            <w:pPr>
              <w:jc w:val="left"/>
            </w:pPr>
            <w:r>
              <w:rPr>
                <w:i/>
                <w:iCs/>
              </w:rPr>
              <w:t>gdzie:</w:t>
            </w:r>
          </w:p>
        </w:tc>
      </w:tr>
      <w:tr w:rsidR="00353F35" w:rsidTr="00A247CA">
        <w:tc>
          <w:tcPr>
            <w:tcW w:w="1169" w:type="dxa"/>
            <w:vAlign w:val="center"/>
          </w:tcPr>
          <w:p w:rsidR="00353F35" w:rsidRDefault="00353F35" w:rsidP="00A247CA">
            <w:pPr>
              <w:jc w:val="left"/>
              <w:rPr>
                <w:i/>
                <w:iCs/>
              </w:rPr>
            </w:pPr>
            <m:oMathPara>
              <m:oMath>
                <m:r>
                  <w:rPr>
                    <w:rFonts w:ascii="Cambria Math" w:hAnsi="Cambria Math"/>
                  </w:rPr>
                  <m:t>∆Ct</m:t>
                </m:r>
              </m:oMath>
            </m:oMathPara>
          </w:p>
        </w:tc>
        <w:tc>
          <w:tcPr>
            <w:tcW w:w="358" w:type="dxa"/>
            <w:vAlign w:val="center"/>
          </w:tcPr>
          <w:p w:rsidR="00353F35" w:rsidRDefault="00353F35" w:rsidP="00A247CA">
            <w:pPr>
              <w:jc w:val="left"/>
              <w:rPr>
                <w:i/>
                <w:iCs/>
              </w:rPr>
            </w:pPr>
            <w:r>
              <w:rPr>
                <w:i/>
                <w:iCs/>
              </w:rPr>
              <w:t>–</w:t>
            </w:r>
          </w:p>
        </w:tc>
        <w:tc>
          <w:tcPr>
            <w:tcW w:w="7271" w:type="dxa"/>
            <w:vAlign w:val="center"/>
          </w:tcPr>
          <w:p w:rsidR="00353F35" w:rsidRDefault="00353F35" w:rsidP="00A247CA">
            <w:pPr>
              <w:jc w:val="left"/>
            </w:pPr>
            <w:r>
              <w:rPr>
                <w:i/>
                <w:iCs/>
              </w:rPr>
              <w:t>znormalizowana wartość dla genu docelowego lub referencyjnego,</w:t>
            </w:r>
          </w:p>
        </w:tc>
      </w:tr>
      <w:tr w:rsidR="00353F35" w:rsidTr="00A247CA">
        <w:tc>
          <w:tcPr>
            <w:tcW w:w="1169" w:type="dxa"/>
            <w:vAlign w:val="center"/>
          </w:tcPr>
          <w:p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cal</m:t>
                    </m:r>
                  </m:e>
                </m:d>
              </m:oMath>
            </m:oMathPara>
          </w:p>
        </w:tc>
        <w:tc>
          <w:tcPr>
            <w:tcW w:w="358" w:type="dxa"/>
            <w:vAlign w:val="center"/>
          </w:tcPr>
          <w:p w:rsidR="00353F35" w:rsidRDefault="00353F35" w:rsidP="00A247CA">
            <w:pPr>
              <w:jc w:val="left"/>
              <w:rPr>
                <w:i/>
                <w:iCs/>
              </w:rPr>
            </w:pPr>
            <w:r>
              <w:rPr>
                <w:i/>
                <w:iCs/>
              </w:rPr>
              <w:t>–</w:t>
            </w:r>
          </w:p>
        </w:tc>
        <w:tc>
          <w:tcPr>
            <w:tcW w:w="7271" w:type="dxa"/>
            <w:vAlign w:val="center"/>
          </w:tcPr>
          <w:p w:rsidR="00353F35" w:rsidRDefault="00353F35" w:rsidP="00A247CA">
            <w:pPr>
              <w:jc w:val="left"/>
              <w:rPr>
                <w:i/>
                <w:iCs/>
              </w:rPr>
            </w:pPr>
            <w:r>
              <w:rPr>
                <w:i/>
                <w:iCs/>
              </w:rPr>
              <w:t>wartość Ct dla kalibratora,</w:t>
            </w:r>
          </w:p>
        </w:tc>
      </w:tr>
      <w:tr w:rsidR="00353F35" w:rsidTr="00A247CA">
        <w:tc>
          <w:tcPr>
            <w:tcW w:w="1169" w:type="dxa"/>
            <w:vAlign w:val="center"/>
          </w:tcPr>
          <w:p w:rsidR="00353F35" w:rsidRDefault="00353F35" w:rsidP="00A247CA">
            <w:pPr>
              <w:jc w:val="left"/>
            </w:pPr>
            <m:oMathPara>
              <m:oMath>
                <m:r>
                  <w:rPr>
                    <w:rFonts w:ascii="Cambria Math" w:hAnsi="Cambria Math"/>
                  </w:rPr>
                  <m:t>Ct(test)</m:t>
                </m:r>
              </m:oMath>
            </m:oMathPara>
          </w:p>
        </w:tc>
        <w:tc>
          <w:tcPr>
            <w:tcW w:w="358" w:type="dxa"/>
            <w:vAlign w:val="center"/>
          </w:tcPr>
          <w:p w:rsidR="00353F35" w:rsidRDefault="00353F35" w:rsidP="00A247CA">
            <w:pPr>
              <w:jc w:val="left"/>
              <w:rPr>
                <w:i/>
                <w:iCs/>
              </w:rPr>
            </w:pPr>
            <w:r>
              <w:rPr>
                <w:i/>
                <w:iCs/>
              </w:rPr>
              <w:t>–</w:t>
            </w:r>
          </w:p>
        </w:tc>
        <w:tc>
          <w:tcPr>
            <w:tcW w:w="7271" w:type="dxa"/>
            <w:vAlign w:val="center"/>
          </w:tcPr>
          <w:p w:rsidR="00353F35" w:rsidRDefault="009B6D98" w:rsidP="009B6D98">
            <w:pPr>
              <w:jc w:val="left"/>
              <w:rPr>
                <w:i/>
                <w:iCs/>
              </w:rPr>
            </w:pPr>
            <w:r>
              <w:rPr>
                <w:i/>
                <w:iCs/>
              </w:rPr>
              <w:t>wartość Ct dla</w:t>
            </w:r>
            <w:r w:rsidR="00353F35">
              <w:rPr>
                <w:i/>
                <w:iCs/>
              </w:rPr>
              <w:t xml:space="preserve"> </w:t>
            </w:r>
            <w:r>
              <w:rPr>
                <w:i/>
                <w:iCs/>
              </w:rPr>
              <w:t>badanej próby</w:t>
            </w:r>
            <w:r w:rsidR="00353F35">
              <w:rPr>
                <w:i/>
                <w:iCs/>
              </w:rPr>
              <w:t>.</w:t>
            </w:r>
          </w:p>
        </w:tc>
      </w:tr>
    </w:tbl>
    <w:p w:rsidR="00353F35" w:rsidRDefault="00353F35" w:rsidP="00353F35"/>
    <w:p w:rsidR="00353F35" w:rsidRDefault="00353F35" w:rsidP="00353F35">
      <w:r>
        <w:t>W drugim etapie wyznacza się różnicę w ekspresji genów wykorzystując poniższą formułę:</w:t>
      </w:r>
    </w:p>
    <w:p w:rsidR="00353F35" w:rsidRDefault="00353F35" w:rsidP="00353F35"/>
    <w:tbl>
      <w:tblPr>
        <w:tblW w:w="0" w:type="auto"/>
        <w:tblInd w:w="108" w:type="dxa"/>
        <w:tblLook w:val="01E0" w:firstRow="1" w:lastRow="1" w:firstColumn="1" w:lastColumn="1" w:noHBand="0" w:noVBand="0"/>
      </w:tblPr>
      <w:tblGrid>
        <w:gridCol w:w="1210"/>
        <w:gridCol w:w="358"/>
        <w:gridCol w:w="7230"/>
      </w:tblGrid>
      <w:tr w:rsidR="00353F35" w:rsidTr="00A247CA">
        <w:tc>
          <w:tcPr>
            <w:tcW w:w="8798" w:type="dxa"/>
            <w:gridSpan w:val="3"/>
            <w:vAlign w:val="center"/>
          </w:tcPr>
          <w:tbl>
            <w:tblPr>
              <w:tblW w:w="0" w:type="auto"/>
              <w:tblInd w:w="108" w:type="dxa"/>
              <w:tblLook w:val="01E0" w:firstRow="1" w:lastRow="1" w:firstColumn="1" w:lastColumn="1" w:noHBand="0" w:noVBand="0"/>
            </w:tblPr>
            <w:tblGrid>
              <w:gridCol w:w="7268"/>
              <w:gridCol w:w="1206"/>
            </w:tblGrid>
            <w:tr w:rsidR="00516B3C" w:rsidTr="00030CB8">
              <w:tc>
                <w:tcPr>
                  <w:tcW w:w="7562" w:type="dxa"/>
                  <w:vAlign w:val="center"/>
                </w:tcPr>
                <w:p w:rsidR="00516B3C" w:rsidRPr="00675859" w:rsidRDefault="00516B3C" w:rsidP="00516B3C">
                  <m:oMathPara>
                    <m:oMath>
                      <m:r>
                        <w:rPr>
                          <w:rFonts w:ascii="Cambria Math" w:hAnsi="Cambria Math"/>
                        </w:rPr>
                        <m:t xml:space="preserve">Różnica= </m:t>
                      </m:r>
                      <m:f>
                        <m:fPr>
                          <m:ctrlPr>
                            <w:rPr>
                              <w:rFonts w:ascii="Cambria Math" w:hAnsi="Cambria Math"/>
                              <w:i/>
                            </w:rPr>
                          </m:ctrlPr>
                        </m:fPr>
                        <m:num>
                          <m:sSup>
                            <m:sSupPr>
                              <m:ctrlPr>
                                <w:rPr>
                                  <w:rFonts w:ascii="Cambria Math" w:hAnsi="Cambria Math"/>
                                  <w:i/>
                                </w:rPr>
                              </m:ctrlPr>
                            </m:sSupPr>
                            <m:e>
                              <m:r>
                                <w:rPr>
                                  <w:rFonts w:ascii="Cambria Math" w:hAnsi="Cambria Math"/>
                                </w:rPr>
                                <m:t>E(gen)</m:t>
                              </m:r>
                            </m:e>
                            <m:sup>
                              <m:r>
                                <w:rPr>
                                  <w:rFonts w:ascii="Cambria Math" w:hAnsi="Cambria Math"/>
                                </w:rPr>
                                <m:t>∆Ct(gen)</m:t>
                              </m:r>
                            </m:sup>
                          </m:sSup>
                        </m:num>
                        <m:den>
                          <m:sSup>
                            <m:sSupPr>
                              <m:ctrlPr>
                                <w:rPr>
                                  <w:rFonts w:ascii="Cambria Math" w:hAnsi="Cambria Math"/>
                                  <w:i/>
                                </w:rPr>
                              </m:ctrlPr>
                            </m:sSupPr>
                            <m:e>
                              <m:r>
                                <w:rPr>
                                  <w:rFonts w:ascii="Cambria Math" w:hAnsi="Cambria Math"/>
                                </w:rPr>
                                <m:t>E(ref)</m:t>
                              </m:r>
                            </m:e>
                            <m:sup>
                              <m:r>
                                <w:rPr>
                                  <w:rFonts w:ascii="Cambria Math" w:hAnsi="Cambria Math"/>
                                </w:rPr>
                                <m:t>∆Ct(ref)</m:t>
                              </m:r>
                            </m:sup>
                          </m:sSup>
                        </m:den>
                      </m:f>
                    </m:oMath>
                  </m:oMathPara>
                </w:p>
              </w:tc>
              <w:tc>
                <w:tcPr>
                  <w:tcW w:w="1236" w:type="dxa"/>
                  <w:vAlign w:val="center"/>
                </w:tcPr>
                <w:p w:rsidR="00516B3C" w:rsidRDefault="00516B3C" w:rsidP="00516B3C">
                  <w:pPr>
                    <w:jc w:val="center"/>
                  </w:pPr>
                  <w:r>
                    <w:t>(2.</w:t>
                  </w:r>
                  <w:r>
                    <w:t>2</w:t>
                  </w:r>
                  <w:r>
                    <w:t>)</w:t>
                  </w:r>
                </w:p>
              </w:tc>
            </w:tr>
          </w:tbl>
          <w:p w:rsidR="00353F35" w:rsidRDefault="00516B3C" w:rsidP="00A247CA">
            <w:pPr>
              <w:jc w:val="left"/>
            </w:pPr>
            <w:r>
              <w:rPr>
                <w:i/>
                <w:iCs/>
              </w:rPr>
              <w:t>gdzie:</w:t>
            </w:r>
          </w:p>
        </w:tc>
      </w:tr>
      <w:tr w:rsidR="00353F35" w:rsidTr="00A247CA">
        <w:tc>
          <w:tcPr>
            <w:tcW w:w="1210" w:type="dxa"/>
            <w:vAlign w:val="center"/>
          </w:tcPr>
          <w:p w:rsidR="00353F35" w:rsidRDefault="00353F35" w:rsidP="00A247CA">
            <w:pPr>
              <w:jc w:val="left"/>
              <w:rPr>
                <w:i/>
                <w:iCs/>
              </w:rPr>
            </w:pPr>
            <m:oMathPara>
              <m:oMath>
                <m:r>
                  <w:rPr>
                    <w:rFonts w:ascii="Cambria Math" w:hAnsi="Cambria Math"/>
                  </w:rPr>
                  <m:t>E(gen)</m:t>
                </m:r>
              </m:oMath>
            </m:oMathPara>
          </w:p>
        </w:tc>
        <w:tc>
          <w:tcPr>
            <w:tcW w:w="358" w:type="dxa"/>
            <w:vAlign w:val="center"/>
          </w:tcPr>
          <w:p w:rsidR="00353F35" w:rsidRDefault="00353F35" w:rsidP="00A247CA">
            <w:pPr>
              <w:jc w:val="left"/>
              <w:rPr>
                <w:i/>
                <w:iCs/>
              </w:rPr>
            </w:pPr>
            <w:r>
              <w:rPr>
                <w:i/>
                <w:iCs/>
              </w:rPr>
              <w:t>–</w:t>
            </w:r>
          </w:p>
        </w:tc>
        <w:tc>
          <w:tcPr>
            <w:tcW w:w="7230" w:type="dxa"/>
            <w:vAlign w:val="center"/>
          </w:tcPr>
          <w:p w:rsidR="00353F35" w:rsidRDefault="00353F35" w:rsidP="00A247CA">
            <w:pPr>
              <w:jc w:val="left"/>
            </w:pPr>
            <w:r>
              <w:rPr>
                <w:i/>
                <w:iCs/>
              </w:rPr>
              <w:t>wydajność przyłączania starterów dla genu będącego obiektem badań,</w:t>
            </w:r>
          </w:p>
        </w:tc>
      </w:tr>
      <w:tr w:rsidR="00353F35" w:rsidTr="00A247CA">
        <w:tc>
          <w:tcPr>
            <w:tcW w:w="1210" w:type="dxa"/>
            <w:vAlign w:val="center"/>
          </w:tcPr>
          <w:p w:rsidR="00353F35" w:rsidRDefault="00353F35" w:rsidP="00A247CA">
            <w:pPr>
              <w:jc w:val="left"/>
            </w:pPr>
            <m:oMathPara>
              <m:oMath>
                <m:r>
                  <w:rPr>
                    <w:rFonts w:ascii="Cambria Math" w:hAnsi="Cambria Math"/>
                  </w:rPr>
                  <m:t>E(ref)</m:t>
                </m:r>
              </m:oMath>
            </m:oMathPara>
          </w:p>
        </w:tc>
        <w:tc>
          <w:tcPr>
            <w:tcW w:w="358" w:type="dxa"/>
            <w:vAlign w:val="center"/>
          </w:tcPr>
          <w:p w:rsidR="00353F35" w:rsidRDefault="00353F35" w:rsidP="00A247CA">
            <w:pPr>
              <w:jc w:val="left"/>
              <w:rPr>
                <w:i/>
                <w:iCs/>
              </w:rPr>
            </w:pPr>
            <w:r>
              <w:rPr>
                <w:i/>
                <w:iCs/>
              </w:rPr>
              <w:t>–</w:t>
            </w:r>
          </w:p>
        </w:tc>
        <w:tc>
          <w:tcPr>
            <w:tcW w:w="7230" w:type="dxa"/>
            <w:vAlign w:val="center"/>
          </w:tcPr>
          <w:p w:rsidR="00353F35" w:rsidRDefault="00353F35" w:rsidP="00A247CA">
            <w:pPr>
              <w:jc w:val="left"/>
            </w:pPr>
            <w:r>
              <w:rPr>
                <w:i/>
                <w:iCs/>
              </w:rPr>
              <w:t>wydajność przyłączania starterów dla genu referencyjnego,</w:t>
            </w:r>
          </w:p>
        </w:tc>
      </w:tr>
      <w:tr w:rsidR="00353F35" w:rsidTr="00A247CA">
        <w:tc>
          <w:tcPr>
            <w:tcW w:w="1210" w:type="dxa"/>
            <w:vAlign w:val="center"/>
          </w:tcPr>
          <w:p w:rsidR="00353F35" w:rsidRDefault="00353F35" w:rsidP="00A247CA">
            <w:pPr>
              <w:jc w:val="left"/>
              <w:rPr>
                <w:i/>
                <w:iCs/>
              </w:rPr>
            </w:pPr>
            <m:oMathPara>
              <m:oMath>
                <m:r>
                  <w:rPr>
                    <w:rFonts w:ascii="Cambria Math" w:hAnsi="Cambria Math"/>
                  </w:rPr>
                  <m:t>∆Ct</m:t>
                </m:r>
                <m:d>
                  <m:dPr>
                    <m:ctrlPr>
                      <w:rPr>
                        <w:rFonts w:ascii="Cambria Math" w:hAnsi="Cambria Math"/>
                        <w:i/>
                      </w:rPr>
                    </m:ctrlPr>
                  </m:dPr>
                  <m:e>
                    <m:r>
                      <w:rPr>
                        <w:rFonts w:ascii="Cambria Math" w:hAnsi="Cambria Math"/>
                      </w:rPr>
                      <m:t>gen</m:t>
                    </m:r>
                  </m:e>
                </m:d>
              </m:oMath>
            </m:oMathPara>
          </w:p>
        </w:tc>
        <w:tc>
          <w:tcPr>
            <w:tcW w:w="358" w:type="dxa"/>
            <w:vAlign w:val="center"/>
          </w:tcPr>
          <w:p w:rsidR="00353F35" w:rsidRDefault="00353F35" w:rsidP="00A247CA">
            <w:pPr>
              <w:jc w:val="left"/>
              <w:rPr>
                <w:i/>
                <w:iCs/>
              </w:rPr>
            </w:pPr>
            <w:r>
              <w:rPr>
                <w:i/>
                <w:iCs/>
              </w:rPr>
              <w:t>–</w:t>
            </w:r>
          </w:p>
        </w:tc>
        <w:tc>
          <w:tcPr>
            <w:tcW w:w="7230" w:type="dxa"/>
            <w:vAlign w:val="center"/>
          </w:tcPr>
          <w:p w:rsidR="00353F35" w:rsidRDefault="00353F35" w:rsidP="00A247CA">
            <w:pPr>
              <w:jc w:val="left"/>
              <w:rPr>
                <w:i/>
                <w:iCs/>
              </w:rPr>
            </w:pPr>
            <w:r>
              <w:rPr>
                <w:i/>
                <w:iCs/>
              </w:rPr>
              <w:t xml:space="preserve">wartość </w:t>
            </w:r>
            <m:oMath>
              <m:r>
                <w:rPr>
                  <w:rFonts w:ascii="Cambria Math" w:hAnsi="Cambria Math"/>
                </w:rPr>
                <m:t>∆</m:t>
              </m:r>
            </m:oMath>
            <w:r>
              <w:rPr>
                <w:i/>
                <w:iCs/>
              </w:rPr>
              <w:t>Ct dla genu będącego obiektem badań,</w:t>
            </w:r>
          </w:p>
        </w:tc>
      </w:tr>
      <w:tr w:rsidR="00353F35" w:rsidTr="00A247CA">
        <w:tc>
          <w:tcPr>
            <w:tcW w:w="1210" w:type="dxa"/>
            <w:vAlign w:val="center"/>
          </w:tcPr>
          <w:p w:rsidR="00353F35" w:rsidRDefault="00353F35" w:rsidP="00A247CA">
            <w:pPr>
              <w:jc w:val="left"/>
            </w:pPr>
            <m:oMathPara>
              <m:oMath>
                <m:r>
                  <w:rPr>
                    <w:rFonts w:ascii="Cambria Math" w:hAnsi="Cambria Math"/>
                  </w:rPr>
                  <m:t>∆Ct(ref)</m:t>
                </m:r>
              </m:oMath>
            </m:oMathPara>
          </w:p>
        </w:tc>
        <w:tc>
          <w:tcPr>
            <w:tcW w:w="358" w:type="dxa"/>
            <w:vAlign w:val="center"/>
          </w:tcPr>
          <w:p w:rsidR="00353F35" w:rsidRDefault="00353F35" w:rsidP="00A247CA">
            <w:pPr>
              <w:jc w:val="left"/>
              <w:rPr>
                <w:i/>
                <w:iCs/>
              </w:rPr>
            </w:pPr>
            <w:r>
              <w:rPr>
                <w:i/>
                <w:iCs/>
              </w:rPr>
              <w:t>–</w:t>
            </w:r>
          </w:p>
        </w:tc>
        <w:tc>
          <w:tcPr>
            <w:tcW w:w="7230" w:type="dxa"/>
            <w:vAlign w:val="center"/>
          </w:tcPr>
          <w:p w:rsidR="00353F35" w:rsidRDefault="00353F35" w:rsidP="00A247CA">
            <w:pPr>
              <w:jc w:val="left"/>
              <w:rPr>
                <w:i/>
                <w:iCs/>
              </w:rPr>
            </w:pPr>
            <w:r>
              <w:rPr>
                <w:i/>
                <w:iCs/>
              </w:rPr>
              <w:t xml:space="preserve">wartość </w:t>
            </w:r>
            <m:oMath>
              <m:r>
                <w:rPr>
                  <w:rFonts w:ascii="Cambria Math" w:hAnsi="Cambria Math"/>
                </w:rPr>
                <m:t>∆</m:t>
              </m:r>
            </m:oMath>
            <w:r>
              <w:rPr>
                <w:i/>
                <w:iCs/>
              </w:rPr>
              <w:t>Ct dla genu referencyjnego.</w:t>
            </w:r>
          </w:p>
        </w:tc>
      </w:tr>
    </w:tbl>
    <w:p w:rsidR="00353F35" w:rsidRDefault="00353F35" w:rsidP="00353F35"/>
    <w:p w:rsidR="00353F35" w:rsidRDefault="00353F35" w:rsidP="00353F35">
      <w:r>
        <w:t xml:space="preserve">Wynikiem zastosowania tej metody jest liczba </w:t>
      </w:r>
      <w:r w:rsidRPr="00C945BF">
        <w:t>przedstawia</w:t>
      </w:r>
      <w:r>
        <w:t>jąca</w:t>
      </w:r>
      <w:r w:rsidRPr="00C945BF">
        <w:t xml:space="preserve"> ilu-krotnie zmieniła się ekspresja genu testowego względem genu referencyjnego</w:t>
      </w:r>
      <w:r>
        <w:t xml:space="preserve"> [</w:t>
      </w:r>
      <w:r w:rsidR="00B7419B">
        <w:t>8</w:t>
      </w:r>
      <w:r>
        <w:t>]</w:t>
      </w:r>
      <w:r w:rsidRPr="00C945BF">
        <w:t>.</w:t>
      </w:r>
    </w:p>
    <w:p w:rsidR="00FF0266" w:rsidRDefault="00FF0266" w:rsidP="00353F35"/>
    <w:p w:rsidR="00FF0266" w:rsidRDefault="00FF0266" w:rsidP="00FF0266">
      <w:pPr>
        <w:pStyle w:val="Heading2"/>
      </w:pPr>
      <w:bookmarkStart w:id="15" w:name="_Toc471686418"/>
      <w:r>
        <w:lastRenderedPageBreak/>
        <w:t>2.</w:t>
      </w:r>
      <w:r w:rsidR="00861A56">
        <w:t>4</w:t>
      </w:r>
      <w:r>
        <w:t xml:space="preserve"> Wyznaczanie wydajności reakcji </w:t>
      </w:r>
      <w:r w:rsidR="00647880">
        <w:t>r</w:t>
      </w:r>
      <w:r>
        <w:t>eal-time PCR</w:t>
      </w:r>
      <w:bookmarkEnd w:id="15"/>
    </w:p>
    <w:p w:rsidR="00FF0266" w:rsidRDefault="001F15BE" w:rsidP="00353F35">
      <w:r>
        <w:tab/>
      </w:r>
      <w:r w:rsidR="00650FF7">
        <w:t>Wydajność reakcji PCR zależy w głównym stopniu od jej warunków oraz</w:t>
      </w:r>
      <w:r w:rsidR="004861A7">
        <w:t xml:space="preserve"> stężenia substratów, dlatego stężenie i jakość matrycy, starterów i chlorku magnezu w mieszaninie ma znaczny wpływ na przebieg procesu</w:t>
      </w:r>
      <w:r w:rsidR="00E4484C">
        <w:t xml:space="preserve"> i powinny być ściśle </w:t>
      </w:r>
      <w:r w:rsidR="005A67A7">
        <w:t>kontrolowane</w:t>
      </w:r>
      <w:r w:rsidR="00D32437">
        <w:t>. Pozwala to na uzyskanie wysokiej dokładności w eksperymencie oraz zapewnia jego wysoką powtarzalność.</w:t>
      </w:r>
      <w:r w:rsidR="00C110AF">
        <w:t xml:space="preserve"> </w:t>
      </w:r>
      <w:r w:rsidR="008C33A5">
        <w:t>Istnieją różne</w:t>
      </w:r>
      <w:r w:rsidR="002478DB">
        <w:t xml:space="preserve"> metody</w:t>
      </w:r>
      <w:r w:rsidR="008C33A5">
        <w:t xml:space="preserve"> wyznaczania wydajności reakcji - istnieją</w:t>
      </w:r>
      <w:r w:rsidR="002478DB">
        <w:t xml:space="preserve"> metod</w:t>
      </w:r>
      <w:r w:rsidR="008C33A5">
        <w:t>y</w:t>
      </w:r>
      <w:r w:rsidR="002478DB">
        <w:t xml:space="preserve"> oparta na krzywej kalibracyjnej i metod</w:t>
      </w:r>
      <w:r w:rsidR="008C33A5">
        <w:t>y</w:t>
      </w:r>
      <w:r w:rsidR="002478DB">
        <w:t xml:space="preserve"> wykorzystując</w:t>
      </w:r>
      <w:r w:rsidR="008C33A5">
        <w:t>e</w:t>
      </w:r>
      <w:r w:rsidR="002478DB">
        <w:t xml:space="preserve"> </w:t>
      </w:r>
      <w:r w:rsidR="00F45C86">
        <w:t>krzywą przyrostu fluorescencji.</w:t>
      </w:r>
    </w:p>
    <w:p w:rsidR="00F45C86" w:rsidRDefault="00F45C86" w:rsidP="00353F35"/>
    <w:p w:rsidR="004F3C8E" w:rsidRDefault="00F45C86" w:rsidP="00F176AC">
      <w:pPr>
        <w:rPr>
          <w:bCs/>
          <w:szCs w:val="24"/>
        </w:rPr>
      </w:pPr>
      <w:r>
        <w:tab/>
      </w:r>
      <w:r w:rsidR="002B503D">
        <w:t>W celu wyznaczenia krzywej kalibracyjnej wydajności wykorzystuje się podstawowe równania charakteryzujące kinetykę reakcji PCR.</w:t>
      </w:r>
      <w:r w:rsidR="001B2F6E">
        <w:t xml:space="preserve"> </w:t>
      </w:r>
      <w:r w:rsidR="00A44E63">
        <w:t>Po wykonaniu serii reakcji real-time PCR dla wzorców nanosi się odpowiednie punkty na wykres zależności początkowego stężenia próbki od wartości Ct. M</w:t>
      </w:r>
      <w:r w:rsidR="00F176AC">
        <w:t xml:space="preserve">ożliwe jest wyznaczenie prostej na podstawie </w:t>
      </w:r>
      <w:r w:rsidR="00A44E63">
        <w:t xml:space="preserve">tego </w:t>
      </w:r>
      <w:r w:rsidR="00F176AC">
        <w:t>zestawu prób, której nachylenie może być wyk</w:t>
      </w:r>
      <w:r w:rsidR="00A44E63">
        <w:t>orzystane do obliczenia wydajności zgodnie z poniższym wzorem:</w:t>
      </w:r>
    </w:p>
    <w:tbl>
      <w:tblPr>
        <w:tblW w:w="0" w:type="auto"/>
        <w:tblInd w:w="108" w:type="dxa"/>
        <w:tblLook w:val="01E0" w:firstRow="1" w:lastRow="1" w:firstColumn="1" w:lastColumn="1" w:noHBand="0" w:noVBand="0"/>
      </w:tblPr>
      <w:tblGrid>
        <w:gridCol w:w="7562"/>
        <w:gridCol w:w="1236"/>
      </w:tblGrid>
      <w:tr w:rsidR="00516B3C" w:rsidTr="00030CB8">
        <w:tc>
          <w:tcPr>
            <w:tcW w:w="7562" w:type="dxa"/>
            <w:vAlign w:val="center"/>
          </w:tcPr>
          <w:p w:rsidR="00516B3C" w:rsidRPr="00675859" w:rsidRDefault="00516B3C" w:rsidP="00030CB8">
            <m:oMathPara>
              <m:oMath>
                <m:r>
                  <m:rPr>
                    <m:sty m:val="p"/>
                  </m:rPr>
                  <w:rPr>
                    <w:rFonts w:ascii="Cambria Math" w:hAnsi="Cambria Math"/>
                  </w:rPr>
                  <m:t>E=</m:t>
                </m:r>
                <m:sSup>
                  <m:sSupPr>
                    <m:ctrlPr>
                      <w:rPr>
                        <w:rFonts w:ascii="Cambria Math" w:hAnsi="Cambria Math"/>
                      </w:rPr>
                    </m:ctrlPr>
                  </m:sSupPr>
                  <m:e>
                    <m:r>
                      <w:rPr>
                        <w:rFonts w:ascii="Cambria Math" w:hAnsi="Cambria Math"/>
                      </w:rPr>
                      <m:t>10</m:t>
                    </m:r>
                  </m:e>
                  <m:sup>
                    <m:f>
                      <m:fPr>
                        <m:ctrlPr>
                          <w:rPr>
                            <w:rFonts w:ascii="Cambria Math" w:hAnsi="Cambria Math"/>
                            <w:i/>
                          </w:rPr>
                        </m:ctrlPr>
                      </m:fPr>
                      <m:num>
                        <m:r>
                          <w:rPr>
                            <w:rFonts w:ascii="Cambria Math" w:hAnsi="Cambria Math"/>
                          </w:rPr>
                          <m:t>-1</m:t>
                        </m:r>
                      </m:num>
                      <m:den>
                        <m:r>
                          <w:rPr>
                            <w:rFonts w:ascii="Cambria Math" w:hAnsi="Cambria Math"/>
                          </w:rPr>
                          <m:t>nachylenie</m:t>
                        </m:r>
                      </m:den>
                    </m:f>
                  </m:sup>
                </m:sSup>
                <m:r>
                  <w:rPr>
                    <w:rFonts w:ascii="Cambria Math" w:hAnsi="Cambria Math"/>
                  </w:rPr>
                  <m:t>-1</m:t>
                </m:r>
              </m:oMath>
            </m:oMathPara>
          </w:p>
        </w:tc>
        <w:tc>
          <w:tcPr>
            <w:tcW w:w="1236" w:type="dxa"/>
            <w:vAlign w:val="center"/>
          </w:tcPr>
          <w:p w:rsidR="00516B3C" w:rsidRDefault="00516B3C" w:rsidP="00516B3C">
            <w:pPr>
              <w:jc w:val="center"/>
            </w:pPr>
            <w:r>
              <w:t>(</w:t>
            </w:r>
            <w:r>
              <w:t>3.1</w:t>
            </w:r>
            <w:r>
              <w:t>)</w:t>
            </w:r>
          </w:p>
        </w:tc>
      </w:tr>
    </w:tbl>
    <w:p w:rsidR="00B37310" w:rsidRDefault="00B37310" w:rsidP="00E94970"/>
    <w:p w:rsidR="00F36725" w:rsidRDefault="00B05433" w:rsidP="00E94970">
      <w:r>
        <w:t xml:space="preserve">Zastosowanie tej metody wymaga wykonania szeregu rozcieńczeń dla matrycy i kilku powtórzeń, w celu osiągnięcia jak najlepszego wyniku. Każda z tych reakcji może jednak przebiegać z inną wydajnością, </w:t>
      </w:r>
      <w:r w:rsidR="001C0D93">
        <w:t>co w tym podejściu nie jest brane pod uwagę i jest wadą tej metody</w:t>
      </w:r>
      <w:r w:rsidR="00A44E63">
        <w:t xml:space="preserve"> [</w:t>
      </w:r>
      <w:r w:rsidR="00B7419B">
        <w:t>8, 10, 11</w:t>
      </w:r>
      <w:r w:rsidR="00A44E63">
        <w:t>]</w:t>
      </w:r>
      <w:r w:rsidR="001C0D93">
        <w:t>.</w:t>
      </w:r>
    </w:p>
    <w:p w:rsidR="001C0D93" w:rsidRDefault="001C0D93" w:rsidP="00E94970"/>
    <w:p w:rsidR="00AB0EDE" w:rsidRDefault="001C0D93" w:rsidP="00E94970">
      <w:r>
        <w:tab/>
      </w:r>
      <w:r w:rsidR="00524782">
        <w:t>M</w:t>
      </w:r>
      <w:r>
        <w:t xml:space="preserve">etoda </w:t>
      </w:r>
      <w:r w:rsidR="00524782">
        <w:t xml:space="preserve">Lui i Sainta </w:t>
      </w:r>
      <w:r>
        <w:t xml:space="preserve">wyznaczania wydajności bazuje na krzywej </w:t>
      </w:r>
      <w:r w:rsidR="00524782">
        <w:t>przyrostu fluorescencji</w:t>
      </w:r>
      <w:r w:rsidR="00C01CC3">
        <w:t xml:space="preserve">. </w:t>
      </w:r>
      <w:r w:rsidR="002F49E1">
        <w:t>Ponieważ wydajności reakcji dla genów badanych i referencyjnych nie zawsze są do siebie zbliżone, opracowano nową metodę, w której</w:t>
      </w:r>
      <w:r w:rsidR="00C01CC3">
        <w:t xml:space="preserve"> </w:t>
      </w:r>
      <w:r w:rsidR="00B97C1B">
        <w:t>wyznacza się zakres wzrostu wykładniczego z danych</w:t>
      </w:r>
      <w:r w:rsidR="003D60A8">
        <w:t xml:space="preserve">, a następnie </w:t>
      </w:r>
      <w:r w:rsidR="002F49E1">
        <w:t xml:space="preserve">dobiera dowolne </w:t>
      </w:r>
      <w:r w:rsidR="003D60A8">
        <w:t xml:space="preserve">punkty z tego zakresu. </w:t>
      </w:r>
      <w:r w:rsidR="00A05D0A">
        <w:t>Pozwala to na wyznaczenie wydajności reakcji stosując prosty wzór</w:t>
      </w:r>
      <w:r w:rsidR="005E28E7">
        <w:t xml:space="preserve"> [</w:t>
      </w:r>
      <w:r w:rsidR="00342747">
        <w:t>4</w:t>
      </w:r>
      <w:r w:rsidR="00FE0100">
        <w:t>]</w:t>
      </w:r>
      <w:r w:rsidR="00A05D0A">
        <w:t>:</w:t>
      </w:r>
    </w:p>
    <w:tbl>
      <w:tblPr>
        <w:tblW w:w="0" w:type="auto"/>
        <w:tblInd w:w="108" w:type="dxa"/>
        <w:tblLook w:val="01E0" w:firstRow="1" w:lastRow="1" w:firstColumn="1" w:lastColumn="1" w:noHBand="0" w:noVBand="0"/>
      </w:tblPr>
      <w:tblGrid>
        <w:gridCol w:w="1169"/>
        <w:gridCol w:w="358"/>
        <w:gridCol w:w="7271"/>
      </w:tblGrid>
      <w:tr w:rsidR="00CF5563" w:rsidTr="00E434B9">
        <w:tc>
          <w:tcPr>
            <w:tcW w:w="8798" w:type="dxa"/>
            <w:gridSpan w:val="3"/>
            <w:vAlign w:val="center"/>
          </w:tcPr>
          <w:tbl>
            <w:tblPr>
              <w:tblW w:w="0" w:type="auto"/>
              <w:tblInd w:w="108" w:type="dxa"/>
              <w:tblLook w:val="01E0" w:firstRow="1" w:lastRow="1" w:firstColumn="1" w:lastColumn="1" w:noHBand="0" w:noVBand="0"/>
            </w:tblPr>
            <w:tblGrid>
              <w:gridCol w:w="7267"/>
              <w:gridCol w:w="1207"/>
            </w:tblGrid>
            <w:tr w:rsidR="00516B3C" w:rsidTr="00030CB8">
              <w:tc>
                <w:tcPr>
                  <w:tcW w:w="7562" w:type="dxa"/>
                  <w:vAlign w:val="center"/>
                </w:tcPr>
                <w:p w:rsidR="00516B3C" w:rsidRPr="00AB0EDE" w:rsidRDefault="00516B3C" w:rsidP="00516B3C">
                  <w:pPr>
                    <w:rPr>
                      <w:bCs/>
                      <w:szCs w:val="24"/>
                    </w:rPr>
                  </w:pPr>
                  <m:oMathPara>
                    <m:oMath>
                      <m:r>
                        <w:rPr>
                          <w:rFonts w:ascii="Cambria Math" w:hAnsi="Cambria Math"/>
                          <w:szCs w:val="24"/>
                        </w:rPr>
                        <m:t>E=</m:t>
                      </m:r>
                      <m:sSup>
                        <m:sSupPr>
                          <m:ctrlPr>
                            <w:rPr>
                              <w:rFonts w:ascii="Cambria Math" w:hAnsi="Cambria Math"/>
                              <w:bCs/>
                              <w:i/>
                              <w:szCs w:val="24"/>
                            </w:rPr>
                          </m:ctrlPr>
                        </m:sSupPr>
                        <m:e>
                          <m:f>
                            <m:fPr>
                              <m:ctrlPr>
                                <w:rPr>
                                  <w:rFonts w:ascii="Cambria Math" w:hAnsi="Cambria Math"/>
                                  <w:bCs/>
                                  <w:i/>
                                  <w:szCs w:val="24"/>
                                </w:rPr>
                              </m:ctrlPr>
                            </m:fPr>
                            <m:num>
                              <m:r>
                                <w:rPr>
                                  <w:rFonts w:ascii="Cambria Math" w:hAnsi="Cambria Math"/>
                                  <w:szCs w:val="24"/>
                                </w:rPr>
                                <m:t>Rna</m:t>
                              </m:r>
                            </m:num>
                            <m:den>
                              <m:r>
                                <w:rPr>
                                  <w:rFonts w:ascii="Cambria Math" w:hAnsi="Cambria Math"/>
                                  <w:szCs w:val="24"/>
                                </w:rPr>
                                <m:t>Rnb</m:t>
                              </m:r>
                            </m:den>
                          </m:f>
                        </m:e>
                        <m:sup>
                          <m:r>
                            <w:rPr>
                              <w:rFonts w:ascii="Cambria Math" w:hAnsi="Cambria Math"/>
                              <w:szCs w:val="24"/>
                            </w:rPr>
                            <m:t>-(Cta-Ctb)</m:t>
                          </m:r>
                        </m:sup>
                      </m:sSup>
                    </m:oMath>
                  </m:oMathPara>
                </w:p>
              </w:tc>
              <w:tc>
                <w:tcPr>
                  <w:tcW w:w="1236" w:type="dxa"/>
                  <w:vAlign w:val="center"/>
                </w:tcPr>
                <w:p w:rsidR="00516B3C" w:rsidRDefault="00516B3C" w:rsidP="00516B3C">
                  <w:pPr>
                    <w:jc w:val="center"/>
                  </w:pPr>
                  <w:r>
                    <w:t>(</w:t>
                  </w:r>
                  <w:r>
                    <w:t>3.2</w:t>
                  </w:r>
                  <w:r>
                    <w:t>)</w:t>
                  </w:r>
                </w:p>
              </w:tc>
            </w:tr>
          </w:tbl>
          <w:p w:rsidR="00CF5563" w:rsidRDefault="00516B3C" w:rsidP="00E434B9">
            <w:pPr>
              <w:jc w:val="left"/>
            </w:pPr>
            <w:r>
              <w:rPr>
                <w:i/>
                <w:iCs/>
              </w:rPr>
              <w:t>gdzie:</w:t>
            </w:r>
          </w:p>
        </w:tc>
      </w:tr>
      <w:tr w:rsidR="00CF5563" w:rsidTr="00E434B9">
        <w:tc>
          <w:tcPr>
            <w:tcW w:w="1169" w:type="dxa"/>
            <w:vAlign w:val="center"/>
          </w:tcPr>
          <w:p w:rsidR="00CF5563" w:rsidRPr="00CF5563" w:rsidRDefault="00CF5563" w:rsidP="00E434B9">
            <w:pPr>
              <w:jc w:val="left"/>
              <w:rPr>
                <w:i/>
                <w:iCs/>
              </w:rPr>
            </w:pPr>
            <m:oMathPara>
              <m:oMath>
                <m:r>
                  <w:rPr>
                    <w:rFonts w:ascii="Cambria Math" w:hAnsi="Cambria Math"/>
                  </w:rPr>
                  <m:t>Rna</m:t>
                </m:r>
              </m:oMath>
            </m:oMathPara>
          </w:p>
        </w:tc>
        <w:tc>
          <w:tcPr>
            <w:tcW w:w="358" w:type="dxa"/>
            <w:vAlign w:val="center"/>
          </w:tcPr>
          <w:p w:rsidR="00CF5563" w:rsidRDefault="00CF5563" w:rsidP="00E434B9">
            <w:pPr>
              <w:jc w:val="left"/>
              <w:rPr>
                <w:i/>
                <w:iCs/>
              </w:rPr>
            </w:pPr>
            <w:r>
              <w:rPr>
                <w:i/>
                <w:iCs/>
              </w:rPr>
              <w:t>–</w:t>
            </w:r>
          </w:p>
        </w:tc>
        <w:tc>
          <w:tcPr>
            <w:tcW w:w="7271" w:type="dxa"/>
            <w:vAlign w:val="center"/>
          </w:tcPr>
          <w:p w:rsidR="00CF5563" w:rsidRDefault="00CF5563" w:rsidP="00E434B9">
            <w:pPr>
              <w:jc w:val="left"/>
            </w:pPr>
            <w:r>
              <w:rPr>
                <w:i/>
                <w:iCs/>
              </w:rPr>
              <w:t>wartość fluorescencji z punktu a,</w:t>
            </w:r>
          </w:p>
        </w:tc>
      </w:tr>
      <w:tr w:rsidR="00CF5563" w:rsidTr="00E434B9">
        <w:tc>
          <w:tcPr>
            <w:tcW w:w="1169" w:type="dxa"/>
            <w:vAlign w:val="center"/>
          </w:tcPr>
          <w:p w:rsidR="00CF5563" w:rsidRPr="00CF5563" w:rsidRDefault="00CF5563" w:rsidP="00CF5563">
            <w:pPr>
              <w:jc w:val="left"/>
              <w:rPr>
                <w:i/>
                <w:iCs/>
              </w:rPr>
            </w:pPr>
            <m:oMathPara>
              <m:oMath>
                <m:r>
                  <w:rPr>
                    <w:rFonts w:ascii="Cambria Math" w:hAnsi="Cambria Math"/>
                  </w:rPr>
                  <m:t>Rnb</m:t>
                </m:r>
              </m:oMath>
            </m:oMathPara>
          </w:p>
        </w:tc>
        <w:tc>
          <w:tcPr>
            <w:tcW w:w="358" w:type="dxa"/>
            <w:vAlign w:val="center"/>
          </w:tcPr>
          <w:p w:rsidR="00CF5563" w:rsidRDefault="00CF5563" w:rsidP="00E434B9">
            <w:pPr>
              <w:jc w:val="left"/>
              <w:rPr>
                <w:i/>
                <w:iCs/>
              </w:rPr>
            </w:pPr>
            <w:r>
              <w:rPr>
                <w:i/>
                <w:iCs/>
              </w:rPr>
              <w:t>–</w:t>
            </w:r>
          </w:p>
        </w:tc>
        <w:tc>
          <w:tcPr>
            <w:tcW w:w="7271" w:type="dxa"/>
            <w:vAlign w:val="center"/>
          </w:tcPr>
          <w:p w:rsidR="00CF5563" w:rsidRDefault="00CF5563" w:rsidP="00CF5563">
            <w:pPr>
              <w:jc w:val="left"/>
              <w:rPr>
                <w:i/>
                <w:iCs/>
              </w:rPr>
            </w:pPr>
            <w:r>
              <w:rPr>
                <w:i/>
                <w:iCs/>
              </w:rPr>
              <w:t>wartość fluorescencji z punktu b,</w:t>
            </w:r>
          </w:p>
        </w:tc>
      </w:tr>
      <w:tr w:rsidR="00CF5563" w:rsidTr="00E434B9">
        <w:tc>
          <w:tcPr>
            <w:tcW w:w="1169" w:type="dxa"/>
            <w:vAlign w:val="center"/>
          </w:tcPr>
          <w:p w:rsidR="00CF5563" w:rsidRDefault="00CF5563" w:rsidP="00E434B9">
            <w:pPr>
              <w:jc w:val="left"/>
            </w:pPr>
            <m:oMathPara>
              <m:oMath>
                <m:r>
                  <w:rPr>
                    <w:rFonts w:ascii="Cambria Math" w:hAnsi="Cambria Math"/>
                  </w:rPr>
                  <m:t>Cta</m:t>
                </m:r>
              </m:oMath>
            </m:oMathPara>
          </w:p>
        </w:tc>
        <w:tc>
          <w:tcPr>
            <w:tcW w:w="358" w:type="dxa"/>
            <w:vAlign w:val="center"/>
          </w:tcPr>
          <w:p w:rsidR="00CF5563" w:rsidRDefault="00CF5563" w:rsidP="00E434B9">
            <w:pPr>
              <w:jc w:val="left"/>
              <w:rPr>
                <w:i/>
                <w:iCs/>
              </w:rPr>
            </w:pPr>
            <w:r>
              <w:rPr>
                <w:i/>
                <w:iCs/>
              </w:rPr>
              <w:t>–</w:t>
            </w:r>
          </w:p>
        </w:tc>
        <w:tc>
          <w:tcPr>
            <w:tcW w:w="7271" w:type="dxa"/>
            <w:vAlign w:val="center"/>
          </w:tcPr>
          <w:p w:rsidR="00CF5563" w:rsidRDefault="00CF5563" w:rsidP="00E434B9">
            <w:pPr>
              <w:jc w:val="left"/>
              <w:rPr>
                <w:i/>
                <w:iCs/>
              </w:rPr>
            </w:pPr>
            <w:r>
              <w:rPr>
                <w:i/>
                <w:iCs/>
              </w:rPr>
              <w:t>cykl, w którym osiągnięto wartość fluorescencji z punktu a,</w:t>
            </w:r>
          </w:p>
        </w:tc>
      </w:tr>
      <w:tr w:rsidR="00CF5563" w:rsidTr="00E434B9">
        <w:tc>
          <w:tcPr>
            <w:tcW w:w="1169" w:type="dxa"/>
            <w:vAlign w:val="center"/>
          </w:tcPr>
          <w:p w:rsidR="00CF5563" w:rsidRDefault="00CF5563" w:rsidP="00E434B9">
            <w:pPr>
              <w:jc w:val="center"/>
              <w:rPr>
                <w:i/>
              </w:rPr>
            </w:pPr>
            <w:r>
              <w:rPr>
                <w:i/>
              </w:rPr>
              <w:t>Ctb</w:t>
            </w:r>
          </w:p>
        </w:tc>
        <w:tc>
          <w:tcPr>
            <w:tcW w:w="358" w:type="dxa"/>
            <w:vAlign w:val="center"/>
          </w:tcPr>
          <w:p w:rsidR="00CF5563" w:rsidRDefault="00CF5563" w:rsidP="00E434B9">
            <w:pPr>
              <w:jc w:val="left"/>
              <w:rPr>
                <w:i/>
                <w:iCs/>
              </w:rPr>
            </w:pPr>
            <w:r>
              <w:rPr>
                <w:i/>
                <w:iCs/>
              </w:rPr>
              <w:t>–</w:t>
            </w:r>
          </w:p>
        </w:tc>
        <w:tc>
          <w:tcPr>
            <w:tcW w:w="7271" w:type="dxa"/>
            <w:vAlign w:val="center"/>
          </w:tcPr>
          <w:p w:rsidR="00CF5563" w:rsidRDefault="00CF5563" w:rsidP="00E434B9">
            <w:pPr>
              <w:jc w:val="left"/>
              <w:rPr>
                <w:i/>
                <w:iCs/>
              </w:rPr>
            </w:pPr>
            <w:r>
              <w:rPr>
                <w:i/>
                <w:iCs/>
              </w:rPr>
              <w:t>cykl, w którym osiągnięto wartość fluorescencji z punktu b.</w:t>
            </w:r>
          </w:p>
        </w:tc>
      </w:tr>
    </w:tbl>
    <w:p w:rsidR="005E28E7" w:rsidRDefault="005E28E7" w:rsidP="005E28E7">
      <w:pPr>
        <w:pStyle w:val="Heading2"/>
      </w:pPr>
      <w:bookmarkStart w:id="16" w:name="_Toc471686419"/>
      <w:r>
        <w:lastRenderedPageBreak/>
        <w:t>2.</w:t>
      </w:r>
      <w:r w:rsidR="00861A56">
        <w:t>5</w:t>
      </w:r>
      <w:r>
        <w:t xml:space="preserve"> Pakiet Shiny i struktura aplikacji</w:t>
      </w:r>
      <w:bookmarkEnd w:id="16"/>
    </w:p>
    <w:p w:rsidR="005E28E7" w:rsidRDefault="005E28E7" w:rsidP="005E28E7">
      <w:pPr>
        <w:ind w:firstLine="708"/>
        <w:rPr>
          <w:bCs/>
          <w:szCs w:val="24"/>
        </w:rPr>
      </w:pPr>
    </w:p>
    <w:p w:rsidR="005E28E7" w:rsidRDefault="005E28E7" w:rsidP="005E28E7">
      <w:pPr>
        <w:ind w:firstLine="708"/>
        <w:rPr>
          <w:bCs/>
          <w:szCs w:val="24"/>
        </w:rPr>
      </w:pPr>
      <w:r>
        <w:rPr>
          <w:bCs/>
          <w:szCs w:val="24"/>
        </w:rPr>
        <w:t xml:space="preserve">Shiny jest pakietem dla środowiska R, dającym możliwość prostego tworzenie aplikacji internetowych, które pozwalają na interaktywną analizę danych. Dostępnych jest wiele gotowych elementów do interfejsu użytkownika, co umożliwia proste i wszechstronne jego tworzenie. </w:t>
      </w:r>
    </w:p>
    <w:p w:rsidR="005E28E7" w:rsidRDefault="005E28E7" w:rsidP="005E28E7">
      <w:pPr>
        <w:ind w:firstLine="708"/>
        <w:rPr>
          <w:bCs/>
          <w:szCs w:val="24"/>
        </w:rPr>
      </w:pPr>
    </w:p>
    <w:p w:rsidR="005E28E7" w:rsidRDefault="005E28E7" w:rsidP="005E28E7">
      <w:pPr>
        <w:ind w:firstLine="708"/>
        <w:rPr>
          <w:bCs/>
          <w:szCs w:val="24"/>
        </w:rPr>
      </w:pPr>
      <w:r>
        <w:rPr>
          <w:bCs/>
          <w:szCs w:val="24"/>
        </w:rPr>
        <w:t>Aplikacja tworzona w Shiny składa się z 2 głównych skryptów: serwera oraz ui (user interface). Ui reprezentuje interfejs użytkownika oraz pozwala na wprowadzanie danych, natomiast serwer przyjmuje dane wejściowe i w nim wykonywane są wszystkie zadania i obliczenia, których wyniki następnie przedstawiane są w interfejsie. Jedną z głównych cech Shiny jest reaktywność – istnieje możliwość zmiany wartości danych wejściowych w czasie rzeczywistym, które są przez program na nowo wykorzystywane do wykonania określonych czynności. Mechanizm działania programu opiera się na wejściach (</w:t>
      </w:r>
      <w:r w:rsidRPr="000A34CC">
        <w:rPr>
          <w:bCs/>
          <w:i/>
          <w:szCs w:val="24"/>
        </w:rPr>
        <w:t>inputs</w:t>
      </w:r>
      <w:r>
        <w:rPr>
          <w:bCs/>
          <w:szCs w:val="24"/>
        </w:rPr>
        <w:t>), funkcji renderowania oraz wyjściach (</w:t>
      </w:r>
      <w:r w:rsidRPr="000A34CC">
        <w:rPr>
          <w:bCs/>
          <w:i/>
          <w:szCs w:val="24"/>
        </w:rPr>
        <w:t>outputs</w:t>
      </w:r>
      <w:r>
        <w:rPr>
          <w:bCs/>
          <w:szCs w:val="24"/>
        </w:rPr>
        <w:t xml:space="preserve">). W pierwszym etapie użytkownik dokonuje wyboru danych, które są zapisywane jako wartości wejściowe. Następnie wykonywane są określone czynności </w:t>
      </w:r>
      <w:r>
        <w:rPr>
          <w:bCs/>
          <w:szCs w:val="24"/>
        </w:rPr>
        <w:br/>
        <w:t>i tworzone są wartości wyjściowe, które następnie wyświetlane są w interfejsie użytkownika. Aby stworzyć wartość wyjściową konieczne jest zastosowanie funkcji renderowania, które tworzą elementy interfejsu użytkownika bazując na wartościach wejściowych. Funkcje te mają wiele zastosowań, służą m.in. do tworzenia wykresów, tabel, diagramów itp. [</w:t>
      </w:r>
      <w:r w:rsidR="00342747">
        <w:rPr>
          <w:bCs/>
          <w:szCs w:val="24"/>
        </w:rPr>
        <w:t>1</w:t>
      </w:r>
      <w:r>
        <w:rPr>
          <w:bCs/>
          <w:szCs w:val="24"/>
        </w:rPr>
        <w:t>].</w:t>
      </w:r>
    </w:p>
    <w:p w:rsidR="005E28E7" w:rsidRDefault="005E28E7" w:rsidP="005E28E7">
      <w:pPr>
        <w:ind w:firstLine="708"/>
        <w:rPr>
          <w:bCs/>
          <w:szCs w:val="24"/>
        </w:rPr>
      </w:pPr>
    </w:p>
    <w:p w:rsidR="005E28E7" w:rsidRDefault="005E28E7" w:rsidP="005E28E7">
      <w:pPr>
        <w:ind w:firstLine="708"/>
        <w:rPr>
          <w:bCs/>
          <w:szCs w:val="24"/>
        </w:rPr>
      </w:pPr>
      <w:r>
        <w:rPr>
          <w:bCs/>
          <w:szCs w:val="24"/>
        </w:rPr>
        <w:t>Gotowe aplikacje można udostępniać on-line poprzez umieszczenie ich na serwerze. Jednym z głównych i najbardziej rozpowszechnionych serwerów służących do dzielenia sią aplikacjami jest shinyapps.io. Jest to bezpłatna usługa, pozwalająca na szybkie i proste umieszczenie aplikacji na serwerze, a każda dodana aplikacja otrzymuje swój własny adres URL, przez co dostęp do niej jest znacząco ułatwiony.</w:t>
      </w:r>
    </w:p>
    <w:p w:rsidR="005E28E7" w:rsidRDefault="005E28E7" w:rsidP="005E28E7">
      <w:pPr>
        <w:ind w:firstLine="708"/>
        <w:rPr>
          <w:bCs/>
          <w:szCs w:val="24"/>
        </w:rPr>
      </w:pPr>
    </w:p>
    <w:p w:rsidR="005E28E7" w:rsidRDefault="005E28E7" w:rsidP="005E28E7">
      <w:pPr>
        <w:ind w:firstLine="708"/>
        <w:rPr>
          <w:bCs/>
          <w:szCs w:val="24"/>
        </w:rPr>
      </w:pPr>
    </w:p>
    <w:p w:rsidR="0087186F" w:rsidRDefault="0087186F" w:rsidP="0087186F">
      <w:pPr>
        <w:pStyle w:val="Heading2"/>
      </w:pPr>
      <w:bookmarkStart w:id="17" w:name="_Toc471686420"/>
      <w:r>
        <w:lastRenderedPageBreak/>
        <w:t>2.</w:t>
      </w:r>
      <w:r w:rsidR="00861A56">
        <w:t>6</w:t>
      </w:r>
      <w:r>
        <w:t xml:space="preserve"> Przegląd programów do analizy wyników eksperymentu </w:t>
      </w:r>
      <w:r w:rsidR="00647880">
        <w:t>r</w:t>
      </w:r>
      <w:r>
        <w:t>eal-time PCR</w:t>
      </w:r>
      <w:bookmarkEnd w:id="17"/>
    </w:p>
    <w:p w:rsidR="00722F3A" w:rsidRDefault="00755A5B" w:rsidP="00E94970">
      <w:pPr>
        <w:rPr>
          <w:bCs/>
          <w:szCs w:val="24"/>
        </w:rPr>
      </w:pPr>
      <w:r>
        <w:rPr>
          <w:bCs/>
          <w:szCs w:val="24"/>
        </w:rPr>
        <w:tab/>
        <w:t xml:space="preserve">Dotychczas stworzono wiele narzędzi zdolnych do </w:t>
      </w:r>
      <w:r w:rsidR="00FB1EF4">
        <w:rPr>
          <w:bCs/>
          <w:szCs w:val="24"/>
        </w:rPr>
        <w:t>przetwarzania</w:t>
      </w:r>
      <w:r>
        <w:rPr>
          <w:bCs/>
          <w:szCs w:val="24"/>
        </w:rPr>
        <w:t xml:space="preserve"> wyników</w:t>
      </w:r>
      <w:r w:rsidR="00FB1EF4">
        <w:rPr>
          <w:bCs/>
          <w:szCs w:val="24"/>
        </w:rPr>
        <w:t xml:space="preserve"> reakcji</w:t>
      </w:r>
      <w:r>
        <w:rPr>
          <w:bCs/>
          <w:szCs w:val="24"/>
        </w:rPr>
        <w:t xml:space="preserve"> </w:t>
      </w:r>
      <w:r w:rsidR="00647880">
        <w:rPr>
          <w:bCs/>
          <w:szCs w:val="24"/>
        </w:rPr>
        <w:t>r</w:t>
      </w:r>
      <w:r>
        <w:rPr>
          <w:bCs/>
          <w:szCs w:val="24"/>
        </w:rPr>
        <w:t>eal-time PCR</w:t>
      </w:r>
      <w:r w:rsidR="007C2332">
        <w:rPr>
          <w:bCs/>
          <w:szCs w:val="24"/>
        </w:rPr>
        <w:t xml:space="preserve">. </w:t>
      </w:r>
      <w:r w:rsidR="00D104FE">
        <w:rPr>
          <w:bCs/>
          <w:szCs w:val="24"/>
        </w:rPr>
        <w:t xml:space="preserve">Różnią się one zastosowanymi metodami obliczeniowymi, rodzajem wprowadzanych danych, rodzajem podawanych wyników i </w:t>
      </w:r>
      <w:r w:rsidR="0001158E">
        <w:rPr>
          <w:bCs/>
          <w:szCs w:val="24"/>
        </w:rPr>
        <w:t>platformą, na której są dostępne.</w:t>
      </w:r>
      <w:r w:rsidR="005D1DFE">
        <w:rPr>
          <w:bCs/>
          <w:szCs w:val="24"/>
        </w:rPr>
        <w:t xml:space="preserve"> </w:t>
      </w:r>
      <w:r w:rsidR="006D6A6A">
        <w:rPr>
          <w:bCs/>
          <w:szCs w:val="24"/>
        </w:rPr>
        <w:t>Część z nich wymaga od użytkownika podstawowej wiedzy z dziedziny programowania (np. pakiety do R), natomia</w:t>
      </w:r>
      <w:r w:rsidR="00EC7812">
        <w:rPr>
          <w:bCs/>
          <w:szCs w:val="24"/>
        </w:rPr>
        <w:t>st część to aplikacje z interfejsem użytkownika, które mogą być wykorzystane przez znacznie szersze grono użytkowników.</w:t>
      </w:r>
      <w:r w:rsidR="00E46F73">
        <w:rPr>
          <w:bCs/>
          <w:szCs w:val="24"/>
        </w:rPr>
        <w:t xml:space="preserve"> W tym rozdziale skupiono się na programach darmowych, dostępnych dla największej grupy odbiorców, czyli narzędzi internetowych i dostępnych na system Windows.</w:t>
      </w:r>
    </w:p>
    <w:p w:rsidR="00EC7812" w:rsidRDefault="00EC7812" w:rsidP="00E94970">
      <w:pPr>
        <w:rPr>
          <w:bCs/>
          <w:szCs w:val="24"/>
        </w:rPr>
      </w:pPr>
    </w:p>
    <w:p w:rsidR="00C11982" w:rsidRDefault="00CE13AF" w:rsidP="00E94970">
      <w:pPr>
        <w:rPr>
          <w:bCs/>
          <w:szCs w:val="24"/>
        </w:rPr>
      </w:pPr>
      <w:r>
        <w:rPr>
          <w:bCs/>
          <w:szCs w:val="24"/>
        </w:rPr>
        <w:tab/>
      </w:r>
      <w:r w:rsidR="00DF3496">
        <w:rPr>
          <w:bCs/>
          <w:szCs w:val="24"/>
        </w:rPr>
        <w:t xml:space="preserve">Dużą część dostępnych narzędzi tworzą programy działające na systemie Windows. </w:t>
      </w:r>
      <w:r w:rsidR="00783598">
        <w:rPr>
          <w:bCs/>
          <w:szCs w:val="24"/>
        </w:rPr>
        <w:t xml:space="preserve">Aplikacje te </w:t>
      </w:r>
      <w:r w:rsidR="009747FB">
        <w:rPr>
          <w:bCs/>
          <w:szCs w:val="24"/>
        </w:rPr>
        <w:t>mogą wymagać</w:t>
      </w:r>
      <w:r w:rsidR="00783598">
        <w:rPr>
          <w:bCs/>
          <w:szCs w:val="24"/>
        </w:rPr>
        <w:t xml:space="preserve"> instala</w:t>
      </w:r>
      <w:r w:rsidR="009747FB">
        <w:rPr>
          <w:bCs/>
          <w:szCs w:val="24"/>
        </w:rPr>
        <w:t>cji dodatkowego oprogramowania i wymagać od użytkownika podania wielu ustawień.</w:t>
      </w:r>
      <w:r w:rsidR="00C0776F">
        <w:rPr>
          <w:bCs/>
          <w:szCs w:val="24"/>
        </w:rPr>
        <w:t xml:space="preserve"> Konieczne może być również założenie konta na portalu oraz uzyskanie licencji, czasami tylko na krótki okres czasu.</w:t>
      </w:r>
    </w:p>
    <w:p w:rsidR="00C11982" w:rsidRDefault="00C11982" w:rsidP="00E94970">
      <w:pPr>
        <w:rPr>
          <w:bCs/>
          <w:szCs w:val="24"/>
        </w:rPr>
      </w:pPr>
    </w:p>
    <w:p w:rsidR="00CE13AF" w:rsidRDefault="00C11982" w:rsidP="00E94970">
      <w:pPr>
        <w:rPr>
          <w:bCs/>
          <w:szCs w:val="24"/>
        </w:rPr>
      </w:pPr>
      <w:r>
        <w:rPr>
          <w:bCs/>
          <w:szCs w:val="24"/>
        </w:rPr>
        <w:tab/>
      </w:r>
      <w:r w:rsidR="00D555A9">
        <w:rPr>
          <w:bCs/>
          <w:szCs w:val="24"/>
        </w:rPr>
        <w:t xml:space="preserve">Program CopyCaller </w:t>
      </w:r>
      <w:r w:rsidR="00B162B8">
        <w:rPr>
          <w:bCs/>
          <w:szCs w:val="24"/>
        </w:rPr>
        <w:t xml:space="preserve">wykorzystuje metodę relatywną do wyznaczania różnic w ilości kopii pomiędzy sekwencjami bez </w:t>
      </w:r>
      <w:r w:rsidR="003B1B1C">
        <w:rPr>
          <w:bCs/>
          <w:szCs w:val="24"/>
        </w:rPr>
        <w:t>normalizacji względem znanego</w:t>
      </w:r>
      <w:r w:rsidR="003861A1">
        <w:rPr>
          <w:bCs/>
          <w:szCs w:val="24"/>
        </w:rPr>
        <w:t xml:space="preserve"> kalibratora. </w:t>
      </w:r>
      <w:r w:rsidR="00925B8A">
        <w:rPr>
          <w:bCs/>
          <w:szCs w:val="24"/>
        </w:rPr>
        <w:t>Wynikiem działania programu jest liczba kopii próby oraz poziom ufności dla wyznaczonych wartości.</w:t>
      </w:r>
    </w:p>
    <w:p w:rsidR="00C11982" w:rsidRDefault="00C11982" w:rsidP="00E94970">
      <w:pPr>
        <w:rPr>
          <w:bCs/>
          <w:szCs w:val="24"/>
        </w:rPr>
      </w:pPr>
    </w:p>
    <w:p w:rsidR="00C11982" w:rsidRDefault="00C11982" w:rsidP="00E94970">
      <w:pPr>
        <w:rPr>
          <w:bCs/>
          <w:szCs w:val="24"/>
        </w:rPr>
      </w:pPr>
      <w:r>
        <w:rPr>
          <w:bCs/>
          <w:szCs w:val="24"/>
        </w:rPr>
        <w:tab/>
        <w:t>DART-PCR to program bazujący na Excelu, przyjmuj</w:t>
      </w:r>
      <w:r w:rsidR="003B1B1C">
        <w:rPr>
          <w:bCs/>
          <w:szCs w:val="24"/>
        </w:rPr>
        <w:t>ący</w:t>
      </w:r>
      <w:r>
        <w:rPr>
          <w:bCs/>
          <w:szCs w:val="24"/>
        </w:rPr>
        <w:t xml:space="preserve"> surowe dane z eksperymentu i oblicza</w:t>
      </w:r>
      <w:r w:rsidR="003B1B1C">
        <w:rPr>
          <w:bCs/>
          <w:szCs w:val="24"/>
        </w:rPr>
        <w:t>jący</w:t>
      </w:r>
      <w:r>
        <w:rPr>
          <w:bCs/>
          <w:szCs w:val="24"/>
        </w:rPr>
        <w:t xml:space="preserve"> wartości Ct.</w:t>
      </w:r>
      <w:r w:rsidR="00F56FEE">
        <w:rPr>
          <w:bCs/>
          <w:szCs w:val="24"/>
        </w:rPr>
        <w:t xml:space="preserve"> Program wykorzystuje metodę relatywną i potrafi wyznaczyć wydajność na podstawie danych.</w:t>
      </w:r>
      <w:r w:rsidR="002D71A2">
        <w:rPr>
          <w:bCs/>
          <w:szCs w:val="24"/>
        </w:rPr>
        <w:t xml:space="preserve"> Normalizacji dokonuje się jednak względem wydajności podanej przez u</w:t>
      </w:r>
      <w:r w:rsidR="002F04B4">
        <w:rPr>
          <w:bCs/>
          <w:szCs w:val="24"/>
        </w:rPr>
        <w:t>żytkownika, a nie genu referency</w:t>
      </w:r>
      <w:r w:rsidR="002D71A2">
        <w:rPr>
          <w:bCs/>
          <w:szCs w:val="24"/>
        </w:rPr>
        <w:t>jnego.</w:t>
      </w:r>
    </w:p>
    <w:p w:rsidR="002D71A2" w:rsidRDefault="002D71A2" w:rsidP="00E94970">
      <w:pPr>
        <w:rPr>
          <w:bCs/>
          <w:szCs w:val="24"/>
        </w:rPr>
      </w:pPr>
    </w:p>
    <w:p w:rsidR="002D71A2" w:rsidRDefault="002F04B4" w:rsidP="00E94970">
      <w:pPr>
        <w:rPr>
          <w:bCs/>
          <w:szCs w:val="24"/>
        </w:rPr>
      </w:pPr>
      <w:r>
        <w:rPr>
          <w:bCs/>
          <w:szCs w:val="24"/>
        </w:rPr>
        <w:tab/>
      </w:r>
      <w:r w:rsidR="0092098F">
        <w:rPr>
          <w:bCs/>
          <w:szCs w:val="24"/>
        </w:rPr>
        <w:t xml:space="preserve">LinRegPCR to program z graficznym interfejsem służący do analizy surowych danych. </w:t>
      </w:r>
      <w:r w:rsidR="00C439DD">
        <w:rPr>
          <w:bCs/>
          <w:szCs w:val="24"/>
        </w:rPr>
        <w:t>Pozwala on na wyznaczenie linii</w:t>
      </w:r>
      <w:r w:rsidR="003B1B1C">
        <w:rPr>
          <w:bCs/>
          <w:szCs w:val="24"/>
        </w:rPr>
        <w:t xml:space="preserve"> bazowej flu</w:t>
      </w:r>
      <w:r w:rsidR="00C439DD">
        <w:rPr>
          <w:bCs/>
          <w:szCs w:val="24"/>
        </w:rPr>
        <w:t>orescencji i odjęcie jej</w:t>
      </w:r>
      <w:r w:rsidR="003B1B1C">
        <w:rPr>
          <w:bCs/>
          <w:szCs w:val="24"/>
        </w:rPr>
        <w:t xml:space="preserve"> od dnaych</w:t>
      </w:r>
      <w:r w:rsidR="00C439DD">
        <w:rPr>
          <w:bCs/>
          <w:szCs w:val="24"/>
        </w:rPr>
        <w:t>, a następnie wyznaczenie wydajności dla każdej próbki, wartości Ct i początkowe</w:t>
      </w:r>
      <w:r w:rsidR="00A8263B">
        <w:rPr>
          <w:bCs/>
          <w:szCs w:val="24"/>
        </w:rPr>
        <w:t>go</w:t>
      </w:r>
      <w:r w:rsidR="00C439DD">
        <w:rPr>
          <w:bCs/>
          <w:szCs w:val="24"/>
        </w:rPr>
        <w:t xml:space="preserve"> stężeni</w:t>
      </w:r>
      <w:r w:rsidR="00A8263B">
        <w:rPr>
          <w:bCs/>
          <w:szCs w:val="24"/>
        </w:rPr>
        <w:t>a</w:t>
      </w:r>
      <w:r w:rsidR="00C439DD">
        <w:rPr>
          <w:bCs/>
          <w:szCs w:val="24"/>
        </w:rPr>
        <w:t>.</w:t>
      </w:r>
      <w:r w:rsidR="00EC106A">
        <w:rPr>
          <w:bCs/>
          <w:szCs w:val="24"/>
        </w:rPr>
        <w:t xml:space="preserve"> Możliwe jest również stworzenie wykresów w celu porównania wydajności pomiędzy próbkami.</w:t>
      </w:r>
      <w:r w:rsidR="005515C5">
        <w:rPr>
          <w:bCs/>
          <w:szCs w:val="24"/>
        </w:rPr>
        <w:t xml:space="preserve"> Program nie pozwala jednak na jakąkolw</w:t>
      </w:r>
      <w:r w:rsidR="00EB5BBB">
        <w:rPr>
          <w:bCs/>
          <w:szCs w:val="24"/>
        </w:rPr>
        <w:t>iek analizę ilości badanej sekwencji</w:t>
      </w:r>
      <w:r w:rsidR="005515C5">
        <w:rPr>
          <w:bCs/>
          <w:szCs w:val="24"/>
        </w:rPr>
        <w:t>.</w:t>
      </w:r>
    </w:p>
    <w:p w:rsidR="00755A5B" w:rsidRDefault="00755A5B" w:rsidP="00E94970">
      <w:pPr>
        <w:rPr>
          <w:bCs/>
          <w:szCs w:val="24"/>
        </w:rPr>
      </w:pPr>
    </w:p>
    <w:p w:rsidR="00861A56" w:rsidRDefault="00D336EF" w:rsidP="00E94970">
      <w:pPr>
        <w:rPr>
          <w:bCs/>
          <w:szCs w:val="24"/>
        </w:rPr>
      </w:pPr>
      <w:r>
        <w:rPr>
          <w:bCs/>
          <w:szCs w:val="24"/>
        </w:rPr>
        <w:tab/>
      </w:r>
    </w:p>
    <w:p w:rsidR="00D336EF" w:rsidRDefault="00D336EF" w:rsidP="00861A56">
      <w:pPr>
        <w:ind w:firstLine="708"/>
        <w:rPr>
          <w:bCs/>
          <w:szCs w:val="24"/>
        </w:rPr>
      </w:pPr>
      <w:r>
        <w:rPr>
          <w:bCs/>
          <w:szCs w:val="24"/>
        </w:rPr>
        <w:lastRenderedPageBreak/>
        <w:t xml:space="preserve">qBase to program, </w:t>
      </w:r>
      <w:r w:rsidR="005573DA">
        <w:rPr>
          <w:bCs/>
          <w:szCs w:val="24"/>
        </w:rPr>
        <w:t>który bazuje na Excelu i wykorzystuje względną metodę pomiaru ilości.</w:t>
      </w:r>
      <w:r w:rsidR="00862E3A">
        <w:rPr>
          <w:bCs/>
          <w:szCs w:val="24"/>
        </w:rPr>
        <w:t xml:space="preserve"> Wykonywana jest propagacja bł</w:t>
      </w:r>
      <w:r w:rsidR="006E5B73">
        <w:rPr>
          <w:bCs/>
          <w:szCs w:val="24"/>
        </w:rPr>
        <w:t xml:space="preserve">ędów i istnieje możliwość </w:t>
      </w:r>
      <w:r w:rsidR="00862E3A">
        <w:rPr>
          <w:bCs/>
          <w:szCs w:val="24"/>
        </w:rPr>
        <w:t>zastosowania wielu genów referencyjnych.</w:t>
      </w:r>
      <w:r w:rsidR="00E434B9">
        <w:rPr>
          <w:bCs/>
          <w:szCs w:val="24"/>
        </w:rPr>
        <w:t xml:space="preserve"> </w:t>
      </w:r>
      <w:r w:rsidR="006E5B73">
        <w:rPr>
          <w:bCs/>
          <w:szCs w:val="24"/>
        </w:rPr>
        <w:t xml:space="preserve">Istnieje też możliwość wyświetlania krzywych wykorzystywanych do obliczania wydajności oraz oraz względnej ilości próbek. </w:t>
      </w:r>
      <w:r w:rsidR="00750E98">
        <w:rPr>
          <w:bCs/>
          <w:szCs w:val="24"/>
        </w:rPr>
        <w:t>Stworzony został inny program</w:t>
      </w:r>
      <w:r w:rsidR="006E5B73">
        <w:rPr>
          <w:bCs/>
          <w:szCs w:val="24"/>
        </w:rPr>
        <w:t xml:space="preserve"> qBase</w:t>
      </w:r>
      <w:r w:rsidR="006E5B73">
        <w:rPr>
          <w:bCs/>
          <w:szCs w:val="24"/>
          <w:vertAlign w:val="superscript"/>
        </w:rPr>
        <w:t>+</w:t>
      </w:r>
      <w:r w:rsidR="00750E98">
        <w:rPr>
          <w:bCs/>
          <w:szCs w:val="24"/>
        </w:rPr>
        <w:t xml:space="preserve">, który posiada znacznie większą funkcjonalność, jednakże </w:t>
      </w:r>
      <w:r w:rsidR="00774FE2">
        <w:rPr>
          <w:bCs/>
          <w:szCs w:val="24"/>
        </w:rPr>
        <w:t>dostęp do niego jest płatny</w:t>
      </w:r>
      <w:r w:rsidR="00750E98">
        <w:rPr>
          <w:bCs/>
          <w:szCs w:val="24"/>
        </w:rPr>
        <w:t>.</w:t>
      </w:r>
    </w:p>
    <w:p w:rsidR="00CD32CA" w:rsidRDefault="00CD32CA" w:rsidP="00E94970">
      <w:pPr>
        <w:rPr>
          <w:bCs/>
          <w:szCs w:val="24"/>
        </w:rPr>
      </w:pPr>
    </w:p>
    <w:p w:rsidR="0057518D" w:rsidRDefault="00A16948" w:rsidP="00906321">
      <w:r>
        <w:rPr>
          <w:szCs w:val="24"/>
        </w:rPr>
        <w:tab/>
      </w:r>
      <w:r w:rsidR="00906321" w:rsidRPr="00906321">
        <w:t>Relative Expression Software Tool</w:t>
      </w:r>
      <w:r w:rsidR="00906321">
        <w:t xml:space="preserve"> (REST) to aplikacja z interfejsem użytkownika dokonująca względnej analizy ilości próbek. </w:t>
      </w:r>
      <w:r w:rsidR="009B57F1">
        <w:t>Obsługuje on pliki tekstowe z wartościami Ct, pozwala na uwzględnienie różnych wartości wydajności dla genów i potrafi dokonać normalizacji względem wielu genów referencyjnych.</w:t>
      </w:r>
      <w:r w:rsidR="00D30D93">
        <w:t xml:space="preserve"> Możliwe jest również wyświetlanie wykresów pudełkowych dla wyników.</w:t>
      </w:r>
    </w:p>
    <w:p w:rsidR="00D30D93" w:rsidRDefault="00D30D93" w:rsidP="00906321"/>
    <w:p w:rsidR="00D30D93" w:rsidRDefault="007E7AD6" w:rsidP="000011DA">
      <w:pPr>
        <w:ind w:firstLine="708"/>
      </w:pPr>
      <w:r>
        <w:t xml:space="preserve">Narzędzia internetowe pozwalają na prostszą analizę danych i nie wymagają </w:t>
      </w:r>
      <w:r w:rsidR="003B7228">
        <w:t>zwykle</w:t>
      </w:r>
      <w:r>
        <w:t xml:space="preserve"> instalacji programów</w:t>
      </w:r>
      <w:r w:rsidR="003B7228">
        <w:t>, jednakże często istnieje konieczność wykonania kilku dodatkowych czynności.</w:t>
      </w:r>
      <w:r w:rsidR="00D723D1">
        <w:t xml:space="preserve"> Duża część narzędzi opisana w literaturze jest już niestety niedostępna.</w:t>
      </w:r>
    </w:p>
    <w:p w:rsidR="007E7AD6" w:rsidRDefault="007E7AD6" w:rsidP="00906321"/>
    <w:p w:rsidR="0057518D" w:rsidRDefault="003B7228" w:rsidP="00E94970">
      <w:r>
        <w:tab/>
        <w:t>MAKERAGUL</w:t>
      </w:r>
      <w:r w:rsidR="00F14B4C">
        <w:t xml:space="preserve"> to aplikacja wykorzystująca surową fluorescencję w celu wyznaczenia ilości próby bazując na modelu MAK2. Met</w:t>
      </w:r>
      <w:r w:rsidR="00EE5654">
        <w:t>o</w:t>
      </w:r>
      <w:r w:rsidR="00F14B4C">
        <w:t>da ta może być użyta do obliczeń bez wykorzystania krzywych kalibracyjnych i genów referencyjnych.</w:t>
      </w:r>
      <w:r w:rsidR="00EE5654">
        <w:t xml:space="preserve"> </w:t>
      </w:r>
      <w:r w:rsidR="00C57EEE">
        <w:t>Narzędzie to musi być jednak zainstalowane i skonfigurowane na lokalnym serwerze, co może być źródłem wielu trudności.</w:t>
      </w:r>
    </w:p>
    <w:p w:rsidR="00D71F65" w:rsidRDefault="00D71F65" w:rsidP="00E94970"/>
    <w:p w:rsidR="00D71F65" w:rsidRDefault="00D71F65" w:rsidP="00E94970">
      <w:pPr>
        <w:rPr>
          <w:bCs/>
          <w:szCs w:val="24"/>
        </w:rPr>
      </w:pPr>
      <w:r>
        <w:tab/>
      </w:r>
      <w:r w:rsidR="00413C2F">
        <w:t xml:space="preserve">QPCR to internetowe narzędzie zdolne do analizy, przechowywania i zarządzania wynikami z eksperymentu </w:t>
      </w:r>
      <w:r w:rsidR="00647880">
        <w:t>r</w:t>
      </w:r>
      <w:r w:rsidR="00413C2F">
        <w:t>eal-time PCR.</w:t>
      </w:r>
      <w:r w:rsidR="00C06DB6">
        <w:t xml:space="preserve"> Program przyjmuje surowe dane i może wykorzystać wiele metod w celu wyznaczenia wartości Ct</w:t>
      </w:r>
      <w:r w:rsidR="00FF1EBA">
        <w:t xml:space="preserve"> i wydajności</w:t>
      </w:r>
      <w:r w:rsidR="00364F04">
        <w:t>.</w:t>
      </w:r>
      <w:r w:rsidR="00B8159C">
        <w:t xml:space="preserve"> Program posiada szeroką funkcjonalność, np. zdolność wykorzystania wielu genów referencyjnych, </w:t>
      </w:r>
      <w:r w:rsidR="00341389">
        <w:t xml:space="preserve">propagację błędów, </w:t>
      </w:r>
      <w:r w:rsidR="00B8159C">
        <w:t xml:space="preserve">obliczanie </w:t>
      </w:r>
      <w:r w:rsidR="00341389">
        <w:t>krotności zmian w ekspresji i wyświetlanie wykresów pudełkowych dla wyników</w:t>
      </w:r>
      <w:r w:rsidR="00356B56">
        <w:t>. Konieczne jest jed</w:t>
      </w:r>
      <w:r w:rsidR="0001019A">
        <w:t xml:space="preserve">nak założenie konta na portalu, jak również podanie wielu ustawień dla </w:t>
      </w:r>
      <w:r w:rsidR="002B67DA">
        <w:t xml:space="preserve">wykonywanej </w:t>
      </w:r>
      <w:r w:rsidR="0001019A">
        <w:t>analizy.</w:t>
      </w:r>
    </w:p>
    <w:p w:rsidR="00CD32CA" w:rsidRDefault="00CD32CA" w:rsidP="00E94970">
      <w:pPr>
        <w:rPr>
          <w:bCs/>
          <w:szCs w:val="24"/>
        </w:rPr>
      </w:pPr>
      <w:r>
        <w:rPr>
          <w:bCs/>
          <w:szCs w:val="24"/>
        </w:rPr>
        <w:tab/>
      </w:r>
    </w:p>
    <w:p w:rsidR="00861A56" w:rsidRPr="00750E98" w:rsidRDefault="00861A56" w:rsidP="00E94970">
      <w:pPr>
        <w:rPr>
          <w:bCs/>
          <w:szCs w:val="24"/>
        </w:rPr>
      </w:pPr>
    </w:p>
    <w:p w:rsidR="00E94970" w:rsidRDefault="00C25AF1" w:rsidP="00E94970">
      <w:pPr>
        <w:pStyle w:val="Heading1"/>
        <w:numPr>
          <w:ilvl w:val="0"/>
          <w:numId w:val="2"/>
        </w:numPr>
        <w:jc w:val="left"/>
      </w:pPr>
      <w:bookmarkStart w:id="18" w:name="_Toc471686421"/>
      <w:r>
        <w:lastRenderedPageBreak/>
        <w:t>Metodyka</w:t>
      </w:r>
      <w:bookmarkEnd w:id="18"/>
    </w:p>
    <w:p w:rsidR="00D70FE9" w:rsidRPr="00D70FE9" w:rsidRDefault="00D70FE9" w:rsidP="00D70FE9">
      <w:pPr>
        <w:pStyle w:val="Heading2"/>
      </w:pPr>
      <w:bookmarkStart w:id="19" w:name="_Toc471686422"/>
      <w:r>
        <w:t xml:space="preserve">3.1 </w:t>
      </w:r>
      <w:r>
        <w:t>Dane testowe</w:t>
      </w:r>
      <w:bookmarkEnd w:id="19"/>
    </w:p>
    <w:p w:rsidR="00187752" w:rsidRDefault="00187752" w:rsidP="000011DA">
      <w:pPr>
        <w:ind w:firstLine="493"/>
      </w:pPr>
      <w:r>
        <w:t xml:space="preserve">Wszystkie testy aplikacji przeprowadzono na danych z eksperymentu </w:t>
      </w:r>
      <w:r w:rsidR="00647880">
        <w:t>r</w:t>
      </w:r>
      <w:r>
        <w:t xml:space="preserve">eal-time PCR pochodzących z komórek nowotworowych raka jajnika. </w:t>
      </w:r>
      <w:r w:rsidR="00F06D79">
        <w:t xml:space="preserve">Eksperyment został przeprowadzony </w:t>
      </w:r>
      <w:r w:rsidR="00D70FE9">
        <w:br/>
      </w:r>
      <w:r w:rsidR="00F06D79">
        <w:t>z wykorzystaniem sond TaqMan, których mechanizm działania opisano w</w:t>
      </w:r>
      <w:r w:rsidR="00D70FE9">
        <w:t xml:space="preserve"> rozdziale 2.2.1</w:t>
      </w:r>
      <w:r w:rsidR="00737914">
        <w:t xml:space="preserve">. Dzięki temu można było zastosować dokładny pomiar </w:t>
      </w:r>
      <w:r w:rsidR="00D70FE9">
        <w:t>ilości produktów specyficznych dla zaprojektowanych sond</w:t>
      </w:r>
      <w:r w:rsidR="00737914">
        <w:t xml:space="preserve">. </w:t>
      </w:r>
      <w:r w:rsidR="007878EF">
        <w:t xml:space="preserve">Łącznie </w:t>
      </w:r>
      <w:r w:rsidR="007956BF">
        <w:t>do testu aplikacji wykorzystano</w:t>
      </w:r>
      <w:r w:rsidR="007878EF">
        <w:t xml:space="preserve"> 22 pliki z danymi dla 8 genów badanych (</w:t>
      </w:r>
      <w:r w:rsidR="00575A2C" w:rsidRPr="00575A2C">
        <w:t>COL11A1, CSPG2, CTBP1, DSPG3, EIF5, FAP, LOX, MFAP5</w:t>
      </w:r>
      <w:r w:rsidR="007878EF">
        <w:t>) i 3 genów referencyjnych</w:t>
      </w:r>
      <w:r w:rsidR="00575A2C">
        <w:t xml:space="preserve"> (ATP6V1, HADHA, UBE2D2</w:t>
      </w:r>
      <w:r w:rsidR="007956BF">
        <w:t>)</w:t>
      </w:r>
      <w:r w:rsidR="007878EF">
        <w:t xml:space="preserve"> w 2 powtórzeniach. Każdy plik zawiera nazwy próbek, odpowiadające im wartości Ct, wartość Ct dla kalibratora oraz wydajność reakcji.</w:t>
      </w:r>
    </w:p>
    <w:p w:rsidR="00051EDD" w:rsidRDefault="00051EDD" w:rsidP="000011DA">
      <w:pPr>
        <w:ind w:firstLine="493"/>
      </w:pPr>
    </w:p>
    <w:p w:rsidR="00051EDD" w:rsidRDefault="00051EDD" w:rsidP="00051EDD">
      <w:pPr>
        <w:pStyle w:val="Heading2"/>
      </w:pPr>
      <w:bookmarkStart w:id="20" w:name="_Toc471686423"/>
      <w:r>
        <w:t>3.</w:t>
      </w:r>
      <w:r w:rsidR="00D70FE9">
        <w:t>2</w:t>
      </w:r>
      <w:r>
        <w:t xml:space="preserve"> </w:t>
      </w:r>
      <w:r w:rsidR="00FF3D5A">
        <w:t>Opis i s</w:t>
      </w:r>
      <w:r>
        <w:t>truktura aplikacji</w:t>
      </w:r>
      <w:bookmarkEnd w:id="20"/>
    </w:p>
    <w:p w:rsidR="00D20784" w:rsidRDefault="00FF3D5A" w:rsidP="0087697E">
      <w:pPr>
        <w:ind w:firstLine="493"/>
      </w:pPr>
      <w:r>
        <w:t>Aplikacja została wykonana w środowisku R za pomocą pakietu „Shiny”.</w:t>
      </w:r>
      <w:r w:rsidR="003865B1">
        <w:t xml:space="preserve"> Posiada ona interfejs graficzny, w którym użytkownik może dokonać wczytania plików, wyświetlić wyniki analizy oraz obejrzeć wygenerowane wykresy.</w:t>
      </w:r>
      <w:r w:rsidR="00BB6242">
        <w:t xml:space="preserve"> </w:t>
      </w:r>
      <w:r w:rsidR="006622F2">
        <w:t>Zgodnie z wymogami Shiny, aplikacja składa się z 2 głównych skryptów: server.R oraz ui.R, a tekże skryptu o nazwie funkcja1.R oraz obrazków wyświetlanych w narzędziu.</w:t>
      </w:r>
      <w:r w:rsidR="0087697E">
        <w:t xml:space="preserve"> </w:t>
      </w:r>
    </w:p>
    <w:p w:rsidR="00D20784" w:rsidRDefault="00D20784" w:rsidP="0087697E">
      <w:pPr>
        <w:ind w:firstLine="493"/>
      </w:pPr>
    </w:p>
    <w:p w:rsidR="00D20784" w:rsidRDefault="004052E5" w:rsidP="0087697E">
      <w:pPr>
        <w:ind w:firstLine="493"/>
      </w:pPr>
      <w:r>
        <w:t>Skrypt</w:t>
      </w:r>
      <w:r w:rsidR="0087697E">
        <w:t xml:space="preserve"> ui.R zawiera fragment kodu odpowiedzialny za stworzenie interfejsu użytkownika i wszystkich jego elementów. </w:t>
      </w:r>
      <w:r>
        <w:t>Poprzez niego użytkownik może dokonać wczytania następujących plików: listy z nazwami genów oraz plików z danymi z eksperymentów, które są zapisywane jako wejścia (</w:t>
      </w:r>
      <w:r w:rsidRPr="004052E5">
        <w:rPr>
          <w:i/>
        </w:rPr>
        <w:t>inputs</w:t>
      </w:r>
      <w:r>
        <w:t xml:space="preserve">). Przedstawia on również wygląd całego interfejsu wraz </w:t>
      </w:r>
      <w:r w:rsidR="000173A1">
        <w:br/>
      </w:r>
      <w:r>
        <w:t xml:space="preserve">z umiejscowieniem wszystkich paneli, zakładek i widżetów. </w:t>
      </w:r>
    </w:p>
    <w:p w:rsidR="00D20784" w:rsidRDefault="00D20784" w:rsidP="0087697E">
      <w:pPr>
        <w:ind w:firstLine="493"/>
      </w:pPr>
    </w:p>
    <w:p w:rsidR="00D20784" w:rsidRDefault="004052E5" w:rsidP="0087697E">
      <w:pPr>
        <w:ind w:firstLine="493"/>
      </w:pPr>
      <w:r>
        <w:t xml:space="preserve">server.R </w:t>
      </w:r>
      <w:r w:rsidR="008535C1">
        <w:t>służy do tworzenia wszystkich elementów będących wynikiem analizy</w:t>
      </w:r>
      <w:r w:rsidR="00D31196">
        <w:t xml:space="preserve"> (</w:t>
      </w:r>
      <w:r w:rsidR="00D31196">
        <w:rPr>
          <w:i/>
        </w:rPr>
        <w:t>outputs</w:t>
      </w:r>
      <w:r w:rsidR="00D31196">
        <w:t>)</w:t>
      </w:r>
      <w:r w:rsidR="008535C1">
        <w:t>. W nim zdefiniowane są: wybrane geny z listy genów referencyjnych, dane znajdujące się w tabeli wynikowej, wykresy pudełkowe i struktura pliku do pobrania.</w:t>
      </w:r>
      <w:r w:rsidR="00031E8B">
        <w:t xml:space="preserve"> </w:t>
      </w:r>
      <w:r w:rsidR="000173A1">
        <w:t>Są one generowane za pomocą funkcji renderowania na podstawie danych wejściowych.</w:t>
      </w:r>
    </w:p>
    <w:p w:rsidR="00D20784" w:rsidRDefault="00D20784" w:rsidP="0087697E">
      <w:pPr>
        <w:ind w:firstLine="493"/>
      </w:pPr>
    </w:p>
    <w:p w:rsidR="00891492" w:rsidRDefault="00891492" w:rsidP="0087697E">
      <w:pPr>
        <w:ind w:firstLine="493"/>
      </w:pPr>
    </w:p>
    <w:p w:rsidR="00287B36" w:rsidRDefault="00031E8B" w:rsidP="00287B36">
      <w:pPr>
        <w:ind w:firstLine="493"/>
      </w:pPr>
      <w:r>
        <w:lastRenderedPageBreak/>
        <w:t xml:space="preserve">funkcja1.R to funkcja pomocnicza, w której </w:t>
      </w:r>
      <w:r w:rsidR="004B3E29">
        <w:t xml:space="preserve">zaimplementowano metodę Pfaffl i w której wykonywane są wszystkie obliczenia. </w:t>
      </w:r>
      <w:r w:rsidR="00863960">
        <w:t xml:space="preserve">W pierwszym etapie geny dzielone są na dwie grupy: geny badane i referencyjne. Następnie dla wszystkich próbek obliczane są kolejno wartości </w:t>
      </w:r>
      <m:oMath>
        <m:r>
          <w:rPr>
            <w:rFonts w:ascii="Cambria Math" w:hAnsi="Cambria Math"/>
          </w:rPr>
          <m:t>∆Ct</m:t>
        </m:r>
      </m:oMath>
      <w:r w:rsidR="00863960">
        <w:t xml:space="preserve"> oraz </w:t>
      </w:r>
      <w:r w:rsidR="00863960" w:rsidRPr="00713717">
        <w:rPr>
          <w:i/>
        </w:rPr>
        <w:t>Q (</w:t>
      </w:r>
      <m:oMath>
        <m:sSup>
          <m:sSupPr>
            <m:ctrlPr>
              <w:rPr>
                <w:rFonts w:ascii="Cambria Math" w:hAnsi="Cambria Math"/>
                <w:i/>
              </w:rPr>
            </m:ctrlPr>
          </m:sSupPr>
          <m:e>
            <m:r>
              <w:rPr>
                <w:rFonts w:ascii="Cambria Math" w:hAnsi="Cambria Math"/>
              </w:rPr>
              <m:t>E</m:t>
            </m:r>
          </m:e>
          <m:sup>
            <m:r>
              <w:rPr>
                <w:rFonts w:ascii="Cambria Math" w:hAnsi="Cambria Math"/>
              </w:rPr>
              <m:t>∆Ct</m:t>
            </m:r>
          </m:sup>
        </m:sSup>
        <m:r>
          <w:rPr>
            <w:rFonts w:ascii="Cambria Math" w:hAnsi="Cambria Math"/>
          </w:rPr>
          <m:t>)</m:t>
        </m:r>
      </m:oMath>
      <w:r w:rsidR="00863960">
        <w:t xml:space="preserve"> </w:t>
      </w:r>
      <w:r w:rsidR="004E7DAE">
        <w:t xml:space="preserve">zgodnie z protokołem metody Pfaffl </w:t>
      </w:r>
      <w:r w:rsidR="00863960">
        <w:t xml:space="preserve">i sprawdza się obecność powtórzeń dla tego samego genu, dla których oblicza się średnią wartość </w:t>
      </w:r>
      <w:r w:rsidR="00863960" w:rsidRPr="00713717">
        <w:rPr>
          <w:i/>
        </w:rPr>
        <w:t>Q</w:t>
      </w:r>
      <w:r w:rsidR="00863960">
        <w:t>.</w:t>
      </w:r>
      <w:r w:rsidR="00D20784">
        <w:t xml:space="preserve"> Jeżeli dokonano wyboru więcej niż jednego genu referencyjnego, obliczana jest średnia geometryczna wartości </w:t>
      </w:r>
      <w:r w:rsidR="00D20784">
        <w:rPr>
          <w:i/>
        </w:rPr>
        <w:t>Q</w:t>
      </w:r>
      <w:r w:rsidR="00D20784">
        <w:t xml:space="preserve"> wszystkich genów referencyjnych.</w:t>
      </w:r>
      <w:r w:rsidR="00BF14E1">
        <w:t xml:space="preserve"> </w:t>
      </w:r>
      <w:r w:rsidR="00713717">
        <w:t xml:space="preserve">Po wykonaniu </w:t>
      </w:r>
      <w:r w:rsidR="00D20784">
        <w:t>powyższych obliczeń</w:t>
      </w:r>
      <w:r w:rsidR="00713717">
        <w:t xml:space="preserve"> dla genów badanych i referencyjnych obliczona zostaje wartość </w:t>
      </w:r>
      <w:r w:rsidR="00713717">
        <w:rPr>
          <w:i/>
        </w:rPr>
        <w:t>Fold difference</w:t>
      </w:r>
      <w:r w:rsidR="00713717">
        <w:t xml:space="preserve"> </w:t>
      </w:r>
      <w:r w:rsidR="00D20784">
        <w:t>(zmiana ekspresji) zgodnie z poniższym wzorem:</w:t>
      </w:r>
    </w:p>
    <w:tbl>
      <w:tblPr>
        <w:tblW w:w="0" w:type="auto"/>
        <w:tblInd w:w="108" w:type="dxa"/>
        <w:tblLook w:val="01E0" w:firstRow="1" w:lastRow="1" w:firstColumn="1" w:lastColumn="1" w:noHBand="0" w:noVBand="0"/>
      </w:tblPr>
      <w:tblGrid>
        <w:gridCol w:w="1169"/>
        <w:gridCol w:w="358"/>
        <w:gridCol w:w="7271"/>
      </w:tblGrid>
      <w:tr w:rsidR="00D20784" w:rsidTr="00030CB8">
        <w:tc>
          <w:tcPr>
            <w:tcW w:w="8798" w:type="dxa"/>
            <w:gridSpan w:val="3"/>
            <w:vAlign w:val="center"/>
          </w:tcPr>
          <w:tbl>
            <w:tblPr>
              <w:tblW w:w="0" w:type="auto"/>
              <w:tblInd w:w="108" w:type="dxa"/>
              <w:tblLook w:val="01E0" w:firstRow="1" w:lastRow="1" w:firstColumn="1" w:lastColumn="1" w:noHBand="0" w:noVBand="0"/>
            </w:tblPr>
            <w:tblGrid>
              <w:gridCol w:w="7272"/>
              <w:gridCol w:w="1202"/>
            </w:tblGrid>
            <w:tr w:rsidR="00F764E8" w:rsidTr="00030CB8">
              <w:tc>
                <w:tcPr>
                  <w:tcW w:w="7562" w:type="dxa"/>
                  <w:vAlign w:val="center"/>
                </w:tcPr>
                <w:p w:rsidR="00F764E8" w:rsidRPr="00675859" w:rsidRDefault="00F764E8" w:rsidP="00F764E8">
                  <w:pPr>
                    <w:ind w:firstLine="493"/>
                    <w:jc w:val="center"/>
                  </w:pPr>
                  <m:oMathPara>
                    <m:oMath>
                      <m:r>
                        <w:rPr>
                          <w:rFonts w:ascii="Cambria Math" w:hAnsi="Cambria Math"/>
                        </w:rPr>
                        <m:t xml:space="preserve">Fd= </m:t>
                      </m:r>
                      <m:f>
                        <m:fPr>
                          <m:ctrlPr>
                            <w:rPr>
                              <w:rFonts w:ascii="Cambria Math" w:hAnsi="Cambria Math"/>
                              <w:i/>
                            </w:rPr>
                          </m:ctrlPr>
                        </m:fPr>
                        <m:num>
                          <m:r>
                            <w:rPr>
                              <w:rFonts w:ascii="Cambria Math" w:hAnsi="Cambria Math"/>
                            </w:rPr>
                            <m:t>Q</m:t>
                          </m:r>
                          <m:r>
                            <m:rPr>
                              <m:sty m:val="p"/>
                            </m:rPr>
                            <w:rPr>
                              <w:rFonts w:ascii="Cambria Math" w:hAnsi="Cambria Math"/>
                            </w:rPr>
                            <m:t>(gen)</m:t>
                          </m:r>
                        </m:num>
                        <m:den>
                          <m:r>
                            <w:rPr>
                              <w:rFonts w:ascii="Cambria Math" w:hAnsi="Cambria Math"/>
                            </w:rPr>
                            <m:t>Q(ref)</m:t>
                          </m:r>
                        </m:den>
                      </m:f>
                    </m:oMath>
                  </m:oMathPara>
                </w:p>
              </w:tc>
              <w:tc>
                <w:tcPr>
                  <w:tcW w:w="1236" w:type="dxa"/>
                  <w:vAlign w:val="center"/>
                </w:tcPr>
                <w:p w:rsidR="00F764E8" w:rsidRDefault="00F764E8" w:rsidP="00F764E8">
                  <w:pPr>
                    <w:jc w:val="center"/>
                  </w:pPr>
                  <w:r>
                    <w:t>(</w:t>
                  </w:r>
                  <w:r>
                    <w:t>4</w:t>
                  </w:r>
                  <w:r>
                    <w:t>)</w:t>
                  </w:r>
                </w:p>
              </w:tc>
            </w:tr>
          </w:tbl>
          <w:p w:rsidR="00D20784" w:rsidRDefault="00F764E8" w:rsidP="00030CB8">
            <w:pPr>
              <w:jc w:val="left"/>
            </w:pPr>
            <w:r>
              <w:rPr>
                <w:i/>
                <w:iCs/>
              </w:rPr>
              <w:t>gdzie:</w:t>
            </w:r>
          </w:p>
        </w:tc>
      </w:tr>
      <w:tr w:rsidR="007F6A6A" w:rsidTr="00030CB8">
        <w:tc>
          <w:tcPr>
            <w:tcW w:w="1169" w:type="dxa"/>
            <w:vAlign w:val="center"/>
          </w:tcPr>
          <w:p w:rsidR="007F6A6A" w:rsidRPr="00713717" w:rsidRDefault="007F6A6A" w:rsidP="00030CB8">
            <w:pPr>
              <w:jc w:val="left"/>
              <w:rPr>
                <w:i/>
              </w:rPr>
            </w:pPr>
            <w:r>
              <w:rPr>
                <w:i/>
              </w:rPr>
              <w:t>Fd</w:t>
            </w:r>
          </w:p>
        </w:tc>
        <w:tc>
          <w:tcPr>
            <w:tcW w:w="358" w:type="dxa"/>
            <w:vAlign w:val="center"/>
          </w:tcPr>
          <w:p w:rsidR="007F6A6A" w:rsidRDefault="007F6A6A" w:rsidP="00030CB8">
            <w:pPr>
              <w:jc w:val="left"/>
              <w:rPr>
                <w:i/>
                <w:iCs/>
              </w:rPr>
            </w:pPr>
            <w:r>
              <w:rPr>
                <w:i/>
                <w:iCs/>
              </w:rPr>
              <w:t>–</w:t>
            </w:r>
          </w:p>
        </w:tc>
        <w:tc>
          <w:tcPr>
            <w:tcW w:w="7271" w:type="dxa"/>
            <w:vAlign w:val="center"/>
          </w:tcPr>
          <w:p w:rsidR="007F6A6A" w:rsidRPr="007F6A6A" w:rsidRDefault="007F6A6A" w:rsidP="00030CB8">
            <w:pPr>
              <w:jc w:val="left"/>
              <w:rPr>
                <w:i/>
              </w:rPr>
            </w:pPr>
            <w:r>
              <w:rPr>
                <w:i/>
              </w:rPr>
              <w:t>fold difference,</w:t>
            </w:r>
          </w:p>
        </w:tc>
      </w:tr>
      <w:tr w:rsidR="00D20784" w:rsidTr="00030CB8">
        <w:tc>
          <w:tcPr>
            <w:tcW w:w="1169" w:type="dxa"/>
            <w:vAlign w:val="center"/>
          </w:tcPr>
          <w:p w:rsidR="00D20784" w:rsidRPr="00CF5563" w:rsidRDefault="00D20784" w:rsidP="00030CB8">
            <w:pPr>
              <w:jc w:val="left"/>
              <w:rPr>
                <w:i/>
                <w:iCs/>
              </w:rPr>
            </w:pPr>
            <w:r w:rsidRPr="00713717">
              <w:rPr>
                <w:i/>
              </w:rPr>
              <w:t>Q(gen</w:t>
            </w:r>
            <w:r>
              <w:rPr>
                <w:i/>
              </w:rPr>
              <w:t>)</w:t>
            </w:r>
          </w:p>
        </w:tc>
        <w:tc>
          <w:tcPr>
            <w:tcW w:w="358" w:type="dxa"/>
            <w:vAlign w:val="center"/>
          </w:tcPr>
          <w:p w:rsidR="00D20784" w:rsidRDefault="00D20784" w:rsidP="00030CB8">
            <w:pPr>
              <w:jc w:val="left"/>
              <w:rPr>
                <w:i/>
                <w:iCs/>
              </w:rPr>
            </w:pPr>
            <w:r>
              <w:rPr>
                <w:i/>
                <w:iCs/>
              </w:rPr>
              <w:t>–</w:t>
            </w:r>
          </w:p>
        </w:tc>
        <w:tc>
          <w:tcPr>
            <w:tcW w:w="7271" w:type="dxa"/>
            <w:vAlign w:val="center"/>
          </w:tcPr>
          <w:p w:rsidR="00D20784" w:rsidRPr="007F6A6A" w:rsidRDefault="00D20784" w:rsidP="00030CB8">
            <w:pPr>
              <w:jc w:val="left"/>
              <w:rPr>
                <w:i/>
              </w:rPr>
            </w:pPr>
            <w:r w:rsidRPr="007F6A6A">
              <w:rPr>
                <w:i/>
              </w:rPr>
              <w:t>wartość Q dla genu badanego</w:t>
            </w:r>
            <w:r w:rsidRPr="007F6A6A">
              <w:rPr>
                <w:i/>
                <w:iCs/>
              </w:rPr>
              <w:t>,</w:t>
            </w:r>
          </w:p>
        </w:tc>
      </w:tr>
      <w:tr w:rsidR="00D20784" w:rsidTr="00030CB8">
        <w:tc>
          <w:tcPr>
            <w:tcW w:w="1169" w:type="dxa"/>
            <w:vAlign w:val="center"/>
          </w:tcPr>
          <w:p w:rsidR="00D20784" w:rsidRPr="00CF5563" w:rsidRDefault="00D20784" w:rsidP="00030CB8">
            <w:pPr>
              <w:jc w:val="left"/>
              <w:rPr>
                <w:i/>
                <w:iCs/>
              </w:rPr>
            </w:pPr>
            <w:r w:rsidRPr="00713717">
              <w:rPr>
                <w:i/>
              </w:rPr>
              <w:t>Q(ref)</w:t>
            </w:r>
          </w:p>
        </w:tc>
        <w:tc>
          <w:tcPr>
            <w:tcW w:w="358" w:type="dxa"/>
            <w:vAlign w:val="center"/>
          </w:tcPr>
          <w:p w:rsidR="00D20784" w:rsidRDefault="00D20784" w:rsidP="00030CB8">
            <w:pPr>
              <w:jc w:val="left"/>
              <w:rPr>
                <w:i/>
                <w:iCs/>
              </w:rPr>
            </w:pPr>
            <w:r>
              <w:rPr>
                <w:i/>
                <w:iCs/>
              </w:rPr>
              <w:t>–</w:t>
            </w:r>
          </w:p>
        </w:tc>
        <w:tc>
          <w:tcPr>
            <w:tcW w:w="7271" w:type="dxa"/>
            <w:vAlign w:val="center"/>
          </w:tcPr>
          <w:p w:rsidR="00D20784" w:rsidRPr="007F6A6A" w:rsidRDefault="007F6A6A" w:rsidP="007F6A6A">
            <w:pPr>
              <w:jc w:val="left"/>
              <w:rPr>
                <w:i/>
                <w:iCs/>
              </w:rPr>
            </w:pPr>
            <w:r w:rsidRPr="007F6A6A">
              <w:rPr>
                <w:i/>
              </w:rPr>
              <w:t xml:space="preserve">wartość Q dla genu </w:t>
            </w:r>
            <w:r w:rsidRPr="007F6A6A">
              <w:rPr>
                <w:i/>
              </w:rPr>
              <w:t>referencyjnego</w:t>
            </w:r>
            <w:r>
              <w:rPr>
                <w:i/>
                <w:iCs/>
              </w:rPr>
              <w:t>.</w:t>
            </w:r>
          </w:p>
        </w:tc>
      </w:tr>
    </w:tbl>
    <w:p w:rsidR="002E02B2" w:rsidRDefault="002E02B2" w:rsidP="002E02B2"/>
    <w:p w:rsidR="00891492" w:rsidRDefault="00891492"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B03939" w:rsidRDefault="00B03939" w:rsidP="002E02B2"/>
    <w:p w:rsidR="00801203" w:rsidRDefault="00801203" w:rsidP="00801203">
      <w:pPr>
        <w:pStyle w:val="Heading2"/>
      </w:pPr>
      <w:bookmarkStart w:id="21" w:name="_Toc471686424"/>
      <w:r>
        <w:lastRenderedPageBreak/>
        <w:t>3.</w:t>
      </w:r>
      <w:r w:rsidR="00D70FE9">
        <w:t>3</w:t>
      </w:r>
      <w:r>
        <w:t xml:space="preserve"> Interfejs graficzny</w:t>
      </w:r>
      <w:bookmarkEnd w:id="21"/>
    </w:p>
    <w:p w:rsidR="000011DA" w:rsidRDefault="00412D74" w:rsidP="000011DA">
      <w:pPr>
        <w:ind w:firstLine="493"/>
      </w:pPr>
      <w:r>
        <w:t>Interfejs graficzny stworzonej aplikacji</w:t>
      </w:r>
      <w:r w:rsidR="00177079">
        <w:t xml:space="preserve"> składa się z 2 głównych części: panelu bocznego oraz panelu głównego. </w:t>
      </w:r>
    </w:p>
    <w:p w:rsidR="000011DA" w:rsidRDefault="000011DA" w:rsidP="000011DA">
      <w:pPr>
        <w:ind w:firstLine="493"/>
      </w:pPr>
    </w:p>
    <w:p w:rsidR="00801203" w:rsidRDefault="00895AC0" w:rsidP="00E070E7">
      <w:pPr>
        <w:ind w:firstLine="493"/>
      </w:pPr>
      <w:r>
        <w:t xml:space="preserve">W panelu bocznym znajdują się elementy interfejsu związane z wczytywaniem i wyborem danych. </w:t>
      </w:r>
      <w:r w:rsidR="00A97144">
        <w:t>W pierwszym kroku użytkownik ma możliwość wczytania pliku z listą nazw genów referencyjnych. Następnie użytkownik dokonuje wyboru genów z wczytanej listy, które zostaną wykorzystane do analizy danych. W trzecim kroku użytkownik wczytuje zastaw danych z eksperymentu. Po wykonaniu powyższych czynności można</w:t>
      </w:r>
      <w:r w:rsidR="00741379">
        <w:t xml:space="preserve"> rozpocząć wykonywanie obliczeń</w:t>
      </w:r>
      <w:r w:rsidR="00A97144">
        <w:t xml:space="preserve"> poprzez naciśnięcie przycisku „ANALYSE”.</w:t>
      </w:r>
      <w:r w:rsidR="002F6151">
        <w:t xml:space="preserve"> Istnieje również możliwość pobrania wyników wykonanej analizy poprzez naciśnięcie przycisku „Download the results”.</w:t>
      </w:r>
      <w:r w:rsidR="008261DC">
        <w:t xml:space="preserve"> </w:t>
      </w:r>
    </w:p>
    <w:p w:rsidR="00891492" w:rsidRDefault="00891492" w:rsidP="002916C9"/>
    <w:p w:rsidR="000C6F76" w:rsidRDefault="00E070E7" w:rsidP="000C6F76">
      <w:pPr>
        <w:ind w:firstLine="493"/>
        <w:sectPr w:rsidR="000C6F76" w:rsidSect="00A55319">
          <w:pgSz w:w="11906" w:h="16838" w:code="9"/>
          <w:pgMar w:top="1440" w:right="1440" w:bottom="1440" w:left="1560" w:header="709" w:footer="709" w:gutter="0"/>
          <w:cols w:space="708"/>
          <w:docGrid w:linePitch="360"/>
        </w:sectPr>
      </w:pPr>
      <w:r>
        <w:t>W panelu głównym znajdują się cztery zakładki: Tool description, Results, Boxplot – genes oraz Boxplot – samples. W pierwszej z nich znajduje się krótki opis narzędzia</w:t>
      </w:r>
      <w:r w:rsidR="004201A0">
        <w:t>, instrukcja obsługi</w:t>
      </w:r>
      <w:r>
        <w:t xml:space="preserve"> oraz lista potrzebnych plików wraz z obrazkami przedstawiającymi ich wymaganą </w:t>
      </w:r>
      <w:r w:rsidR="004201A0">
        <w:t>strukturę, jak również wymagany format nazwy plików.</w:t>
      </w:r>
      <w:r w:rsidR="00584357">
        <w:t xml:space="preserve"> W drugiej znajduje się tabela z wynikiem analizy, w trzeciej wykres pudełkowy dla każdego genu</w:t>
      </w:r>
      <w:r w:rsidR="00AB46BB">
        <w:t>,</w:t>
      </w:r>
      <w:r w:rsidR="00584357">
        <w:t xml:space="preserve"> a w ostatniej wykres pudełkowy dla każdej próbki.</w:t>
      </w:r>
    </w:p>
    <w:p w:rsidR="00095398" w:rsidRDefault="00FB73F0" w:rsidP="00095398">
      <w:pPr>
        <w:keepNext/>
      </w:pPr>
      <w:r>
        <w:rPr>
          <w:noProof/>
        </w:rPr>
        <w:lastRenderedPageBreak/>
        <w:drawing>
          <wp:inline distT="0" distB="0" distL="0" distR="0">
            <wp:extent cx="5648325" cy="7143750"/>
            <wp:effectExtent l="0" t="0" r="9525" b="0"/>
            <wp:docPr id="3" name="Picture 3" descr="C:\Users\jakpo_000\Desktop\gu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jakpo_000\Desktop\gui.png"/>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648325" cy="7143750"/>
                    </a:xfrm>
                    <a:prstGeom prst="rect">
                      <a:avLst/>
                    </a:prstGeom>
                    <a:noFill/>
                    <a:ln>
                      <a:noFill/>
                    </a:ln>
                  </pic:spPr>
                </pic:pic>
              </a:graphicData>
            </a:graphic>
          </wp:inline>
        </w:drawing>
      </w:r>
    </w:p>
    <w:p w:rsidR="000C6F76" w:rsidRDefault="00095398" w:rsidP="00095398">
      <w:pPr>
        <w:pStyle w:val="Caption"/>
        <w:jc w:val="center"/>
        <w:sectPr w:rsidR="000C6F76" w:rsidSect="00E1556F">
          <w:pgSz w:w="11906" w:h="16838" w:code="9"/>
          <w:pgMar w:top="1440" w:right="1440" w:bottom="1440" w:left="1559" w:header="709" w:footer="709" w:gutter="0"/>
          <w:cols w:space="708"/>
          <w:docGrid w:linePitch="360"/>
        </w:sectPr>
      </w:pPr>
      <w:r>
        <w:t xml:space="preserve">Obraz </w:t>
      </w:r>
      <w:r>
        <w:fldChar w:fldCharType="begin"/>
      </w:r>
      <w:r>
        <w:instrText xml:space="preserve"> SEQ Obraz \* ARABIC </w:instrText>
      </w:r>
      <w:r>
        <w:fldChar w:fldCharType="separate"/>
      </w:r>
      <w:r w:rsidR="004B64AC">
        <w:rPr>
          <w:noProof/>
        </w:rPr>
        <w:t>1</w:t>
      </w:r>
      <w:r>
        <w:fldChar w:fldCharType="end"/>
      </w:r>
      <w:r>
        <w:t xml:space="preserve"> Interfejs graficzny stworzonej aplikacji</w:t>
      </w:r>
    </w:p>
    <w:p w:rsidR="00741379" w:rsidRDefault="00741379" w:rsidP="00741379">
      <w:pPr>
        <w:pStyle w:val="Heading2"/>
      </w:pPr>
      <w:bookmarkStart w:id="22" w:name="_Toc471686425"/>
      <w:r>
        <w:lastRenderedPageBreak/>
        <w:t>3.</w:t>
      </w:r>
      <w:r>
        <w:t>4</w:t>
      </w:r>
      <w:r>
        <w:t xml:space="preserve"> </w:t>
      </w:r>
      <w:r>
        <w:t>Wynik</w:t>
      </w:r>
      <w:r w:rsidR="00457DEA">
        <w:t>i</w:t>
      </w:r>
      <w:r>
        <w:t xml:space="preserve"> działania programu</w:t>
      </w:r>
      <w:bookmarkEnd w:id="22"/>
    </w:p>
    <w:p w:rsidR="006F1F6B" w:rsidRDefault="00C9588B" w:rsidP="00C9588B">
      <w:pPr>
        <w:ind w:left="493"/>
      </w:pPr>
      <w:r>
        <w:t xml:space="preserve">Po wykonaniu obliczeń dla danych wykorzystanych do testów program </w:t>
      </w:r>
      <w:r w:rsidR="00741379">
        <w:t>generuje</w:t>
      </w:r>
      <w:r w:rsidR="006F1F6B">
        <w:t>:</w:t>
      </w:r>
    </w:p>
    <w:p w:rsidR="00E94970" w:rsidRDefault="00D4254B" w:rsidP="004A5D8B">
      <w:pPr>
        <w:pStyle w:val="ListParagraph"/>
        <w:numPr>
          <w:ilvl w:val="0"/>
          <w:numId w:val="8"/>
        </w:numPr>
      </w:pPr>
      <w:r>
        <w:t>t</w:t>
      </w:r>
      <w:r w:rsidR="00C9588B">
        <w:t xml:space="preserve">abelę z wartościami </w:t>
      </w:r>
      <w:r w:rsidR="00C9588B" w:rsidRPr="004A5D8B">
        <w:rPr>
          <w:i/>
        </w:rPr>
        <w:t>Fold difference</w:t>
      </w:r>
      <w:r w:rsidR="006F1F6B">
        <w:t>,</w:t>
      </w:r>
    </w:p>
    <w:p w:rsidR="00095398" w:rsidRDefault="006F1F6B" w:rsidP="004A5D8B">
      <w:pPr>
        <w:keepNext/>
      </w:pPr>
      <w:r>
        <w:rPr>
          <w:noProof/>
        </w:rPr>
        <w:drawing>
          <wp:inline distT="0" distB="0" distL="0" distR="0" wp14:anchorId="36F3878A" wp14:editId="37A3955F">
            <wp:extent cx="5648325" cy="3810000"/>
            <wp:effectExtent l="0" t="0" r="952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648325" cy="3810000"/>
                    </a:xfrm>
                    <a:prstGeom prst="rect">
                      <a:avLst/>
                    </a:prstGeom>
                    <a:noFill/>
                    <a:ln>
                      <a:noFill/>
                    </a:ln>
                  </pic:spPr>
                </pic:pic>
              </a:graphicData>
            </a:graphic>
          </wp:inline>
        </w:drawing>
      </w:r>
    </w:p>
    <w:p w:rsidR="006F1F6B" w:rsidRDefault="00095398" w:rsidP="00095398">
      <w:pPr>
        <w:pStyle w:val="Caption"/>
        <w:jc w:val="center"/>
      </w:pPr>
      <w:r>
        <w:t xml:space="preserve">Obraz </w:t>
      </w:r>
      <w:r>
        <w:fldChar w:fldCharType="begin"/>
      </w:r>
      <w:r>
        <w:instrText xml:space="preserve"> SEQ Obraz \* ARABIC </w:instrText>
      </w:r>
      <w:r>
        <w:fldChar w:fldCharType="separate"/>
      </w:r>
      <w:r w:rsidR="004B64AC">
        <w:rPr>
          <w:noProof/>
        </w:rPr>
        <w:t>2</w:t>
      </w:r>
      <w:r>
        <w:fldChar w:fldCharType="end"/>
      </w:r>
      <w:r>
        <w:t xml:space="preserve"> </w:t>
      </w:r>
      <w:r w:rsidR="00805C54">
        <w:t>Fragment tabeli wynikowej</w:t>
      </w:r>
    </w:p>
    <w:p w:rsidR="00D7524C" w:rsidRDefault="00D7524C" w:rsidP="00D7524C">
      <w:pPr>
        <w:pStyle w:val="ListParagraph"/>
        <w:ind w:left="1275"/>
      </w:pPr>
    </w:p>
    <w:p w:rsidR="006F1F6B" w:rsidRDefault="00D4254B" w:rsidP="004A5D8B">
      <w:pPr>
        <w:pStyle w:val="ListParagraph"/>
        <w:numPr>
          <w:ilvl w:val="0"/>
          <w:numId w:val="8"/>
        </w:numPr>
      </w:pPr>
      <w:r>
        <w:t>w</w:t>
      </w:r>
      <w:r w:rsidR="006F1F6B">
        <w:t>ykresy pudełkowe dla wszystkich genów,</w:t>
      </w:r>
    </w:p>
    <w:p w:rsidR="00095398" w:rsidRDefault="00D7524C" w:rsidP="004A5D8B">
      <w:pPr>
        <w:keepNext/>
      </w:pPr>
      <w:r>
        <w:rPr>
          <w:noProof/>
        </w:rPr>
        <w:drawing>
          <wp:inline distT="0" distB="0" distL="0" distR="0" wp14:anchorId="19A627FE" wp14:editId="165903E2">
            <wp:extent cx="5648325" cy="2095500"/>
            <wp:effectExtent l="0" t="0" r="9525" b="0"/>
            <wp:docPr id="9" name="Picture 9" descr="C:\Users\jakpo_000\Desktop\bo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C:\Users\jakpo_000\Desktop\box.pn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648325" cy="2095500"/>
                    </a:xfrm>
                    <a:prstGeom prst="rect">
                      <a:avLst/>
                    </a:prstGeom>
                    <a:noFill/>
                    <a:ln>
                      <a:noFill/>
                    </a:ln>
                  </pic:spPr>
                </pic:pic>
              </a:graphicData>
            </a:graphic>
          </wp:inline>
        </w:drawing>
      </w:r>
    </w:p>
    <w:p w:rsidR="006F1F6B" w:rsidRDefault="00095398" w:rsidP="00095398">
      <w:pPr>
        <w:pStyle w:val="Caption"/>
        <w:jc w:val="center"/>
      </w:pPr>
      <w:r>
        <w:t xml:space="preserve">Obraz </w:t>
      </w:r>
      <w:r>
        <w:fldChar w:fldCharType="begin"/>
      </w:r>
      <w:r>
        <w:instrText xml:space="preserve"> SEQ Obraz \* ARABIC </w:instrText>
      </w:r>
      <w:r>
        <w:fldChar w:fldCharType="separate"/>
      </w:r>
      <w:r w:rsidR="004B64AC">
        <w:rPr>
          <w:noProof/>
        </w:rPr>
        <w:t>3</w:t>
      </w:r>
      <w:r>
        <w:fldChar w:fldCharType="end"/>
      </w:r>
      <w:r>
        <w:t xml:space="preserve"> Wykresy pudełkowe dla zadanych genów</w:t>
      </w:r>
    </w:p>
    <w:p w:rsidR="00095398" w:rsidRDefault="00095398" w:rsidP="00095398"/>
    <w:p w:rsidR="00095398" w:rsidRDefault="00095398" w:rsidP="00095398"/>
    <w:p w:rsidR="00095398" w:rsidRPr="00095398" w:rsidRDefault="00095398" w:rsidP="00095398"/>
    <w:p w:rsidR="006F1F6B" w:rsidRDefault="00D4254B" w:rsidP="004A5D8B">
      <w:pPr>
        <w:pStyle w:val="ListParagraph"/>
        <w:numPr>
          <w:ilvl w:val="0"/>
          <w:numId w:val="8"/>
        </w:numPr>
      </w:pPr>
      <w:r>
        <w:lastRenderedPageBreak/>
        <w:t>w</w:t>
      </w:r>
      <w:r w:rsidR="006F1F6B">
        <w:t>ykresy pudełkowe dla wszystkich próbek.</w:t>
      </w:r>
    </w:p>
    <w:p w:rsidR="00095398" w:rsidRDefault="00D7524C" w:rsidP="00095398">
      <w:pPr>
        <w:keepNext/>
      </w:pPr>
      <w:r>
        <w:rPr>
          <w:noProof/>
        </w:rPr>
        <w:drawing>
          <wp:inline distT="0" distB="0" distL="0" distR="0" wp14:anchorId="6FF6A8F3" wp14:editId="64BC66CA">
            <wp:extent cx="5648325" cy="2600325"/>
            <wp:effectExtent l="0" t="0" r="9525" b="9525"/>
            <wp:docPr id="10" name="Picture 10" descr="C:\Users\jakpo_000\Desktop\box-sa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C:\Users\jakpo_000\Desktop\box-sam.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48325" cy="2600325"/>
                    </a:xfrm>
                    <a:prstGeom prst="rect">
                      <a:avLst/>
                    </a:prstGeom>
                    <a:noFill/>
                    <a:ln>
                      <a:noFill/>
                    </a:ln>
                  </pic:spPr>
                </pic:pic>
              </a:graphicData>
            </a:graphic>
          </wp:inline>
        </w:drawing>
      </w:r>
    </w:p>
    <w:p w:rsidR="006F1F6B" w:rsidRDefault="00095398" w:rsidP="00095398">
      <w:pPr>
        <w:pStyle w:val="Caption"/>
        <w:jc w:val="center"/>
      </w:pPr>
      <w:r>
        <w:t xml:space="preserve">Obraz </w:t>
      </w:r>
      <w:r>
        <w:fldChar w:fldCharType="begin"/>
      </w:r>
      <w:r>
        <w:instrText xml:space="preserve"> SEQ Obraz \* ARABIC </w:instrText>
      </w:r>
      <w:r>
        <w:fldChar w:fldCharType="separate"/>
      </w:r>
      <w:r w:rsidR="004B64AC">
        <w:rPr>
          <w:noProof/>
        </w:rPr>
        <w:t>4</w:t>
      </w:r>
      <w:r>
        <w:fldChar w:fldCharType="end"/>
      </w:r>
      <w:r>
        <w:t xml:space="preserve"> Przykładowy wykres pudełkowy dla jednej z próbek</w:t>
      </w:r>
    </w:p>
    <w:p w:rsidR="00095398" w:rsidRPr="00095398" w:rsidRDefault="00095398" w:rsidP="00095398"/>
    <w:p w:rsidR="00D7524C" w:rsidRDefault="004A5D8B" w:rsidP="004A5D8B">
      <w:pPr>
        <w:pStyle w:val="ListParagraph"/>
        <w:numPr>
          <w:ilvl w:val="0"/>
          <w:numId w:val="8"/>
        </w:numPr>
      </w:pPr>
      <w:r>
        <w:t xml:space="preserve">plik z wynikami w </w:t>
      </w:r>
      <w:bookmarkStart w:id="23" w:name="_GoBack"/>
      <w:bookmarkEnd w:id="23"/>
      <w:r w:rsidR="00D7524C">
        <w:t xml:space="preserve">formacie </w:t>
      </w:r>
      <w:r w:rsidR="00095398">
        <w:t>XLSX</w:t>
      </w:r>
      <w:r w:rsidR="00D7524C">
        <w:t xml:space="preserve">. </w:t>
      </w:r>
    </w:p>
    <w:p w:rsidR="004B64AC" w:rsidRDefault="00AD2D06" w:rsidP="004B64AC">
      <w:pPr>
        <w:keepNext/>
      </w:pPr>
      <w:r>
        <w:rPr>
          <w:noProof/>
        </w:rPr>
        <w:drawing>
          <wp:inline distT="0" distB="0" distL="0" distR="0" wp14:anchorId="2AC03E9B" wp14:editId="2C2E9760">
            <wp:extent cx="5669280" cy="4114800"/>
            <wp:effectExtent l="0" t="0" r="762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669280" cy="4114800"/>
                    </a:xfrm>
                    <a:prstGeom prst="rect">
                      <a:avLst/>
                    </a:prstGeom>
                    <a:noFill/>
                    <a:ln>
                      <a:noFill/>
                    </a:ln>
                  </pic:spPr>
                </pic:pic>
              </a:graphicData>
            </a:graphic>
          </wp:inline>
        </w:drawing>
      </w:r>
    </w:p>
    <w:p w:rsidR="00AD2D06" w:rsidRDefault="004B64AC" w:rsidP="004B64AC">
      <w:pPr>
        <w:pStyle w:val="Caption"/>
        <w:jc w:val="center"/>
      </w:pPr>
      <w:r>
        <w:t xml:space="preserve">Obraz </w:t>
      </w:r>
      <w:r>
        <w:fldChar w:fldCharType="begin"/>
      </w:r>
      <w:r>
        <w:instrText xml:space="preserve"> SEQ Obraz \* ARABIC </w:instrText>
      </w:r>
      <w:r>
        <w:fldChar w:fldCharType="separate"/>
      </w:r>
      <w:r>
        <w:rPr>
          <w:noProof/>
        </w:rPr>
        <w:t>5</w:t>
      </w:r>
      <w:r>
        <w:fldChar w:fldCharType="end"/>
      </w:r>
      <w:r>
        <w:t xml:space="preserve"> Pobrane wyniki w formacie XLSX</w:t>
      </w:r>
    </w:p>
    <w:p w:rsidR="005F7EC1" w:rsidRDefault="005F7EC1" w:rsidP="00D7524C"/>
    <w:p w:rsidR="00C9588B" w:rsidRDefault="00E94970" w:rsidP="00E1556F">
      <w:pPr>
        <w:pStyle w:val="Heading1"/>
        <w:numPr>
          <w:ilvl w:val="0"/>
          <w:numId w:val="2"/>
        </w:numPr>
        <w:jc w:val="left"/>
      </w:pPr>
      <w:r>
        <w:br w:type="page"/>
      </w:r>
      <w:r>
        <w:lastRenderedPageBreak/>
        <w:t xml:space="preserve"> </w:t>
      </w:r>
      <w:bookmarkStart w:id="24" w:name="_Toc471686426"/>
      <w:r w:rsidR="00DE236D">
        <w:t>Podsumowanie</w:t>
      </w:r>
      <w:bookmarkEnd w:id="24"/>
    </w:p>
    <w:p w:rsidR="00E1556F" w:rsidRDefault="00F81D18" w:rsidP="00F81D18">
      <w:pPr>
        <w:ind w:firstLine="567"/>
      </w:pPr>
      <w:r>
        <w:t>Analiza danych z eksperymentów będących źródłem bardzo dużej ilości danych</w:t>
      </w:r>
      <w:r w:rsidR="006C1088">
        <w:t xml:space="preserve">, do których należy </w:t>
      </w:r>
      <w:r w:rsidR="00647880">
        <w:t>r</w:t>
      </w:r>
      <w:r w:rsidR="006C1088">
        <w:t>eal-time PCR,</w:t>
      </w:r>
      <w:r>
        <w:t xml:space="preserve"> jest bardzo trudna bez zastosowania zaawansowanych metod komputerowych.</w:t>
      </w:r>
      <w:r w:rsidR="005F7EC1">
        <w:t xml:space="preserve"> </w:t>
      </w:r>
      <w:r w:rsidR="006C1088">
        <w:t xml:space="preserve">Brak biegłości w tej dziedzinie może być dla osób zajmujących się tymi badaniami barierą uniemożliwiającą utrzymanie tempa prowadzonych badań i może wymagać pomocy ze strony innych specjalistów lub zakupu dodatkowego oprogramowania. </w:t>
      </w:r>
      <w:r w:rsidR="001A60C2">
        <w:t xml:space="preserve">Realizacja celów niniejszego projektu inżynierskiego miała za zadanie rozwiązanie tego problemu, co próbowano osiągnąć tworząc </w:t>
      </w:r>
      <w:r w:rsidR="00D149EA">
        <w:t>opisaną w tej pracy aplikację i dbając o jej funkcjonalność.</w:t>
      </w:r>
      <w:r w:rsidR="001A60C2">
        <w:t xml:space="preserve"> </w:t>
      </w:r>
      <w:r w:rsidR="009A62F4">
        <w:t xml:space="preserve">Stworzony interfejs użytkownika jest prosty w obsłudze, program pozwala na prostą i szybką </w:t>
      </w:r>
      <w:r w:rsidR="00513EAA">
        <w:t>analizę danych, wykorzystując metodę Pfaffl, która pozwala na osiągnięcie dokładniejszych wyników dzięki wykorzystaniu wydajności reakcji.</w:t>
      </w:r>
      <w:r w:rsidR="0043039A">
        <w:t xml:space="preserve"> </w:t>
      </w:r>
      <w:r w:rsidR="00D93E30">
        <w:t xml:space="preserve">Narzędzie zawiera też informację, jak krok po kroku wykonać analizę i jak przygotować do niej dane. </w:t>
      </w:r>
      <w:r w:rsidR="0085712A">
        <w:t xml:space="preserve">Tabela oraz wykresy pudełkowe dla genów i pojedynczych próbek pozwalają na porównanie wyników pomiędzy sobą </w:t>
      </w:r>
      <w:r w:rsidR="00183384">
        <w:t>oraz pomagają wskazać czynniki, które mogą mieć wpływ na różnicę w ekspresji poszczególnych genów.</w:t>
      </w:r>
    </w:p>
    <w:p w:rsidR="0043039A" w:rsidRDefault="0043039A" w:rsidP="005F7EC1"/>
    <w:p w:rsidR="0043039A" w:rsidRPr="00C9588B" w:rsidRDefault="0043039A" w:rsidP="005F7EC1">
      <w:r>
        <w:tab/>
        <w:t xml:space="preserve">Narzędzie to wymaga jednak od użytkownika, aby z surowych danych zostały wyznaczone wartości Ct oraz wydajności reakcji, a pliki wejściowe muszą być w formacie </w:t>
      </w:r>
      <w:r w:rsidR="00095398">
        <w:t>XLSX</w:t>
      </w:r>
      <w:r>
        <w:t xml:space="preserve">. Program zakłada również, że na wszystkich płytkach zostały umieszczone takie same próbki w takiej samej </w:t>
      </w:r>
      <w:r w:rsidR="004F715D">
        <w:t>kolejności, nie dokonuje się również żadnej statystycznej analizy wyników.</w:t>
      </w:r>
      <w:r w:rsidR="00B7688D">
        <w:t xml:space="preserve"> </w:t>
      </w:r>
      <w:r w:rsidR="00026C89">
        <w:br/>
      </w:r>
      <w:r w:rsidR="00B7688D">
        <w:t xml:space="preserve">W celu zwiększenia </w:t>
      </w:r>
      <w:r w:rsidR="007F1D98">
        <w:t>funkcjonalności</w:t>
      </w:r>
      <w:r w:rsidR="00B7688D">
        <w:t xml:space="preserve">, </w:t>
      </w:r>
      <w:r w:rsidR="000022E2">
        <w:t>do programu w przyszłości zostanie dodana możliwość wyznaczania wartości Ct oraz wydajności z surowych danych, jak również możliwość dodania pliku konfiguracyjnego z informacjami na temat próbek obecnych na płytce oraz ich rozmieszczeniu.</w:t>
      </w:r>
      <w:r w:rsidR="004F715D">
        <w:t xml:space="preserve"> </w:t>
      </w:r>
    </w:p>
    <w:p w:rsidR="005F7EC1" w:rsidRDefault="005F7EC1" w:rsidP="00F81D18">
      <w:pPr>
        <w:ind w:firstLine="567"/>
      </w:pPr>
    </w:p>
    <w:p w:rsidR="00F81D18" w:rsidRDefault="00F81D18" w:rsidP="00F81D18">
      <w:pPr>
        <w:ind w:firstLine="567"/>
      </w:pPr>
    </w:p>
    <w:p w:rsidR="00F81D18" w:rsidRDefault="00F81D18" w:rsidP="00F81D18">
      <w:pPr>
        <w:ind w:firstLine="567"/>
      </w:pPr>
    </w:p>
    <w:p w:rsidR="00C674CF" w:rsidRPr="00E1556F" w:rsidRDefault="00C674CF" w:rsidP="00F81D18">
      <w:pPr>
        <w:ind w:firstLine="567"/>
      </w:pPr>
    </w:p>
    <w:p w:rsidR="00E94970" w:rsidRDefault="00EE3709" w:rsidP="00D710FA">
      <w:pPr>
        <w:pStyle w:val="Heading1"/>
        <w:ind w:left="493"/>
        <w:jc w:val="left"/>
      </w:pPr>
      <w:bookmarkStart w:id="25" w:name="_Toc471686427"/>
      <w:r>
        <w:lastRenderedPageBreak/>
        <w:t>Bibliografia</w:t>
      </w:r>
      <w:bookmarkEnd w:id="25"/>
    </w:p>
    <w:tbl>
      <w:tblPr>
        <w:tblW w:w="0" w:type="auto"/>
        <w:tblInd w:w="108" w:type="dxa"/>
        <w:tblLook w:val="01E0" w:firstRow="1" w:lastRow="1" w:firstColumn="1" w:lastColumn="1" w:noHBand="0" w:noVBand="0"/>
      </w:tblPr>
      <w:tblGrid>
        <w:gridCol w:w="709"/>
        <w:gridCol w:w="7938"/>
      </w:tblGrid>
      <w:tr w:rsidR="00C674CF" w:rsidTr="00525D70">
        <w:tc>
          <w:tcPr>
            <w:tcW w:w="709" w:type="dxa"/>
          </w:tcPr>
          <w:p w:rsidR="00C674CF" w:rsidRDefault="00C674CF" w:rsidP="00342747">
            <w:pPr>
              <w:spacing w:before="140"/>
              <w:jc w:val="left"/>
            </w:pPr>
            <w:r>
              <w:t>[</w:t>
            </w:r>
            <w:r w:rsidR="00342747">
              <w:t>1</w:t>
            </w:r>
            <w:r>
              <w:t>]</w:t>
            </w:r>
          </w:p>
        </w:tc>
        <w:tc>
          <w:tcPr>
            <w:tcW w:w="7938" w:type="dxa"/>
            <w:vAlign w:val="center"/>
          </w:tcPr>
          <w:p w:rsidR="00C674CF" w:rsidRPr="00873DCA" w:rsidRDefault="00C674CF" w:rsidP="008516EC">
            <w:pPr>
              <w:spacing w:before="140"/>
            </w:pPr>
            <w:r>
              <w:t xml:space="preserve">Chris Beeley, </w:t>
            </w:r>
            <w:r>
              <w:rPr>
                <w:i/>
              </w:rPr>
              <w:t>Web application development with R using Shiny</w:t>
            </w:r>
            <w:r>
              <w:t xml:space="preserve">, </w:t>
            </w:r>
            <w:r w:rsidRPr="00A2655D">
              <w:t>Packt Publishing Ltd</w:t>
            </w:r>
            <w:r>
              <w:t>. 2013.</w:t>
            </w:r>
          </w:p>
        </w:tc>
      </w:tr>
      <w:tr w:rsidR="00C674CF" w:rsidTr="00525D70">
        <w:tc>
          <w:tcPr>
            <w:tcW w:w="709" w:type="dxa"/>
          </w:tcPr>
          <w:p w:rsidR="00C674CF" w:rsidRDefault="00C674CF" w:rsidP="00342747">
            <w:pPr>
              <w:spacing w:before="140"/>
              <w:jc w:val="left"/>
            </w:pPr>
            <w:r>
              <w:t>[</w:t>
            </w:r>
            <w:r w:rsidR="00342747">
              <w:t>2</w:t>
            </w:r>
            <w:r>
              <w:t>]</w:t>
            </w:r>
          </w:p>
        </w:tc>
        <w:tc>
          <w:tcPr>
            <w:tcW w:w="7938" w:type="dxa"/>
            <w:vAlign w:val="center"/>
          </w:tcPr>
          <w:p w:rsidR="00C674CF" w:rsidRPr="0097101C" w:rsidRDefault="00C674CF" w:rsidP="0008152C">
            <w:r w:rsidRPr="001673CE">
              <w:t>Garibyan L., Avashia N</w:t>
            </w:r>
            <w:r w:rsidRPr="001673CE">
              <w:rPr>
                <w:i/>
              </w:rPr>
              <w:t>., Research Techniques Made Simple: Polymerase Chain Reaction (PCR)</w:t>
            </w:r>
            <w:r>
              <w:t xml:space="preserve">, </w:t>
            </w:r>
            <w:r w:rsidRPr="001511BF">
              <w:t xml:space="preserve">J Invest Dermatol. </w:t>
            </w:r>
            <w:r>
              <w:t>133 2013, str. 1-4.</w:t>
            </w:r>
          </w:p>
        </w:tc>
      </w:tr>
      <w:tr w:rsidR="00C674CF" w:rsidTr="00525D70">
        <w:tc>
          <w:tcPr>
            <w:tcW w:w="709" w:type="dxa"/>
          </w:tcPr>
          <w:p w:rsidR="00C674CF" w:rsidRDefault="00C674CF" w:rsidP="00342747">
            <w:pPr>
              <w:spacing w:before="140"/>
              <w:jc w:val="left"/>
            </w:pPr>
            <w:r>
              <w:t>[</w:t>
            </w:r>
            <w:r w:rsidR="00342747">
              <w:t>3</w:t>
            </w:r>
            <w:r>
              <w:t>]</w:t>
            </w:r>
          </w:p>
        </w:tc>
        <w:tc>
          <w:tcPr>
            <w:tcW w:w="7938" w:type="dxa"/>
            <w:vAlign w:val="center"/>
          </w:tcPr>
          <w:p w:rsidR="00C674CF" w:rsidRPr="00EA1DF0" w:rsidRDefault="00C674CF" w:rsidP="00EA1DF0">
            <w:r w:rsidRPr="00EA1DF0">
              <w:t xml:space="preserve">Heid C, Stevens J, Livak K, Williams P, </w:t>
            </w:r>
            <w:r w:rsidRPr="00EA1DF0">
              <w:rPr>
                <w:i/>
              </w:rPr>
              <w:t>Real time quantitative PCR</w:t>
            </w:r>
            <w:r w:rsidRPr="00EA1DF0">
              <w:t>, Genome Res</w:t>
            </w:r>
            <w:r>
              <w:t>earch</w:t>
            </w:r>
            <w:r w:rsidRPr="00EA1DF0">
              <w:t xml:space="preserve"> 6 1996, str. 986-</w:t>
            </w:r>
            <w:r>
              <w:t>9</w:t>
            </w:r>
            <w:r w:rsidRPr="00EA1DF0">
              <w:t>94.</w:t>
            </w:r>
          </w:p>
        </w:tc>
      </w:tr>
      <w:tr w:rsidR="00C674CF" w:rsidTr="00525D70">
        <w:tc>
          <w:tcPr>
            <w:tcW w:w="709" w:type="dxa"/>
          </w:tcPr>
          <w:p w:rsidR="00C674CF" w:rsidRDefault="00C674CF" w:rsidP="00342747">
            <w:pPr>
              <w:spacing w:before="140"/>
              <w:jc w:val="left"/>
            </w:pPr>
            <w:r>
              <w:t>[</w:t>
            </w:r>
            <w:r w:rsidR="00342747">
              <w:t>4</w:t>
            </w:r>
            <w:r>
              <w:t>]</w:t>
            </w:r>
          </w:p>
        </w:tc>
        <w:tc>
          <w:tcPr>
            <w:tcW w:w="7938" w:type="dxa"/>
            <w:vAlign w:val="center"/>
          </w:tcPr>
          <w:p w:rsidR="00C674CF" w:rsidRPr="00941D83" w:rsidRDefault="00C674CF" w:rsidP="00941D83">
            <w:r>
              <w:t>Livak, K</w:t>
            </w:r>
            <w:r w:rsidRPr="00941D83">
              <w:t xml:space="preserve">., </w:t>
            </w:r>
            <w:r>
              <w:t>Schmittgen, T.</w:t>
            </w:r>
            <w:r w:rsidRPr="00941D83">
              <w:t xml:space="preserve">, </w:t>
            </w:r>
            <w:r w:rsidRPr="00941D83">
              <w:rPr>
                <w:i/>
              </w:rPr>
              <w:t>Analysis of relative gene expression data using real-time quantitative PCR and the 2^[-delta delta C(T)] Method</w:t>
            </w:r>
            <w:r>
              <w:t>,</w:t>
            </w:r>
            <w:r w:rsidRPr="00941D83">
              <w:t xml:space="preserve"> Methods 25</w:t>
            </w:r>
            <w:r>
              <w:t xml:space="preserve"> 2001,</w:t>
            </w:r>
            <w:r w:rsidRPr="00941D83">
              <w:t xml:space="preserve"> </w:t>
            </w:r>
            <w:r>
              <w:t xml:space="preserve">str. </w:t>
            </w:r>
            <w:r w:rsidRPr="00941D83">
              <w:t>402-408</w:t>
            </w:r>
            <w:r>
              <w:t>.</w:t>
            </w:r>
          </w:p>
        </w:tc>
      </w:tr>
      <w:tr w:rsidR="00C674CF" w:rsidTr="00525D70">
        <w:tc>
          <w:tcPr>
            <w:tcW w:w="709" w:type="dxa"/>
          </w:tcPr>
          <w:p w:rsidR="00C674CF" w:rsidRDefault="00C674CF" w:rsidP="00B7419B">
            <w:pPr>
              <w:spacing w:before="140"/>
              <w:jc w:val="left"/>
            </w:pPr>
            <w:r>
              <w:t>[</w:t>
            </w:r>
            <w:r w:rsidR="00B7419B">
              <w:t>5</w:t>
            </w:r>
            <w:r>
              <w:t>]</w:t>
            </w:r>
          </w:p>
        </w:tc>
        <w:tc>
          <w:tcPr>
            <w:tcW w:w="7938" w:type="dxa"/>
            <w:vAlign w:val="center"/>
          </w:tcPr>
          <w:p w:rsidR="00C674CF" w:rsidRPr="00CE346B" w:rsidRDefault="00C674CF" w:rsidP="00885D8A">
            <w:r w:rsidRPr="00CE346B">
              <w:t xml:space="preserve">Mackay M., Ardem K., Nitsche A., </w:t>
            </w:r>
            <w:r w:rsidRPr="00CE346B">
              <w:rPr>
                <w:i/>
              </w:rPr>
              <w:t>Real-time PCR in virology</w:t>
            </w:r>
            <w:r>
              <w:t xml:space="preserve">, Nucleic Acids Res (30) 2002, </w:t>
            </w:r>
            <w:r w:rsidRPr="00885D8A">
              <w:t>str. 1292–1305</w:t>
            </w:r>
            <w:r>
              <w:t>.</w:t>
            </w:r>
          </w:p>
        </w:tc>
      </w:tr>
      <w:tr w:rsidR="00C674CF" w:rsidTr="00525D70">
        <w:tc>
          <w:tcPr>
            <w:tcW w:w="709" w:type="dxa"/>
          </w:tcPr>
          <w:p w:rsidR="00C674CF" w:rsidRDefault="00C674CF" w:rsidP="00B7419B">
            <w:pPr>
              <w:spacing w:before="140"/>
              <w:jc w:val="left"/>
            </w:pPr>
            <w:r>
              <w:t>[</w:t>
            </w:r>
            <w:r w:rsidR="00B7419B">
              <w:t>6</w:t>
            </w:r>
            <w:r>
              <w:t>]</w:t>
            </w:r>
          </w:p>
        </w:tc>
        <w:tc>
          <w:tcPr>
            <w:tcW w:w="7938" w:type="dxa"/>
            <w:vAlign w:val="center"/>
          </w:tcPr>
          <w:p w:rsidR="00C674CF" w:rsidRPr="00162AD1" w:rsidRDefault="00C674CF" w:rsidP="0008152C">
            <w:r w:rsidRPr="00162AD1">
              <w:t xml:space="preserve">Mackay M., </w:t>
            </w:r>
            <w:r w:rsidRPr="00162AD1">
              <w:rPr>
                <w:i/>
              </w:rPr>
              <w:t>Real-time PCR in the microbiology laboratory</w:t>
            </w:r>
            <w:r w:rsidRPr="00162AD1">
              <w:t>, CMI 10 2004, str. 190-212.</w:t>
            </w:r>
          </w:p>
        </w:tc>
      </w:tr>
      <w:tr w:rsidR="00C674CF" w:rsidTr="00525D70">
        <w:tc>
          <w:tcPr>
            <w:tcW w:w="709" w:type="dxa"/>
          </w:tcPr>
          <w:p w:rsidR="00C674CF" w:rsidRDefault="00C674CF" w:rsidP="00B7419B">
            <w:pPr>
              <w:spacing w:before="140"/>
              <w:jc w:val="left"/>
            </w:pPr>
            <w:r>
              <w:t>[</w:t>
            </w:r>
            <w:r w:rsidR="00B7419B">
              <w:t>7</w:t>
            </w:r>
            <w:r>
              <w:t>]</w:t>
            </w:r>
          </w:p>
        </w:tc>
        <w:tc>
          <w:tcPr>
            <w:tcW w:w="7938" w:type="dxa"/>
            <w:vAlign w:val="center"/>
          </w:tcPr>
          <w:p w:rsidR="00C674CF" w:rsidRPr="00F1641A" w:rsidRDefault="00C674CF" w:rsidP="00F1641A">
            <w:r w:rsidRPr="00F1641A">
              <w:t xml:space="preserve">Mao F, Leung W-Y, Xin X. </w:t>
            </w:r>
            <w:r w:rsidRPr="00F1641A">
              <w:rPr>
                <w:i/>
              </w:rPr>
              <w:t>Characterization of EvaGreen and the implication of its physicochemical properties for qPCR applications</w:t>
            </w:r>
            <w:r w:rsidRPr="00F1641A">
              <w:t>. BMC Biotechnology</w:t>
            </w:r>
            <w:r>
              <w:t xml:space="preserve"> 7:76,</w:t>
            </w:r>
            <w:r w:rsidRPr="00F1641A">
              <w:t xml:space="preserve"> 2007</w:t>
            </w:r>
            <w:r>
              <w:t>.</w:t>
            </w:r>
          </w:p>
        </w:tc>
      </w:tr>
      <w:tr w:rsidR="00C674CF" w:rsidTr="00525D70">
        <w:tc>
          <w:tcPr>
            <w:tcW w:w="709" w:type="dxa"/>
          </w:tcPr>
          <w:p w:rsidR="00C674CF" w:rsidRDefault="00C674CF" w:rsidP="00B7419B">
            <w:pPr>
              <w:spacing w:before="140"/>
              <w:jc w:val="left"/>
            </w:pPr>
            <w:r>
              <w:t>[</w:t>
            </w:r>
            <w:r w:rsidR="00B7419B">
              <w:t>8</w:t>
            </w:r>
            <w:r>
              <w:t>]</w:t>
            </w:r>
          </w:p>
        </w:tc>
        <w:tc>
          <w:tcPr>
            <w:tcW w:w="7938" w:type="dxa"/>
            <w:vAlign w:val="center"/>
          </w:tcPr>
          <w:p w:rsidR="00C674CF" w:rsidRPr="00BF5DC1" w:rsidRDefault="00C674CF" w:rsidP="00CE4EC9">
            <w:r w:rsidRPr="00BF5DC1">
              <w:t>Michael W. Pfaffl</w:t>
            </w:r>
            <w:r>
              <w:t xml:space="preserve">, </w:t>
            </w:r>
            <w:r w:rsidRPr="00BF5DC1">
              <w:rPr>
                <w:i/>
              </w:rPr>
              <w:t>A-Z of quantitative PCR</w:t>
            </w:r>
            <w:r>
              <w:t>,</w:t>
            </w:r>
            <w:r>
              <w:rPr>
                <w:rFonts w:ascii="Arial" w:hAnsi="Arial" w:cs="Arial"/>
                <w:color w:val="0000FF"/>
                <w:szCs w:val="24"/>
              </w:rPr>
              <w:t xml:space="preserve"> </w:t>
            </w:r>
            <w:r w:rsidRPr="00BF5DC1">
              <w:t>International University Line 2004, str</w:t>
            </w:r>
            <w:r>
              <w:t>. 87-</w:t>
            </w:r>
            <w:r w:rsidRPr="00BF5DC1">
              <w:t>112.</w:t>
            </w:r>
          </w:p>
        </w:tc>
      </w:tr>
      <w:tr w:rsidR="00C674CF" w:rsidTr="00162AD1">
        <w:trPr>
          <w:trHeight w:val="343"/>
        </w:trPr>
        <w:tc>
          <w:tcPr>
            <w:tcW w:w="709" w:type="dxa"/>
          </w:tcPr>
          <w:p w:rsidR="00C674CF" w:rsidRDefault="00C674CF" w:rsidP="00B7419B">
            <w:pPr>
              <w:spacing w:before="140"/>
              <w:jc w:val="left"/>
            </w:pPr>
            <w:r>
              <w:t>[</w:t>
            </w:r>
            <w:r w:rsidR="00B7419B">
              <w:t>9</w:t>
            </w:r>
            <w:r>
              <w:t>]</w:t>
            </w:r>
          </w:p>
        </w:tc>
        <w:tc>
          <w:tcPr>
            <w:tcW w:w="7938" w:type="dxa"/>
            <w:vAlign w:val="center"/>
          </w:tcPr>
          <w:p w:rsidR="00C674CF" w:rsidRPr="0052530E" w:rsidRDefault="00C674CF" w:rsidP="0008152C">
            <w:r w:rsidRPr="00CE4EC9">
              <w:t>Mullis K</w:t>
            </w:r>
            <w:r>
              <w:t>.</w:t>
            </w:r>
            <w:r w:rsidRPr="00CE4EC9">
              <w:t xml:space="preserve">, Faloona F., Scharf S., Saiki R., Horn G., Erlich H., </w:t>
            </w:r>
            <w:r w:rsidRPr="00CE4EC9">
              <w:rPr>
                <w:i/>
              </w:rPr>
              <w:t>Specific enzymatic amplification of DNA in vitro: the polymerase chain reaction</w:t>
            </w:r>
            <w:r>
              <w:t>, Cold Spring Harbor Symposia on Quantitative Biology, Cold Spring Harbor, NY 1986, str. 263-273.</w:t>
            </w:r>
          </w:p>
        </w:tc>
      </w:tr>
      <w:tr w:rsidR="00C674CF" w:rsidTr="00162AD1">
        <w:trPr>
          <w:trHeight w:val="168"/>
        </w:trPr>
        <w:tc>
          <w:tcPr>
            <w:tcW w:w="709" w:type="dxa"/>
          </w:tcPr>
          <w:p w:rsidR="00C674CF" w:rsidRDefault="00C674CF" w:rsidP="00B7419B">
            <w:pPr>
              <w:spacing w:before="140"/>
              <w:jc w:val="left"/>
            </w:pPr>
            <w:r>
              <w:t>[</w:t>
            </w:r>
            <w:r w:rsidR="00B7419B">
              <w:t>10</w:t>
            </w:r>
            <w:r>
              <w:t>]</w:t>
            </w:r>
          </w:p>
        </w:tc>
        <w:tc>
          <w:tcPr>
            <w:tcW w:w="7938" w:type="dxa"/>
            <w:vAlign w:val="center"/>
          </w:tcPr>
          <w:p w:rsidR="00C674CF" w:rsidRPr="00487441" w:rsidRDefault="00C674CF" w:rsidP="0097101C">
            <w:pPr>
              <w:spacing w:before="140"/>
            </w:pPr>
            <w:r>
              <w:t xml:space="preserve">Studzińska A., Tyburski J., Daca P., Tretyn A., </w:t>
            </w:r>
            <w:r w:rsidRPr="00487441">
              <w:rPr>
                <w:i/>
              </w:rPr>
              <w:t>PCR w czasie rzeczywistym. Istota metody i strategie monitorowania przebiegu reakcji</w:t>
            </w:r>
            <w:r>
              <w:t>, Biotechnologia 1 (80) 2008, str. 71-96.</w:t>
            </w:r>
          </w:p>
        </w:tc>
      </w:tr>
      <w:tr w:rsidR="00C674CF" w:rsidTr="00525D70">
        <w:tc>
          <w:tcPr>
            <w:tcW w:w="709" w:type="dxa"/>
          </w:tcPr>
          <w:p w:rsidR="00C674CF" w:rsidRDefault="00C674CF" w:rsidP="00B7419B">
            <w:pPr>
              <w:spacing w:before="140"/>
              <w:jc w:val="left"/>
            </w:pPr>
            <w:r>
              <w:t>[</w:t>
            </w:r>
            <w:r w:rsidR="00B7419B">
              <w:t>11</w:t>
            </w:r>
            <w:r>
              <w:t>]</w:t>
            </w:r>
          </w:p>
        </w:tc>
        <w:tc>
          <w:tcPr>
            <w:tcW w:w="7938" w:type="dxa"/>
            <w:vAlign w:val="center"/>
          </w:tcPr>
          <w:p w:rsidR="00C674CF" w:rsidRPr="0008152C" w:rsidRDefault="00C674CF" w:rsidP="0008152C">
            <w:r w:rsidRPr="0008152C">
              <w:t xml:space="preserve">Wong M., Medrano J., </w:t>
            </w:r>
            <w:r w:rsidRPr="0008152C">
              <w:rPr>
                <w:i/>
              </w:rPr>
              <w:t>Real-time PCR for mRNA quantitation</w:t>
            </w:r>
            <w:r w:rsidRPr="0008152C">
              <w:t xml:space="preserve">, </w:t>
            </w:r>
            <w:r>
              <w:t xml:space="preserve">BioTechniques 39 2005, str. </w:t>
            </w:r>
            <w:r w:rsidRPr="0008152C">
              <w:t>75-85</w:t>
            </w:r>
            <w:r>
              <w:t>.</w:t>
            </w:r>
            <w:r w:rsidRPr="0008152C">
              <w:t xml:space="preserve"> </w:t>
            </w:r>
          </w:p>
        </w:tc>
      </w:tr>
    </w:tbl>
    <w:p w:rsidR="003B13E8" w:rsidRDefault="00E94970" w:rsidP="003D0F9A">
      <w:pPr>
        <w:pStyle w:val="Heading1"/>
      </w:pPr>
      <w:r>
        <w:br w:type="page"/>
      </w:r>
      <w:bookmarkStart w:id="26" w:name="_Toc471686428"/>
      <w:r w:rsidR="003D0F9A">
        <w:lastRenderedPageBreak/>
        <w:t>Dodatek 1 – spis zawartości dołączonej płyty CD</w:t>
      </w:r>
      <w:bookmarkEnd w:id="26"/>
    </w:p>
    <w:p w:rsidR="003D0F9A" w:rsidRDefault="003D0F9A" w:rsidP="003D0F9A">
      <w:pPr>
        <w:pStyle w:val="ListParagraph"/>
        <w:numPr>
          <w:ilvl w:val="0"/>
          <w:numId w:val="7"/>
        </w:numPr>
      </w:pPr>
      <w:r>
        <w:t xml:space="preserve">Praca </w:t>
      </w:r>
      <w:r w:rsidR="00084220">
        <w:t>inżynierska w formacie PDF</w:t>
      </w:r>
    </w:p>
    <w:p w:rsidR="00084220" w:rsidRPr="003D0F9A" w:rsidRDefault="00084220" w:rsidP="003D0F9A">
      <w:pPr>
        <w:pStyle w:val="ListParagraph"/>
        <w:numPr>
          <w:ilvl w:val="0"/>
          <w:numId w:val="7"/>
        </w:numPr>
      </w:pPr>
      <w:r>
        <w:t>Zbiór wszystkich skryptów i plików tworzących aplikację internetową</w:t>
      </w:r>
    </w:p>
    <w:sectPr w:rsidR="00084220" w:rsidRPr="003D0F9A" w:rsidSect="00A55319">
      <w:pgSz w:w="11906" w:h="16838" w:code="9"/>
      <w:pgMar w:top="1440" w:right="1440" w:bottom="1440" w:left="1560"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052FA" w:rsidRDefault="00D052FA">
      <w:r>
        <w:separator/>
      </w:r>
    </w:p>
  </w:endnote>
  <w:endnote w:type="continuationSeparator" w:id="0">
    <w:p w:rsidR="00D052FA" w:rsidRDefault="00D052F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EE"/>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A00002EF" w:usb1="4000207B" w:usb2="00000000" w:usb3="00000000" w:csb0="0000019F" w:csb1="00000000"/>
  </w:font>
  <w:font w:name="Cambria Math">
    <w:panose1 w:val="02040503050406030204"/>
    <w:charset w:val="EE"/>
    <w:family w:val="roman"/>
    <w:pitch w:val="variable"/>
    <w:sig w:usb0="E00002FF" w:usb1="420024FF" w:usb2="00000000" w:usb3="00000000" w:csb0="0000019F" w:csb1="00000000"/>
  </w:font>
  <w:font w:name="Cambria">
    <w:panose1 w:val="02040503050406030204"/>
    <w:charset w:val="EE"/>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176AC" w:rsidRDefault="00F176A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F176AC" w:rsidRDefault="00F176A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176AC" w:rsidRDefault="00F176A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4A5D8B">
      <w:rPr>
        <w:rStyle w:val="PageNumber"/>
        <w:noProof/>
      </w:rPr>
      <w:t>27</w:t>
    </w:r>
    <w:r>
      <w:rPr>
        <w:rStyle w:val="PageNumber"/>
      </w:rPr>
      <w:fldChar w:fldCharType="end"/>
    </w:r>
  </w:p>
  <w:p w:rsidR="00F176AC" w:rsidRDefault="00F176A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052FA" w:rsidRDefault="00D052FA">
      <w:r>
        <w:separator/>
      </w:r>
    </w:p>
  </w:footnote>
  <w:footnote w:type="continuationSeparator" w:id="0">
    <w:p w:rsidR="00D052FA" w:rsidRDefault="00D052F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00000001"/>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abstractNum w:abstractNumId="1">
    <w:nsid w:val="080B2F9A"/>
    <w:multiLevelType w:val="hybridMultilevel"/>
    <w:tmpl w:val="A4CCC7F8"/>
    <w:lvl w:ilvl="0" w:tplc="2A66CED0">
      <w:start w:val="1"/>
      <w:numFmt w:val="decimal"/>
      <w:lvlText w:val="%1."/>
      <w:lvlJc w:val="left"/>
      <w:pPr>
        <w:tabs>
          <w:tab w:val="num" w:pos="567"/>
        </w:tabs>
        <w:ind w:left="493" w:hanging="493"/>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2">
    <w:nsid w:val="0DBB76FA"/>
    <w:multiLevelType w:val="hybridMultilevel"/>
    <w:tmpl w:val="48C4F02A"/>
    <w:lvl w:ilvl="0" w:tplc="59BC0666">
      <w:start w:val="1"/>
      <w:numFmt w:val="bullet"/>
      <w:lvlText w:val=""/>
      <w:lvlJc w:val="left"/>
      <w:pPr>
        <w:tabs>
          <w:tab w:val="num" w:pos="777"/>
        </w:tabs>
        <w:ind w:left="777" w:hanging="284"/>
      </w:pPr>
      <w:rPr>
        <w:rFonts w:ascii="Symbol" w:hAnsi="Symbol" w:hint="default"/>
      </w:rPr>
    </w:lvl>
    <w:lvl w:ilvl="1" w:tplc="04150003" w:tentative="1">
      <w:start w:val="1"/>
      <w:numFmt w:val="bullet"/>
      <w:lvlText w:val="o"/>
      <w:lvlJc w:val="left"/>
      <w:pPr>
        <w:tabs>
          <w:tab w:val="num" w:pos="1933"/>
        </w:tabs>
        <w:ind w:left="1933" w:hanging="360"/>
      </w:pPr>
      <w:rPr>
        <w:rFonts w:ascii="Courier New" w:hAnsi="Courier New" w:hint="default"/>
      </w:rPr>
    </w:lvl>
    <w:lvl w:ilvl="2" w:tplc="04150005" w:tentative="1">
      <w:start w:val="1"/>
      <w:numFmt w:val="bullet"/>
      <w:lvlText w:val=""/>
      <w:lvlJc w:val="left"/>
      <w:pPr>
        <w:tabs>
          <w:tab w:val="num" w:pos="2653"/>
        </w:tabs>
        <w:ind w:left="2653" w:hanging="360"/>
      </w:pPr>
      <w:rPr>
        <w:rFonts w:ascii="Wingdings" w:hAnsi="Wingdings" w:hint="default"/>
      </w:rPr>
    </w:lvl>
    <w:lvl w:ilvl="3" w:tplc="04150001" w:tentative="1">
      <w:start w:val="1"/>
      <w:numFmt w:val="bullet"/>
      <w:lvlText w:val=""/>
      <w:lvlJc w:val="left"/>
      <w:pPr>
        <w:tabs>
          <w:tab w:val="num" w:pos="3373"/>
        </w:tabs>
        <w:ind w:left="3373" w:hanging="360"/>
      </w:pPr>
      <w:rPr>
        <w:rFonts w:ascii="Symbol" w:hAnsi="Symbol" w:hint="default"/>
      </w:rPr>
    </w:lvl>
    <w:lvl w:ilvl="4" w:tplc="04150003" w:tentative="1">
      <w:start w:val="1"/>
      <w:numFmt w:val="bullet"/>
      <w:lvlText w:val="o"/>
      <w:lvlJc w:val="left"/>
      <w:pPr>
        <w:tabs>
          <w:tab w:val="num" w:pos="4093"/>
        </w:tabs>
        <w:ind w:left="4093" w:hanging="360"/>
      </w:pPr>
      <w:rPr>
        <w:rFonts w:ascii="Courier New" w:hAnsi="Courier New" w:hint="default"/>
      </w:rPr>
    </w:lvl>
    <w:lvl w:ilvl="5" w:tplc="04150005" w:tentative="1">
      <w:start w:val="1"/>
      <w:numFmt w:val="bullet"/>
      <w:lvlText w:val=""/>
      <w:lvlJc w:val="left"/>
      <w:pPr>
        <w:tabs>
          <w:tab w:val="num" w:pos="4813"/>
        </w:tabs>
        <w:ind w:left="4813" w:hanging="360"/>
      </w:pPr>
      <w:rPr>
        <w:rFonts w:ascii="Wingdings" w:hAnsi="Wingdings" w:hint="default"/>
      </w:rPr>
    </w:lvl>
    <w:lvl w:ilvl="6" w:tplc="04150001" w:tentative="1">
      <w:start w:val="1"/>
      <w:numFmt w:val="bullet"/>
      <w:lvlText w:val=""/>
      <w:lvlJc w:val="left"/>
      <w:pPr>
        <w:tabs>
          <w:tab w:val="num" w:pos="5533"/>
        </w:tabs>
        <w:ind w:left="5533" w:hanging="360"/>
      </w:pPr>
      <w:rPr>
        <w:rFonts w:ascii="Symbol" w:hAnsi="Symbol" w:hint="default"/>
      </w:rPr>
    </w:lvl>
    <w:lvl w:ilvl="7" w:tplc="04150003" w:tentative="1">
      <w:start w:val="1"/>
      <w:numFmt w:val="bullet"/>
      <w:lvlText w:val="o"/>
      <w:lvlJc w:val="left"/>
      <w:pPr>
        <w:tabs>
          <w:tab w:val="num" w:pos="6253"/>
        </w:tabs>
        <w:ind w:left="6253" w:hanging="360"/>
      </w:pPr>
      <w:rPr>
        <w:rFonts w:ascii="Courier New" w:hAnsi="Courier New" w:hint="default"/>
      </w:rPr>
    </w:lvl>
    <w:lvl w:ilvl="8" w:tplc="04150005" w:tentative="1">
      <w:start w:val="1"/>
      <w:numFmt w:val="bullet"/>
      <w:lvlText w:val=""/>
      <w:lvlJc w:val="left"/>
      <w:pPr>
        <w:tabs>
          <w:tab w:val="num" w:pos="6973"/>
        </w:tabs>
        <w:ind w:left="6973" w:hanging="360"/>
      </w:pPr>
      <w:rPr>
        <w:rFonts w:ascii="Wingdings" w:hAnsi="Wingdings" w:hint="default"/>
      </w:rPr>
    </w:lvl>
  </w:abstractNum>
  <w:abstractNum w:abstractNumId="3">
    <w:nsid w:val="0EDA7726"/>
    <w:multiLevelType w:val="hybridMultilevel"/>
    <w:tmpl w:val="921222A2"/>
    <w:lvl w:ilvl="0" w:tplc="59BC0666">
      <w:start w:val="1"/>
      <w:numFmt w:val="bullet"/>
      <w:lvlText w:val=""/>
      <w:lvlJc w:val="left"/>
      <w:pPr>
        <w:tabs>
          <w:tab w:val="num" w:pos="1208"/>
        </w:tabs>
        <w:ind w:left="1208" w:hanging="284"/>
      </w:pPr>
      <w:rPr>
        <w:rFonts w:ascii="Symbol" w:hAnsi="Symbol" w:hint="default"/>
        <w:color w:val="auto"/>
      </w:rPr>
    </w:lvl>
    <w:lvl w:ilvl="1" w:tplc="04150003" w:tentative="1">
      <w:start w:val="1"/>
      <w:numFmt w:val="bullet"/>
      <w:lvlText w:val="o"/>
      <w:lvlJc w:val="left"/>
      <w:pPr>
        <w:tabs>
          <w:tab w:val="num" w:pos="1440"/>
        </w:tabs>
        <w:ind w:left="1440" w:hanging="360"/>
      </w:pPr>
      <w:rPr>
        <w:rFonts w:ascii="Courier New" w:hAnsi="Courier New" w:hint="default"/>
      </w:rPr>
    </w:lvl>
    <w:lvl w:ilvl="2" w:tplc="04150005" w:tentative="1">
      <w:start w:val="1"/>
      <w:numFmt w:val="bullet"/>
      <w:lvlText w:val=""/>
      <w:lvlJc w:val="left"/>
      <w:pPr>
        <w:tabs>
          <w:tab w:val="num" w:pos="2160"/>
        </w:tabs>
        <w:ind w:left="2160" w:hanging="360"/>
      </w:pPr>
      <w:rPr>
        <w:rFonts w:ascii="Wingdings" w:hAnsi="Wingdings" w:hint="default"/>
      </w:rPr>
    </w:lvl>
    <w:lvl w:ilvl="3" w:tplc="04150001" w:tentative="1">
      <w:start w:val="1"/>
      <w:numFmt w:val="bullet"/>
      <w:lvlText w:val=""/>
      <w:lvlJc w:val="left"/>
      <w:pPr>
        <w:tabs>
          <w:tab w:val="num" w:pos="2880"/>
        </w:tabs>
        <w:ind w:left="2880" w:hanging="360"/>
      </w:pPr>
      <w:rPr>
        <w:rFonts w:ascii="Symbol" w:hAnsi="Symbol" w:hint="default"/>
      </w:rPr>
    </w:lvl>
    <w:lvl w:ilvl="4" w:tplc="04150003" w:tentative="1">
      <w:start w:val="1"/>
      <w:numFmt w:val="bullet"/>
      <w:lvlText w:val="o"/>
      <w:lvlJc w:val="left"/>
      <w:pPr>
        <w:tabs>
          <w:tab w:val="num" w:pos="3600"/>
        </w:tabs>
        <w:ind w:left="3600" w:hanging="360"/>
      </w:pPr>
      <w:rPr>
        <w:rFonts w:ascii="Courier New" w:hAnsi="Courier New" w:hint="default"/>
      </w:rPr>
    </w:lvl>
    <w:lvl w:ilvl="5" w:tplc="04150005" w:tentative="1">
      <w:start w:val="1"/>
      <w:numFmt w:val="bullet"/>
      <w:lvlText w:val=""/>
      <w:lvlJc w:val="left"/>
      <w:pPr>
        <w:tabs>
          <w:tab w:val="num" w:pos="4320"/>
        </w:tabs>
        <w:ind w:left="4320" w:hanging="360"/>
      </w:pPr>
      <w:rPr>
        <w:rFonts w:ascii="Wingdings" w:hAnsi="Wingdings" w:hint="default"/>
      </w:rPr>
    </w:lvl>
    <w:lvl w:ilvl="6" w:tplc="04150001" w:tentative="1">
      <w:start w:val="1"/>
      <w:numFmt w:val="bullet"/>
      <w:lvlText w:val=""/>
      <w:lvlJc w:val="left"/>
      <w:pPr>
        <w:tabs>
          <w:tab w:val="num" w:pos="5040"/>
        </w:tabs>
        <w:ind w:left="5040" w:hanging="360"/>
      </w:pPr>
      <w:rPr>
        <w:rFonts w:ascii="Symbol" w:hAnsi="Symbol" w:hint="default"/>
      </w:rPr>
    </w:lvl>
    <w:lvl w:ilvl="7" w:tplc="04150003" w:tentative="1">
      <w:start w:val="1"/>
      <w:numFmt w:val="bullet"/>
      <w:lvlText w:val="o"/>
      <w:lvlJc w:val="left"/>
      <w:pPr>
        <w:tabs>
          <w:tab w:val="num" w:pos="5760"/>
        </w:tabs>
        <w:ind w:left="5760" w:hanging="360"/>
      </w:pPr>
      <w:rPr>
        <w:rFonts w:ascii="Courier New" w:hAnsi="Courier New" w:hint="default"/>
      </w:rPr>
    </w:lvl>
    <w:lvl w:ilvl="8" w:tplc="04150005" w:tentative="1">
      <w:start w:val="1"/>
      <w:numFmt w:val="bullet"/>
      <w:lvlText w:val=""/>
      <w:lvlJc w:val="left"/>
      <w:pPr>
        <w:tabs>
          <w:tab w:val="num" w:pos="6480"/>
        </w:tabs>
        <w:ind w:left="6480" w:hanging="360"/>
      </w:pPr>
      <w:rPr>
        <w:rFonts w:ascii="Wingdings" w:hAnsi="Wingdings" w:hint="default"/>
      </w:rPr>
    </w:lvl>
  </w:abstractNum>
  <w:abstractNum w:abstractNumId="4">
    <w:nsid w:val="2799451E"/>
    <w:multiLevelType w:val="hybridMultilevel"/>
    <w:tmpl w:val="811442D0"/>
    <w:lvl w:ilvl="0" w:tplc="04150001">
      <w:start w:val="1"/>
      <w:numFmt w:val="bullet"/>
      <w:lvlText w:val=""/>
      <w:lvlJc w:val="left"/>
      <w:pPr>
        <w:ind w:left="1275" w:hanging="360"/>
      </w:pPr>
      <w:rPr>
        <w:rFonts w:ascii="Symbol" w:hAnsi="Symbol" w:hint="default"/>
      </w:rPr>
    </w:lvl>
    <w:lvl w:ilvl="1" w:tplc="04150003" w:tentative="1">
      <w:start w:val="1"/>
      <w:numFmt w:val="bullet"/>
      <w:lvlText w:val="o"/>
      <w:lvlJc w:val="left"/>
      <w:pPr>
        <w:ind w:left="1995" w:hanging="360"/>
      </w:pPr>
      <w:rPr>
        <w:rFonts w:ascii="Courier New" w:hAnsi="Courier New" w:cs="Courier New" w:hint="default"/>
      </w:rPr>
    </w:lvl>
    <w:lvl w:ilvl="2" w:tplc="04150005" w:tentative="1">
      <w:start w:val="1"/>
      <w:numFmt w:val="bullet"/>
      <w:lvlText w:val=""/>
      <w:lvlJc w:val="left"/>
      <w:pPr>
        <w:ind w:left="2715" w:hanging="360"/>
      </w:pPr>
      <w:rPr>
        <w:rFonts w:ascii="Wingdings" w:hAnsi="Wingdings" w:hint="default"/>
      </w:rPr>
    </w:lvl>
    <w:lvl w:ilvl="3" w:tplc="04150001" w:tentative="1">
      <w:start w:val="1"/>
      <w:numFmt w:val="bullet"/>
      <w:lvlText w:val=""/>
      <w:lvlJc w:val="left"/>
      <w:pPr>
        <w:ind w:left="3435" w:hanging="360"/>
      </w:pPr>
      <w:rPr>
        <w:rFonts w:ascii="Symbol" w:hAnsi="Symbol" w:hint="default"/>
      </w:rPr>
    </w:lvl>
    <w:lvl w:ilvl="4" w:tplc="04150003" w:tentative="1">
      <w:start w:val="1"/>
      <w:numFmt w:val="bullet"/>
      <w:lvlText w:val="o"/>
      <w:lvlJc w:val="left"/>
      <w:pPr>
        <w:ind w:left="4155" w:hanging="360"/>
      </w:pPr>
      <w:rPr>
        <w:rFonts w:ascii="Courier New" w:hAnsi="Courier New" w:cs="Courier New" w:hint="default"/>
      </w:rPr>
    </w:lvl>
    <w:lvl w:ilvl="5" w:tplc="04150005" w:tentative="1">
      <w:start w:val="1"/>
      <w:numFmt w:val="bullet"/>
      <w:lvlText w:val=""/>
      <w:lvlJc w:val="left"/>
      <w:pPr>
        <w:ind w:left="4875" w:hanging="360"/>
      </w:pPr>
      <w:rPr>
        <w:rFonts w:ascii="Wingdings" w:hAnsi="Wingdings" w:hint="default"/>
      </w:rPr>
    </w:lvl>
    <w:lvl w:ilvl="6" w:tplc="04150001" w:tentative="1">
      <w:start w:val="1"/>
      <w:numFmt w:val="bullet"/>
      <w:lvlText w:val=""/>
      <w:lvlJc w:val="left"/>
      <w:pPr>
        <w:ind w:left="5595" w:hanging="360"/>
      </w:pPr>
      <w:rPr>
        <w:rFonts w:ascii="Symbol" w:hAnsi="Symbol" w:hint="default"/>
      </w:rPr>
    </w:lvl>
    <w:lvl w:ilvl="7" w:tplc="04150003" w:tentative="1">
      <w:start w:val="1"/>
      <w:numFmt w:val="bullet"/>
      <w:lvlText w:val="o"/>
      <w:lvlJc w:val="left"/>
      <w:pPr>
        <w:ind w:left="6315" w:hanging="360"/>
      </w:pPr>
      <w:rPr>
        <w:rFonts w:ascii="Courier New" w:hAnsi="Courier New" w:cs="Courier New" w:hint="default"/>
      </w:rPr>
    </w:lvl>
    <w:lvl w:ilvl="8" w:tplc="04150005" w:tentative="1">
      <w:start w:val="1"/>
      <w:numFmt w:val="bullet"/>
      <w:lvlText w:val=""/>
      <w:lvlJc w:val="left"/>
      <w:pPr>
        <w:ind w:left="7035" w:hanging="360"/>
      </w:pPr>
      <w:rPr>
        <w:rFonts w:ascii="Wingdings" w:hAnsi="Wingdings" w:hint="default"/>
      </w:rPr>
    </w:lvl>
  </w:abstractNum>
  <w:abstractNum w:abstractNumId="5">
    <w:nsid w:val="296C4818"/>
    <w:multiLevelType w:val="hybridMultilevel"/>
    <w:tmpl w:val="26A60FEA"/>
    <w:lvl w:ilvl="0" w:tplc="33BE88F4">
      <w:start w:val="1"/>
      <w:numFmt w:val="decimal"/>
      <w:lvlText w:val="%1)"/>
      <w:lvlJc w:val="left"/>
      <w:pPr>
        <w:tabs>
          <w:tab w:val="num" w:pos="360"/>
        </w:tabs>
        <w:ind w:left="360" w:hanging="360"/>
      </w:pPr>
      <w:rPr>
        <w:rFonts w:hint="default"/>
      </w:rPr>
    </w:lvl>
    <w:lvl w:ilvl="1" w:tplc="04150019" w:tentative="1">
      <w:start w:val="1"/>
      <w:numFmt w:val="lowerLetter"/>
      <w:lvlText w:val="%2."/>
      <w:lvlJc w:val="left"/>
      <w:pPr>
        <w:tabs>
          <w:tab w:val="num" w:pos="1440"/>
        </w:tabs>
        <w:ind w:left="1440" w:hanging="360"/>
      </w:pPr>
    </w:lvl>
    <w:lvl w:ilvl="2" w:tplc="0415001B" w:tentative="1">
      <w:start w:val="1"/>
      <w:numFmt w:val="lowerRoman"/>
      <w:lvlText w:val="%3."/>
      <w:lvlJc w:val="right"/>
      <w:pPr>
        <w:tabs>
          <w:tab w:val="num" w:pos="2160"/>
        </w:tabs>
        <w:ind w:left="2160" w:hanging="180"/>
      </w:pPr>
    </w:lvl>
    <w:lvl w:ilvl="3" w:tplc="0415000F" w:tentative="1">
      <w:start w:val="1"/>
      <w:numFmt w:val="decimal"/>
      <w:lvlText w:val="%4."/>
      <w:lvlJc w:val="left"/>
      <w:pPr>
        <w:tabs>
          <w:tab w:val="num" w:pos="2880"/>
        </w:tabs>
        <w:ind w:left="2880" w:hanging="360"/>
      </w:pPr>
    </w:lvl>
    <w:lvl w:ilvl="4" w:tplc="04150019" w:tentative="1">
      <w:start w:val="1"/>
      <w:numFmt w:val="lowerLetter"/>
      <w:lvlText w:val="%5."/>
      <w:lvlJc w:val="left"/>
      <w:pPr>
        <w:tabs>
          <w:tab w:val="num" w:pos="3600"/>
        </w:tabs>
        <w:ind w:left="3600" w:hanging="360"/>
      </w:pPr>
    </w:lvl>
    <w:lvl w:ilvl="5" w:tplc="0415001B" w:tentative="1">
      <w:start w:val="1"/>
      <w:numFmt w:val="lowerRoman"/>
      <w:lvlText w:val="%6."/>
      <w:lvlJc w:val="right"/>
      <w:pPr>
        <w:tabs>
          <w:tab w:val="num" w:pos="4320"/>
        </w:tabs>
        <w:ind w:left="4320" w:hanging="180"/>
      </w:pPr>
    </w:lvl>
    <w:lvl w:ilvl="6" w:tplc="0415000F" w:tentative="1">
      <w:start w:val="1"/>
      <w:numFmt w:val="decimal"/>
      <w:lvlText w:val="%7."/>
      <w:lvlJc w:val="left"/>
      <w:pPr>
        <w:tabs>
          <w:tab w:val="num" w:pos="5040"/>
        </w:tabs>
        <w:ind w:left="5040" w:hanging="360"/>
      </w:pPr>
    </w:lvl>
    <w:lvl w:ilvl="7" w:tplc="04150019" w:tentative="1">
      <w:start w:val="1"/>
      <w:numFmt w:val="lowerLetter"/>
      <w:lvlText w:val="%8."/>
      <w:lvlJc w:val="left"/>
      <w:pPr>
        <w:tabs>
          <w:tab w:val="num" w:pos="5760"/>
        </w:tabs>
        <w:ind w:left="5760" w:hanging="360"/>
      </w:pPr>
    </w:lvl>
    <w:lvl w:ilvl="8" w:tplc="0415001B" w:tentative="1">
      <w:start w:val="1"/>
      <w:numFmt w:val="lowerRoman"/>
      <w:lvlText w:val="%9."/>
      <w:lvlJc w:val="right"/>
      <w:pPr>
        <w:tabs>
          <w:tab w:val="num" w:pos="6480"/>
        </w:tabs>
        <w:ind w:left="6480" w:hanging="180"/>
      </w:pPr>
    </w:lvl>
  </w:abstractNum>
  <w:abstractNum w:abstractNumId="6">
    <w:nsid w:val="5C0D2E34"/>
    <w:multiLevelType w:val="hybridMultilevel"/>
    <w:tmpl w:val="986A9448"/>
    <w:lvl w:ilvl="0" w:tplc="59BC0666">
      <w:start w:val="1"/>
      <w:numFmt w:val="bullet"/>
      <w:lvlText w:val=""/>
      <w:lvlJc w:val="left"/>
      <w:pPr>
        <w:tabs>
          <w:tab w:val="num" w:pos="837"/>
        </w:tabs>
        <w:ind w:left="837" w:hanging="284"/>
      </w:pPr>
      <w:rPr>
        <w:rFonts w:ascii="Symbol" w:hAnsi="Symbol" w:hint="default"/>
      </w:rPr>
    </w:lvl>
    <w:lvl w:ilvl="1" w:tplc="04150003" w:tentative="1">
      <w:start w:val="1"/>
      <w:numFmt w:val="bullet"/>
      <w:lvlText w:val="o"/>
      <w:lvlJc w:val="left"/>
      <w:pPr>
        <w:tabs>
          <w:tab w:val="num" w:pos="1993"/>
        </w:tabs>
        <w:ind w:left="1993" w:hanging="360"/>
      </w:pPr>
      <w:rPr>
        <w:rFonts w:ascii="Courier New" w:hAnsi="Courier New" w:hint="default"/>
      </w:rPr>
    </w:lvl>
    <w:lvl w:ilvl="2" w:tplc="04150005" w:tentative="1">
      <w:start w:val="1"/>
      <w:numFmt w:val="bullet"/>
      <w:lvlText w:val=""/>
      <w:lvlJc w:val="left"/>
      <w:pPr>
        <w:tabs>
          <w:tab w:val="num" w:pos="2713"/>
        </w:tabs>
        <w:ind w:left="2713" w:hanging="360"/>
      </w:pPr>
      <w:rPr>
        <w:rFonts w:ascii="Wingdings" w:hAnsi="Wingdings" w:hint="default"/>
      </w:rPr>
    </w:lvl>
    <w:lvl w:ilvl="3" w:tplc="04150001" w:tentative="1">
      <w:start w:val="1"/>
      <w:numFmt w:val="bullet"/>
      <w:lvlText w:val=""/>
      <w:lvlJc w:val="left"/>
      <w:pPr>
        <w:tabs>
          <w:tab w:val="num" w:pos="3433"/>
        </w:tabs>
        <w:ind w:left="3433" w:hanging="360"/>
      </w:pPr>
      <w:rPr>
        <w:rFonts w:ascii="Symbol" w:hAnsi="Symbol" w:hint="default"/>
      </w:rPr>
    </w:lvl>
    <w:lvl w:ilvl="4" w:tplc="04150003" w:tentative="1">
      <w:start w:val="1"/>
      <w:numFmt w:val="bullet"/>
      <w:lvlText w:val="o"/>
      <w:lvlJc w:val="left"/>
      <w:pPr>
        <w:tabs>
          <w:tab w:val="num" w:pos="4153"/>
        </w:tabs>
        <w:ind w:left="4153" w:hanging="360"/>
      </w:pPr>
      <w:rPr>
        <w:rFonts w:ascii="Courier New" w:hAnsi="Courier New" w:hint="default"/>
      </w:rPr>
    </w:lvl>
    <w:lvl w:ilvl="5" w:tplc="04150005" w:tentative="1">
      <w:start w:val="1"/>
      <w:numFmt w:val="bullet"/>
      <w:lvlText w:val=""/>
      <w:lvlJc w:val="left"/>
      <w:pPr>
        <w:tabs>
          <w:tab w:val="num" w:pos="4873"/>
        </w:tabs>
        <w:ind w:left="4873" w:hanging="360"/>
      </w:pPr>
      <w:rPr>
        <w:rFonts w:ascii="Wingdings" w:hAnsi="Wingdings" w:hint="default"/>
      </w:rPr>
    </w:lvl>
    <w:lvl w:ilvl="6" w:tplc="04150001" w:tentative="1">
      <w:start w:val="1"/>
      <w:numFmt w:val="bullet"/>
      <w:lvlText w:val=""/>
      <w:lvlJc w:val="left"/>
      <w:pPr>
        <w:tabs>
          <w:tab w:val="num" w:pos="5593"/>
        </w:tabs>
        <w:ind w:left="5593" w:hanging="360"/>
      </w:pPr>
      <w:rPr>
        <w:rFonts w:ascii="Symbol" w:hAnsi="Symbol" w:hint="default"/>
      </w:rPr>
    </w:lvl>
    <w:lvl w:ilvl="7" w:tplc="04150003" w:tentative="1">
      <w:start w:val="1"/>
      <w:numFmt w:val="bullet"/>
      <w:lvlText w:val="o"/>
      <w:lvlJc w:val="left"/>
      <w:pPr>
        <w:tabs>
          <w:tab w:val="num" w:pos="6313"/>
        </w:tabs>
        <w:ind w:left="6313" w:hanging="360"/>
      </w:pPr>
      <w:rPr>
        <w:rFonts w:ascii="Courier New" w:hAnsi="Courier New" w:hint="default"/>
      </w:rPr>
    </w:lvl>
    <w:lvl w:ilvl="8" w:tplc="04150005" w:tentative="1">
      <w:start w:val="1"/>
      <w:numFmt w:val="bullet"/>
      <w:lvlText w:val=""/>
      <w:lvlJc w:val="left"/>
      <w:pPr>
        <w:tabs>
          <w:tab w:val="num" w:pos="7033"/>
        </w:tabs>
        <w:ind w:left="7033" w:hanging="360"/>
      </w:pPr>
      <w:rPr>
        <w:rFonts w:ascii="Wingdings" w:hAnsi="Wingdings" w:hint="default"/>
      </w:rPr>
    </w:lvl>
  </w:abstractNum>
  <w:abstractNum w:abstractNumId="7">
    <w:nsid w:val="7D335886"/>
    <w:multiLevelType w:val="hybridMultilevel"/>
    <w:tmpl w:val="D9EA6202"/>
    <w:lvl w:ilvl="0" w:tplc="04150001">
      <w:start w:val="1"/>
      <w:numFmt w:val="bullet"/>
      <w:lvlText w:val=""/>
      <w:lvlJc w:val="left"/>
      <w:pPr>
        <w:ind w:left="720" w:hanging="360"/>
      </w:pPr>
      <w:rPr>
        <w:rFonts w:ascii="Symbol" w:hAnsi="Symbol" w:hint="default"/>
      </w:rPr>
    </w:lvl>
    <w:lvl w:ilvl="1" w:tplc="04150003" w:tentative="1">
      <w:start w:val="1"/>
      <w:numFmt w:val="bullet"/>
      <w:lvlText w:val="o"/>
      <w:lvlJc w:val="left"/>
      <w:pPr>
        <w:ind w:left="1440" w:hanging="360"/>
      </w:pPr>
      <w:rPr>
        <w:rFonts w:ascii="Courier New" w:hAnsi="Courier New" w:cs="Courier New" w:hint="default"/>
      </w:rPr>
    </w:lvl>
    <w:lvl w:ilvl="2" w:tplc="04150005" w:tentative="1">
      <w:start w:val="1"/>
      <w:numFmt w:val="bullet"/>
      <w:lvlText w:val=""/>
      <w:lvlJc w:val="left"/>
      <w:pPr>
        <w:ind w:left="2160" w:hanging="360"/>
      </w:pPr>
      <w:rPr>
        <w:rFonts w:ascii="Wingdings" w:hAnsi="Wingdings" w:hint="default"/>
      </w:rPr>
    </w:lvl>
    <w:lvl w:ilvl="3" w:tplc="04150001" w:tentative="1">
      <w:start w:val="1"/>
      <w:numFmt w:val="bullet"/>
      <w:lvlText w:val=""/>
      <w:lvlJc w:val="left"/>
      <w:pPr>
        <w:ind w:left="2880" w:hanging="360"/>
      </w:pPr>
      <w:rPr>
        <w:rFonts w:ascii="Symbol" w:hAnsi="Symbol" w:hint="default"/>
      </w:rPr>
    </w:lvl>
    <w:lvl w:ilvl="4" w:tplc="04150003" w:tentative="1">
      <w:start w:val="1"/>
      <w:numFmt w:val="bullet"/>
      <w:lvlText w:val="o"/>
      <w:lvlJc w:val="left"/>
      <w:pPr>
        <w:ind w:left="3600" w:hanging="360"/>
      </w:pPr>
      <w:rPr>
        <w:rFonts w:ascii="Courier New" w:hAnsi="Courier New" w:cs="Courier New" w:hint="default"/>
      </w:rPr>
    </w:lvl>
    <w:lvl w:ilvl="5" w:tplc="04150005" w:tentative="1">
      <w:start w:val="1"/>
      <w:numFmt w:val="bullet"/>
      <w:lvlText w:val=""/>
      <w:lvlJc w:val="left"/>
      <w:pPr>
        <w:ind w:left="4320" w:hanging="360"/>
      </w:pPr>
      <w:rPr>
        <w:rFonts w:ascii="Wingdings" w:hAnsi="Wingdings" w:hint="default"/>
      </w:rPr>
    </w:lvl>
    <w:lvl w:ilvl="6" w:tplc="04150001" w:tentative="1">
      <w:start w:val="1"/>
      <w:numFmt w:val="bullet"/>
      <w:lvlText w:val=""/>
      <w:lvlJc w:val="left"/>
      <w:pPr>
        <w:ind w:left="5040" w:hanging="360"/>
      </w:pPr>
      <w:rPr>
        <w:rFonts w:ascii="Symbol" w:hAnsi="Symbol" w:hint="default"/>
      </w:rPr>
    </w:lvl>
    <w:lvl w:ilvl="7" w:tplc="04150003" w:tentative="1">
      <w:start w:val="1"/>
      <w:numFmt w:val="bullet"/>
      <w:lvlText w:val="o"/>
      <w:lvlJc w:val="left"/>
      <w:pPr>
        <w:ind w:left="5760" w:hanging="360"/>
      </w:pPr>
      <w:rPr>
        <w:rFonts w:ascii="Courier New" w:hAnsi="Courier New" w:cs="Courier New" w:hint="default"/>
      </w:rPr>
    </w:lvl>
    <w:lvl w:ilvl="8" w:tplc="0415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6"/>
  </w:num>
  <w:num w:numId="5">
    <w:abstractNumId w:val="5"/>
  </w:num>
  <w:num w:numId="6">
    <w:abstractNumId w:val="0"/>
  </w:num>
  <w:num w:numId="7">
    <w:abstractNumId w:val="4"/>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activeWritingStyle w:appName="MSWord" w:lang="pl-PL" w:vendorID="12"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autoHyphenation/>
  <w:hyphenationZone w:val="425"/>
  <w:drawingGridHorizontalSpacing w:val="120"/>
  <w:displayHorizont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6703"/>
    <w:rsid w:val="000011DA"/>
    <w:rsid w:val="000022E2"/>
    <w:rsid w:val="0001019A"/>
    <w:rsid w:val="0001158E"/>
    <w:rsid w:val="00014E5C"/>
    <w:rsid w:val="00016E61"/>
    <w:rsid w:val="000173A1"/>
    <w:rsid w:val="000208AB"/>
    <w:rsid w:val="000224CC"/>
    <w:rsid w:val="00024783"/>
    <w:rsid w:val="00024D95"/>
    <w:rsid w:val="00026C89"/>
    <w:rsid w:val="00030950"/>
    <w:rsid w:val="0003179A"/>
    <w:rsid w:val="00031E8B"/>
    <w:rsid w:val="000321CB"/>
    <w:rsid w:val="000328A5"/>
    <w:rsid w:val="00042BAA"/>
    <w:rsid w:val="00043FA4"/>
    <w:rsid w:val="00044DCF"/>
    <w:rsid w:val="00051EDD"/>
    <w:rsid w:val="00063918"/>
    <w:rsid w:val="00064509"/>
    <w:rsid w:val="00072F65"/>
    <w:rsid w:val="0008152C"/>
    <w:rsid w:val="00084220"/>
    <w:rsid w:val="000919D4"/>
    <w:rsid w:val="00092A1E"/>
    <w:rsid w:val="00093C28"/>
    <w:rsid w:val="00094B25"/>
    <w:rsid w:val="00095398"/>
    <w:rsid w:val="00097057"/>
    <w:rsid w:val="000A2BC3"/>
    <w:rsid w:val="000A3147"/>
    <w:rsid w:val="000A34CC"/>
    <w:rsid w:val="000A5FE6"/>
    <w:rsid w:val="000C2099"/>
    <w:rsid w:val="000C322F"/>
    <w:rsid w:val="000C6F76"/>
    <w:rsid w:val="000C71F5"/>
    <w:rsid w:val="000D0322"/>
    <w:rsid w:val="001015AD"/>
    <w:rsid w:val="00105F73"/>
    <w:rsid w:val="00107AAD"/>
    <w:rsid w:val="00115650"/>
    <w:rsid w:val="00115B0F"/>
    <w:rsid w:val="00121DD7"/>
    <w:rsid w:val="00127CB5"/>
    <w:rsid w:val="00131D78"/>
    <w:rsid w:val="00133DA1"/>
    <w:rsid w:val="00134E7B"/>
    <w:rsid w:val="00135CB4"/>
    <w:rsid w:val="0014101E"/>
    <w:rsid w:val="001435F9"/>
    <w:rsid w:val="00143EB1"/>
    <w:rsid w:val="001458DE"/>
    <w:rsid w:val="001463A4"/>
    <w:rsid w:val="001511BF"/>
    <w:rsid w:val="001544EA"/>
    <w:rsid w:val="00157C1B"/>
    <w:rsid w:val="00160322"/>
    <w:rsid w:val="00162AD1"/>
    <w:rsid w:val="001673CE"/>
    <w:rsid w:val="001704A7"/>
    <w:rsid w:val="00177079"/>
    <w:rsid w:val="00180EFD"/>
    <w:rsid w:val="00181472"/>
    <w:rsid w:val="00181BC2"/>
    <w:rsid w:val="00183384"/>
    <w:rsid w:val="0018428C"/>
    <w:rsid w:val="00187752"/>
    <w:rsid w:val="0019280B"/>
    <w:rsid w:val="001931EC"/>
    <w:rsid w:val="001949C0"/>
    <w:rsid w:val="001A1E62"/>
    <w:rsid w:val="001A5822"/>
    <w:rsid w:val="001A60C2"/>
    <w:rsid w:val="001B1DD7"/>
    <w:rsid w:val="001B24F5"/>
    <w:rsid w:val="001B2F6E"/>
    <w:rsid w:val="001B69CB"/>
    <w:rsid w:val="001C0D93"/>
    <w:rsid w:val="001C2628"/>
    <w:rsid w:val="001C3BAE"/>
    <w:rsid w:val="001C3FAF"/>
    <w:rsid w:val="001D5786"/>
    <w:rsid w:val="001F15BE"/>
    <w:rsid w:val="001F1C19"/>
    <w:rsid w:val="00200DDC"/>
    <w:rsid w:val="00212AC7"/>
    <w:rsid w:val="002138FA"/>
    <w:rsid w:val="00213F84"/>
    <w:rsid w:val="002172A7"/>
    <w:rsid w:val="00225B98"/>
    <w:rsid w:val="00234B5F"/>
    <w:rsid w:val="00237C21"/>
    <w:rsid w:val="002478DB"/>
    <w:rsid w:val="002552F8"/>
    <w:rsid w:val="0025624F"/>
    <w:rsid w:val="00256B22"/>
    <w:rsid w:val="00264FFE"/>
    <w:rsid w:val="00265294"/>
    <w:rsid w:val="00265FA0"/>
    <w:rsid w:val="00275E60"/>
    <w:rsid w:val="002867E3"/>
    <w:rsid w:val="00287B36"/>
    <w:rsid w:val="002916C9"/>
    <w:rsid w:val="00297433"/>
    <w:rsid w:val="002A217C"/>
    <w:rsid w:val="002A3659"/>
    <w:rsid w:val="002A7032"/>
    <w:rsid w:val="002A7B5B"/>
    <w:rsid w:val="002B3A01"/>
    <w:rsid w:val="002B503D"/>
    <w:rsid w:val="002B67DA"/>
    <w:rsid w:val="002B6893"/>
    <w:rsid w:val="002C4F9F"/>
    <w:rsid w:val="002C5022"/>
    <w:rsid w:val="002D4900"/>
    <w:rsid w:val="002D6215"/>
    <w:rsid w:val="002D71A2"/>
    <w:rsid w:val="002D7833"/>
    <w:rsid w:val="002D7EE3"/>
    <w:rsid w:val="002E02B2"/>
    <w:rsid w:val="002E46C8"/>
    <w:rsid w:val="002E7E8E"/>
    <w:rsid w:val="002F04B4"/>
    <w:rsid w:val="002F12A0"/>
    <w:rsid w:val="002F1580"/>
    <w:rsid w:val="002F29D8"/>
    <w:rsid w:val="002F48CA"/>
    <w:rsid w:val="002F49E1"/>
    <w:rsid w:val="002F6151"/>
    <w:rsid w:val="003018C5"/>
    <w:rsid w:val="00302A4C"/>
    <w:rsid w:val="0030324E"/>
    <w:rsid w:val="00303B92"/>
    <w:rsid w:val="003109E7"/>
    <w:rsid w:val="003141E5"/>
    <w:rsid w:val="00315BD2"/>
    <w:rsid w:val="00322419"/>
    <w:rsid w:val="00324911"/>
    <w:rsid w:val="00341389"/>
    <w:rsid w:val="00342747"/>
    <w:rsid w:val="00353F35"/>
    <w:rsid w:val="00354A1E"/>
    <w:rsid w:val="00355DCA"/>
    <w:rsid w:val="00356B56"/>
    <w:rsid w:val="00360562"/>
    <w:rsid w:val="003624D0"/>
    <w:rsid w:val="00364F04"/>
    <w:rsid w:val="00374851"/>
    <w:rsid w:val="003804B4"/>
    <w:rsid w:val="00384D48"/>
    <w:rsid w:val="003861A1"/>
    <w:rsid w:val="003865B1"/>
    <w:rsid w:val="003935CE"/>
    <w:rsid w:val="00393DC0"/>
    <w:rsid w:val="003959BE"/>
    <w:rsid w:val="003B0FF2"/>
    <w:rsid w:val="003B13E8"/>
    <w:rsid w:val="003B1B1C"/>
    <w:rsid w:val="003B2D6F"/>
    <w:rsid w:val="003B6F56"/>
    <w:rsid w:val="003B7228"/>
    <w:rsid w:val="003C1F9F"/>
    <w:rsid w:val="003D02EF"/>
    <w:rsid w:val="003D0F9A"/>
    <w:rsid w:val="003D3437"/>
    <w:rsid w:val="003D383E"/>
    <w:rsid w:val="003D60A8"/>
    <w:rsid w:val="003D67F5"/>
    <w:rsid w:val="003E065D"/>
    <w:rsid w:val="003E0EB3"/>
    <w:rsid w:val="003E48D1"/>
    <w:rsid w:val="003F0E44"/>
    <w:rsid w:val="003F782C"/>
    <w:rsid w:val="004051C6"/>
    <w:rsid w:val="004052E5"/>
    <w:rsid w:val="00412D74"/>
    <w:rsid w:val="00413C2F"/>
    <w:rsid w:val="004150E1"/>
    <w:rsid w:val="004201A0"/>
    <w:rsid w:val="00420CFB"/>
    <w:rsid w:val="004216EB"/>
    <w:rsid w:val="004236ED"/>
    <w:rsid w:val="0043039A"/>
    <w:rsid w:val="00436567"/>
    <w:rsid w:val="004409AB"/>
    <w:rsid w:val="0045014D"/>
    <w:rsid w:val="00451617"/>
    <w:rsid w:val="00457DEA"/>
    <w:rsid w:val="0046141B"/>
    <w:rsid w:val="00462243"/>
    <w:rsid w:val="00465E5E"/>
    <w:rsid w:val="004732B5"/>
    <w:rsid w:val="0047672B"/>
    <w:rsid w:val="0048211A"/>
    <w:rsid w:val="00484BE3"/>
    <w:rsid w:val="004861A7"/>
    <w:rsid w:val="004872E2"/>
    <w:rsid w:val="00487441"/>
    <w:rsid w:val="004A51A3"/>
    <w:rsid w:val="004A5B9B"/>
    <w:rsid w:val="004A5D8B"/>
    <w:rsid w:val="004B305C"/>
    <w:rsid w:val="004B3E29"/>
    <w:rsid w:val="004B64AC"/>
    <w:rsid w:val="004C1A84"/>
    <w:rsid w:val="004C28FD"/>
    <w:rsid w:val="004D5254"/>
    <w:rsid w:val="004E7DAE"/>
    <w:rsid w:val="004F2452"/>
    <w:rsid w:val="004F3C8E"/>
    <w:rsid w:val="004F5A2F"/>
    <w:rsid w:val="004F715D"/>
    <w:rsid w:val="00513EAA"/>
    <w:rsid w:val="00516B3C"/>
    <w:rsid w:val="00520D89"/>
    <w:rsid w:val="00522197"/>
    <w:rsid w:val="00524782"/>
    <w:rsid w:val="0052530E"/>
    <w:rsid w:val="00525D70"/>
    <w:rsid w:val="00527625"/>
    <w:rsid w:val="005339D1"/>
    <w:rsid w:val="005345DE"/>
    <w:rsid w:val="005362CA"/>
    <w:rsid w:val="005411CF"/>
    <w:rsid w:val="00542621"/>
    <w:rsid w:val="005454BF"/>
    <w:rsid w:val="00546EC1"/>
    <w:rsid w:val="005501E4"/>
    <w:rsid w:val="005509FF"/>
    <w:rsid w:val="005515C5"/>
    <w:rsid w:val="0055162D"/>
    <w:rsid w:val="005573DA"/>
    <w:rsid w:val="00561928"/>
    <w:rsid w:val="00562590"/>
    <w:rsid w:val="00563AB1"/>
    <w:rsid w:val="00571EE2"/>
    <w:rsid w:val="0057276B"/>
    <w:rsid w:val="00573B69"/>
    <w:rsid w:val="0057518D"/>
    <w:rsid w:val="00575A2C"/>
    <w:rsid w:val="0057606B"/>
    <w:rsid w:val="00576862"/>
    <w:rsid w:val="00584357"/>
    <w:rsid w:val="0058464B"/>
    <w:rsid w:val="00590426"/>
    <w:rsid w:val="00591019"/>
    <w:rsid w:val="00593CB8"/>
    <w:rsid w:val="00594299"/>
    <w:rsid w:val="0059461D"/>
    <w:rsid w:val="005A006F"/>
    <w:rsid w:val="005A67A7"/>
    <w:rsid w:val="005B2D58"/>
    <w:rsid w:val="005B548C"/>
    <w:rsid w:val="005C11F1"/>
    <w:rsid w:val="005C1CC7"/>
    <w:rsid w:val="005C67EC"/>
    <w:rsid w:val="005D0D93"/>
    <w:rsid w:val="005D11E4"/>
    <w:rsid w:val="005D164C"/>
    <w:rsid w:val="005D1DFE"/>
    <w:rsid w:val="005D5C33"/>
    <w:rsid w:val="005D6BF3"/>
    <w:rsid w:val="005E23AF"/>
    <w:rsid w:val="005E28E7"/>
    <w:rsid w:val="005E325A"/>
    <w:rsid w:val="005E549B"/>
    <w:rsid w:val="005E77A4"/>
    <w:rsid w:val="005F7EC1"/>
    <w:rsid w:val="006004D4"/>
    <w:rsid w:val="00601828"/>
    <w:rsid w:val="00602113"/>
    <w:rsid w:val="00602C06"/>
    <w:rsid w:val="00617B7A"/>
    <w:rsid w:val="00622740"/>
    <w:rsid w:val="00636F65"/>
    <w:rsid w:val="0064074A"/>
    <w:rsid w:val="006426EB"/>
    <w:rsid w:val="00645882"/>
    <w:rsid w:val="00647880"/>
    <w:rsid w:val="00650F5C"/>
    <w:rsid w:val="00650F8B"/>
    <w:rsid w:val="00650FF7"/>
    <w:rsid w:val="006513C7"/>
    <w:rsid w:val="00651BC0"/>
    <w:rsid w:val="00656164"/>
    <w:rsid w:val="0065797A"/>
    <w:rsid w:val="00661700"/>
    <w:rsid w:val="006619D0"/>
    <w:rsid w:val="006622F2"/>
    <w:rsid w:val="00662D9E"/>
    <w:rsid w:val="00674818"/>
    <w:rsid w:val="00675859"/>
    <w:rsid w:val="00677125"/>
    <w:rsid w:val="00694796"/>
    <w:rsid w:val="006957F2"/>
    <w:rsid w:val="006A2FD4"/>
    <w:rsid w:val="006C1088"/>
    <w:rsid w:val="006C1E69"/>
    <w:rsid w:val="006C5742"/>
    <w:rsid w:val="006C6FB4"/>
    <w:rsid w:val="006C73A3"/>
    <w:rsid w:val="006D2DD1"/>
    <w:rsid w:val="006D6A6A"/>
    <w:rsid w:val="006D6D8F"/>
    <w:rsid w:val="006E21AA"/>
    <w:rsid w:val="006E5B73"/>
    <w:rsid w:val="006F1F6B"/>
    <w:rsid w:val="006F340B"/>
    <w:rsid w:val="007020CE"/>
    <w:rsid w:val="007024D1"/>
    <w:rsid w:val="007051DA"/>
    <w:rsid w:val="0071066B"/>
    <w:rsid w:val="0071121C"/>
    <w:rsid w:val="00712129"/>
    <w:rsid w:val="00713717"/>
    <w:rsid w:val="00714184"/>
    <w:rsid w:val="00716703"/>
    <w:rsid w:val="007225FF"/>
    <w:rsid w:val="00722F3A"/>
    <w:rsid w:val="00724942"/>
    <w:rsid w:val="00735B5B"/>
    <w:rsid w:val="00737914"/>
    <w:rsid w:val="00741379"/>
    <w:rsid w:val="00750E98"/>
    <w:rsid w:val="00755A5B"/>
    <w:rsid w:val="00757EE7"/>
    <w:rsid w:val="007640A4"/>
    <w:rsid w:val="0076533A"/>
    <w:rsid w:val="00774294"/>
    <w:rsid w:val="007746E3"/>
    <w:rsid w:val="00774FE2"/>
    <w:rsid w:val="0077620E"/>
    <w:rsid w:val="007822B0"/>
    <w:rsid w:val="007832BC"/>
    <w:rsid w:val="00783598"/>
    <w:rsid w:val="0078439D"/>
    <w:rsid w:val="00784F95"/>
    <w:rsid w:val="00785DC1"/>
    <w:rsid w:val="00786467"/>
    <w:rsid w:val="007866B1"/>
    <w:rsid w:val="00786D6A"/>
    <w:rsid w:val="007878EF"/>
    <w:rsid w:val="007956BF"/>
    <w:rsid w:val="007A041D"/>
    <w:rsid w:val="007A314F"/>
    <w:rsid w:val="007A3839"/>
    <w:rsid w:val="007A3C23"/>
    <w:rsid w:val="007A4DBE"/>
    <w:rsid w:val="007B0B34"/>
    <w:rsid w:val="007B6B66"/>
    <w:rsid w:val="007C2332"/>
    <w:rsid w:val="007C4E2C"/>
    <w:rsid w:val="007C650A"/>
    <w:rsid w:val="007D0F50"/>
    <w:rsid w:val="007D4497"/>
    <w:rsid w:val="007D44C1"/>
    <w:rsid w:val="007D5963"/>
    <w:rsid w:val="007E0E63"/>
    <w:rsid w:val="007E25CA"/>
    <w:rsid w:val="007E2BA8"/>
    <w:rsid w:val="007E72A0"/>
    <w:rsid w:val="007E7AD6"/>
    <w:rsid w:val="007F1D98"/>
    <w:rsid w:val="007F5D48"/>
    <w:rsid w:val="007F6A6A"/>
    <w:rsid w:val="007F7362"/>
    <w:rsid w:val="00801203"/>
    <w:rsid w:val="008015DB"/>
    <w:rsid w:val="00803B25"/>
    <w:rsid w:val="00803DCB"/>
    <w:rsid w:val="00805C54"/>
    <w:rsid w:val="0081097E"/>
    <w:rsid w:val="00813F4E"/>
    <w:rsid w:val="00817781"/>
    <w:rsid w:val="008261DC"/>
    <w:rsid w:val="00841C50"/>
    <w:rsid w:val="00844341"/>
    <w:rsid w:val="008458B5"/>
    <w:rsid w:val="00846008"/>
    <w:rsid w:val="00847A47"/>
    <w:rsid w:val="008516EC"/>
    <w:rsid w:val="008535C1"/>
    <w:rsid w:val="00856E7E"/>
    <w:rsid w:val="0085712A"/>
    <w:rsid w:val="00861A56"/>
    <w:rsid w:val="00862E3A"/>
    <w:rsid w:val="00863960"/>
    <w:rsid w:val="00867D46"/>
    <w:rsid w:val="0087186F"/>
    <w:rsid w:val="00872FB8"/>
    <w:rsid w:val="00873DCA"/>
    <w:rsid w:val="00876303"/>
    <w:rsid w:val="0087636E"/>
    <w:rsid w:val="0087697E"/>
    <w:rsid w:val="00876B6C"/>
    <w:rsid w:val="00881527"/>
    <w:rsid w:val="008818B4"/>
    <w:rsid w:val="00882A17"/>
    <w:rsid w:val="00885D8A"/>
    <w:rsid w:val="00891492"/>
    <w:rsid w:val="00893551"/>
    <w:rsid w:val="00895AC0"/>
    <w:rsid w:val="00896B6E"/>
    <w:rsid w:val="00897523"/>
    <w:rsid w:val="008B3504"/>
    <w:rsid w:val="008C1855"/>
    <w:rsid w:val="008C33A5"/>
    <w:rsid w:val="008C561D"/>
    <w:rsid w:val="008C56D6"/>
    <w:rsid w:val="008D2FA0"/>
    <w:rsid w:val="008D33D6"/>
    <w:rsid w:val="008D4848"/>
    <w:rsid w:val="008E543B"/>
    <w:rsid w:val="008E5EF5"/>
    <w:rsid w:val="008F0B2B"/>
    <w:rsid w:val="008F2C3F"/>
    <w:rsid w:val="00900730"/>
    <w:rsid w:val="0090573D"/>
    <w:rsid w:val="00906321"/>
    <w:rsid w:val="00910193"/>
    <w:rsid w:val="00914B2D"/>
    <w:rsid w:val="0092098F"/>
    <w:rsid w:val="00924299"/>
    <w:rsid w:val="0092450A"/>
    <w:rsid w:val="00925B8A"/>
    <w:rsid w:val="009308A8"/>
    <w:rsid w:val="00931E9D"/>
    <w:rsid w:val="00941D83"/>
    <w:rsid w:val="00955293"/>
    <w:rsid w:val="009552A2"/>
    <w:rsid w:val="00960A4F"/>
    <w:rsid w:val="00961851"/>
    <w:rsid w:val="00962B36"/>
    <w:rsid w:val="009667D3"/>
    <w:rsid w:val="0097101C"/>
    <w:rsid w:val="00971AD4"/>
    <w:rsid w:val="009747FB"/>
    <w:rsid w:val="00975898"/>
    <w:rsid w:val="0098365F"/>
    <w:rsid w:val="009846F3"/>
    <w:rsid w:val="00986B22"/>
    <w:rsid w:val="009970F5"/>
    <w:rsid w:val="009A62F4"/>
    <w:rsid w:val="009A6F0A"/>
    <w:rsid w:val="009B0235"/>
    <w:rsid w:val="009B57F1"/>
    <w:rsid w:val="009B6D98"/>
    <w:rsid w:val="009C34EB"/>
    <w:rsid w:val="009C5977"/>
    <w:rsid w:val="009C73DA"/>
    <w:rsid w:val="009D0522"/>
    <w:rsid w:val="009D39F1"/>
    <w:rsid w:val="009E3487"/>
    <w:rsid w:val="009E59BD"/>
    <w:rsid w:val="009F003F"/>
    <w:rsid w:val="009F1057"/>
    <w:rsid w:val="009F12E3"/>
    <w:rsid w:val="009F2651"/>
    <w:rsid w:val="00A03668"/>
    <w:rsid w:val="00A05D0A"/>
    <w:rsid w:val="00A16948"/>
    <w:rsid w:val="00A21DB7"/>
    <w:rsid w:val="00A247CA"/>
    <w:rsid w:val="00A2655D"/>
    <w:rsid w:val="00A33038"/>
    <w:rsid w:val="00A44E63"/>
    <w:rsid w:val="00A5484F"/>
    <w:rsid w:val="00A55319"/>
    <w:rsid w:val="00A55448"/>
    <w:rsid w:val="00A55A5A"/>
    <w:rsid w:val="00A577A1"/>
    <w:rsid w:val="00A61841"/>
    <w:rsid w:val="00A65F4A"/>
    <w:rsid w:val="00A7196F"/>
    <w:rsid w:val="00A71C3F"/>
    <w:rsid w:val="00A75836"/>
    <w:rsid w:val="00A80285"/>
    <w:rsid w:val="00A8263B"/>
    <w:rsid w:val="00A85B60"/>
    <w:rsid w:val="00A85E5B"/>
    <w:rsid w:val="00A868EA"/>
    <w:rsid w:val="00A87836"/>
    <w:rsid w:val="00A90F50"/>
    <w:rsid w:val="00A91435"/>
    <w:rsid w:val="00A94F9E"/>
    <w:rsid w:val="00A97144"/>
    <w:rsid w:val="00AA205A"/>
    <w:rsid w:val="00AA3CD0"/>
    <w:rsid w:val="00AB0EDE"/>
    <w:rsid w:val="00AB46BB"/>
    <w:rsid w:val="00AC424E"/>
    <w:rsid w:val="00AC66D6"/>
    <w:rsid w:val="00AC7D54"/>
    <w:rsid w:val="00AD0F9C"/>
    <w:rsid w:val="00AD2D06"/>
    <w:rsid w:val="00AD3507"/>
    <w:rsid w:val="00AD63F4"/>
    <w:rsid w:val="00AD746C"/>
    <w:rsid w:val="00AE0CFA"/>
    <w:rsid w:val="00AE2F6D"/>
    <w:rsid w:val="00AE45FA"/>
    <w:rsid w:val="00AE79BA"/>
    <w:rsid w:val="00AF07CF"/>
    <w:rsid w:val="00AF0EF2"/>
    <w:rsid w:val="00AF4FD9"/>
    <w:rsid w:val="00AF759B"/>
    <w:rsid w:val="00B03939"/>
    <w:rsid w:val="00B05433"/>
    <w:rsid w:val="00B13B36"/>
    <w:rsid w:val="00B14272"/>
    <w:rsid w:val="00B162B8"/>
    <w:rsid w:val="00B176FF"/>
    <w:rsid w:val="00B21ED2"/>
    <w:rsid w:val="00B221D2"/>
    <w:rsid w:val="00B227D8"/>
    <w:rsid w:val="00B31A06"/>
    <w:rsid w:val="00B37310"/>
    <w:rsid w:val="00B51F11"/>
    <w:rsid w:val="00B522E5"/>
    <w:rsid w:val="00B56792"/>
    <w:rsid w:val="00B56DE8"/>
    <w:rsid w:val="00B6237B"/>
    <w:rsid w:val="00B62CD1"/>
    <w:rsid w:val="00B659B1"/>
    <w:rsid w:val="00B72E15"/>
    <w:rsid w:val="00B7419B"/>
    <w:rsid w:val="00B7688D"/>
    <w:rsid w:val="00B8159C"/>
    <w:rsid w:val="00B934DD"/>
    <w:rsid w:val="00B97C1B"/>
    <w:rsid w:val="00BA0198"/>
    <w:rsid w:val="00BA1AB8"/>
    <w:rsid w:val="00BA45A4"/>
    <w:rsid w:val="00BA652F"/>
    <w:rsid w:val="00BA6C4C"/>
    <w:rsid w:val="00BB0E27"/>
    <w:rsid w:val="00BB6242"/>
    <w:rsid w:val="00BC6D8D"/>
    <w:rsid w:val="00BC7BEF"/>
    <w:rsid w:val="00BE2F92"/>
    <w:rsid w:val="00BE481A"/>
    <w:rsid w:val="00BE49A0"/>
    <w:rsid w:val="00BF14E1"/>
    <w:rsid w:val="00BF3D20"/>
    <w:rsid w:val="00BF5DC1"/>
    <w:rsid w:val="00C01CC3"/>
    <w:rsid w:val="00C04693"/>
    <w:rsid w:val="00C06DB6"/>
    <w:rsid w:val="00C07535"/>
    <w:rsid w:val="00C0776F"/>
    <w:rsid w:val="00C110AF"/>
    <w:rsid w:val="00C11982"/>
    <w:rsid w:val="00C13009"/>
    <w:rsid w:val="00C227E1"/>
    <w:rsid w:val="00C25AF1"/>
    <w:rsid w:val="00C410B5"/>
    <w:rsid w:val="00C439DD"/>
    <w:rsid w:val="00C469DB"/>
    <w:rsid w:val="00C47293"/>
    <w:rsid w:val="00C5234E"/>
    <w:rsid w:val="00C57EEE"/>
    <w:rsid w:val="00C57FB2"/>
    <w:rsid w:val="00C6125B"/>
    <w:rsid w:val="00C62921"/>
    <w:rsid w:val="00C63AEB"/>
    <w:rsid w:val="00C644F1"/>
    <w:rsid w:val="00C674CF"/>
    <w:rsid w:val="00C85F74"/>
    <w:rsid w:val="00C915C0"/>
    <w:rsid w:val="00C945BF"/>
    <w:rsid w:val="00C9588B"/>
    <w:rsid w:val="00CA4811"/>
    <w:rsid w:val="00CA71A0"/>
    <w:rsid w:val="00CB2040"/>
    <w:rsid w:val="00CB3B6C"/>
    <w:rsid w:val="00CB5BEA"/>
    <w:rsid w:val="00CB7AA2"/>
    <w:rsid w:val="00CD1F22"/>
    <w:rsid w:val="00CD32CA"/>
    <w:rsid w:val="00CD45D2"/>
    <w:rsid w:val="00CD751C"/>
    <w:rsid w:val="00CE13AF"/>
    <w:rsid w:val="00CE2FE5"/>
    <w:rsid w:val="00CE346B"/>
    <w:rsid w:val="00CE4EC9"/>
    <w:rsid w:val="00CF5563"/>
    <w:rsid w:val="00CF64C7"/>
    <w:rsid w:val="00D052FA"/>
    <w:rsid w:val="00D104FE"/>
    <w:rsid w:val="00D12F4C"/>
    <w:rsid w:val="00D149EA"/>
    <w:rsid w:val="00D20784"/>
    <w:rsid w:val="00D254B6"/>
    <w:rsid w:val="00D264F8"/>
    <w:rsid w:val="00D27093"/>
    <w:rsid w:val="00D27478"/>
    <w:rsid w:val="00D30D93"/>
    <w:rsid w:val="00D31196"/>
    <w:rsid w:val="00D3218F"/>
    <w:rsid w:val="00D32437"/>
    <w:rsid w:val="00D336EF"/>
    <w:rsid w:val="00D4254B"/>
    <w:rsid w:val="00D44449"/>
    <w:rsid w:val="00D47BE1"/>
    <w:rsid w:val="00D51465"/>
    <w:rsid w:val="00D555A9"/>
    <w:rsid w:val="00D576F1"/>
    <w:rsid w:val="00D57FAB"/>
    <w:rsid w:val="00D62288"/>
    <w:rsid w:val="00D626A4"/>
    <w:rsid w:val="00D637F4"/>
    <w:rsid w:val="00D67395"/>
    <w:rsid w:val="00D6785D"/>
    <w:rsid w:val="00D704F9"/>
    <w:rsid w:val="00D70FE9"/>
    <w:rsid w:val="00D710FA"/>
    <w:rsid w:val="00D71B83"/>
    <w:rsid w:val="00D71F65"/>
    <w:rsid w:val="00D723D1"/>
    <w:rsid w:val="00D73556"/>
    <w:rsid w:val="00D7524C"/>
    <w:rsid w:val="00D77ADD"/>
    <w:rsid w:val="00D84B3C"/>
    <w:rsid w:val="00D85E8C"/>
    <w:rsid w:val="00D9280E"/>
    <w:rsid w:val="00D93E30"/>
    <w:rsid w:val="00D9673E"/>
    <w:rsid w:val="00DA00DF"/>
    <w:rsid w:val="00DA2A60"/>
    <w:rsid w:val="00DA43C7"/>
    <w:rsid w:val="00DB4844"/>
    <w:rsid w:val="00DB5BA8"/>
    <w:rsid w:val="00DB619E"/>
    <w:rsid w:val="00DC15BE"/>
    <w:rsid w:val="00DC29A3"/>
    <w:rsid w:val="00DC6F0C"/>
    <w:rsid w:val="00DC70B0"/>
    <w:rsid w:val="00DD2BBE"/>
    <w:rsid w:val="00DD3287"/>
    <w:rsid w:val="00DE236D"/>
    <w:rsid w:val="00DE6222"/>
    <w:rsid w:val="00DE6785"/>
    <w:rsid w:val="00DF2905"/>
    <w:rsid w:val="00DF3496"/>
    <w:rsid w:val="00DF79E1"/>
    <w:rsid w:val="00E04E17"/>
    <w:rsid w:val="00E070A4"/>
    <w:rsid w:val="00E070E7"/>
    <w:rsid w:val="00E10AFB"/>
    <w:rsid w:val="00E12AF4"/>
    <w:rsid w:val="00E1556F"/>
    <w:rsid w:val="00E2773A"/>
    <w:rsid w:val="00E30CF7"/>
    <w:rsid w:val="00E3146F"/>
    <w:rsid w:val="00E32CDE"/>
    <w:rsid w:val="00E434B9"/>
    <w:rsid w:val="00E4484C"/>
    <w:rsid w:val="00E46F73"/>
    <w:rsid w:val="00E62CCC"/>
    <w:rsid w:val="00E656F6"/>
    <w:rsid w:val="00E66588"/>
    <w:rsid w:val="00E67F6F"/>
    <w:rsid w:val="00E73418"/>
    <w:rsid w:val="00E77560"/>
    <w:rsid w:val="00E776B5"/>
    <w:rsid w:val="00E82820"/>
    <w:rsid w:val="00E8695B"/>
    <w:rsid w:val="00E94970"/>
    <w:rsid w:val="00E94E02"/>
    <w:rsid w:val="00EA1DF0"/>
    <w:rsid w:val="00EA2809"/>
    <w:rsid w:val="00EA57BB"/>
    <w:rsid w:val="00EB4397"/>
    <w:rsid w:val="00EB5BBB"/>
    <w:rsid w:val="00EC106A"/>
    <w:rsid w:val="00EC5547"/>
    <w:rsid w:val="00EC7812"/>
    <w:rsid w:val="00ED17BD"/>
    <w:rsid w:val="00ED72B0"/>
    <w:rsid w:val="00EE3709"/>
    <w:rsid w:val="00EE50D6"/>
    <w:rsid w:val="00EE5654"/>
    <w:rsid w:val="00EE6AF0"/>
    <w:rsid w:val="00EF0B49"/>
    <w:rsid w:val="00EF60E5"/>
    <w:rsid w:val="00EF6B30"/>
    <w:rsid w:val="00EF6B99"/>
    <w:rsid w:val="00F026B8"/>
    <w:rsid w:val="00F06D79"/>
    <w:rsid w:val="00F1234E"/>
    <w:rsid w:val="00F13146"/>
    <w:rsid w:val="00F14B4C"/>
    <w:rsid w:val="00F1641A"/>
    <w:rsid w:val="00F17475"/>
    <w:rsid w:val="00F176AC"/>
    <w:rsid w:val="00F17C50"/>
    <w:rsid w:val="00F23763"/>
    <w:rsid w:val="00F25578"/>
    <w:rsid w:val="00F32DD2"/>
    <w:rsid w:val="00F33924"/>
    <w:rsid w:val="00F36725"/>
    <w:rsid w:val="00F45C86"/>
    <w:rsid w:val="00F55D18"/>
    <w:rsid w:val="00F56DD3"/>
    <w:rsid w:val="00F56FEE"/>
    <w:rsid w:val="00F611C0"/>
    <w:rsid w:val="00F656F7"/>
    <w:rsid w:val="00F669AA"/>
    <w:rsid w:val="00F67FBF"/>
    <w:rsid w:val="00F72C80"/>
    <w:rsid w:val="00F733B0"/>
    <w:rsid w:val="00F73625"/>
    <w:rsid w:val="00F764E8"/>
    <w:rsid w:val="00F81D18"/>
    <w:rsid w:val="00F86E8A"/>
    <w:rsid w:val="00F93818"/>
    <w:rsid w:val="00F9738A"/>
    <w:rsid w:val="00FA01BC"/>
    <w:rsid w:val="00FB1EF4"/>
    <w:rsid w:val="00FB73F0"/>
    <w:rsid w:val="00FC11CA"/>
    <w:rsid w:val="00FD6ED1"/>
    <w:rsid w:val="00FE0100"/>
    <w:rsid w:val="00FE046D"/>
    <w:rsid w:val="00FE24BA"/>
    <w:rsid w:val="00FE3D19"/>
    <w:rsid w:val="00FF0266"/>
    <w:rsid w:val="00FF14E4"/>
    <w:rsid w:val="00FF1EBA"/>
    <w:rsid w:val="00FF3D5A"/>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docId w15:val="{011BC61E-EEA6-4495-9524-434BEFCABE8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l-PL" w:eastAsia="pl-P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Standardowy1"/>
    <w:qFormat/>
    <w:rsid w:val="00525D70"/>
    <w:pPr>
      <w:spacing w:line="360" w:lineRule="auto"/>
      <w:jc w:val="both"/>
    </w:pPr>
    <w:rPr>
      <w:sz w:val="24"/>
    </w:rPr>
  </w:style>
  <w:style w:type="paragraph" w:styleId="Heading1">
    <w:name w:val="heading 1"/>
    <w:basedOn w:val="Normal"/>
    <w:next w:val="Normal"/>
    <w:qFormat/>
    <w:rsid w:val="000C322F"/>
    <w:pPr>
      <w:keepNext/>
      <w:spacing w:before="280" w:after="280"/>
      <w:outlineLvl w:val="0"/>
    </w:pPr>
    <w:rPr>
      <w:rFonts w:ascii="Arial" w:hAnsi="Arial"/>
      <w:b/>
      <w:bCs/>
      <w:kern w:val="32"/>
      <w:sz w:val="32"/>
      <w:szCs w:val="32"/>
    </w:rPr>
  </w:style>
  <w:style w:type="paragraph" w:styleId="Heading2">
    <w:name w:val="heading 2"/>
    <w:basedOn w:val="Normal"/>
    <w:next w:val="Normal"/>
    <w:qFormat/>
    <w:rsid w:val="00E94970"/>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525D70"/>
    <w:pPr>
      <w:keepNext/>
      <w:suppressAutoHyphens/>
      <w:spacing w:before="240" w:after="60"/>
      <w:ind w:left="3969"/>
      <w:outlineLvl w:val="2"/>
    </w:pPr>
    <w:rPr>
      <w:rFonts w:ascii="Arial" w:hAnsi="Arial"/>
      <w:b/>
      <w:sz w:val="28"/>
    </w:rPr>
  </w:style>
  <w:style w:type="paragraph" w:styleId="Heading5">
    <w:name w:val="heading 5"/>
    <w:basedOn w:val="Normal"/>
    <w:next w:val="Normal"/>
    <w:link w:val="Heading5Char"/>
    <w:uiPriority w:val="9"/>
    <w:semiHidden/>
    <w:unhideWhenUsed/>
    <w:qFormat/>
    <w:rsid w:val="00DE6785"/>
    <w:p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unhideWhenUsed/>
    <w:qFormat/>
    <w:rsid w:val="00DE6785"/>
    <w:pPr>
      <w:spacing w:before="240" w:after="60"/>
      <w:outlineLvl w:val="5"/>
    </w:pPr>
    <w:rPr>
      <w:rFonts w:ascii="Calibri" w:hAnsi="Calibri"/>
      <w:b/>
      <w:bCs/>
      <w:sz w:val="22"/>
      <w:szCs w:val="22"/>
    </w:rPr>
  </w:style>
  <w:style w:type="paragraph" w:styleId="Heading7">
    <w:name w:val="heading 7"/>
    <w:basedOn w:val="Normal"/>
    <w:next w:val="Normal"/>
    <w:link w:val="Heading7Char"/>
    <w:uiPriority w:val="9"/>
    <w:unhideWhenUsed/>
    <w:qFormat/>
    <w:rsid w:val="00DE6785"/>
    <w:pPr>
      <w:spacing w:before="240" w:after="60"/>
      <w:outlineLvl w:val="6"/>
    </w:pPr>
    <w:rPr>
      <w:rFonts w:ascii="Calibri" w:hAnsi="Calibri"/>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Nagłówek strony"/>
    <w:basedOn w:val="Normal"/>
    <w:rsid w:val="000C322F"/>
    <w:pPr>
      <w:tabs>
        <w:tab w:val="center" w:pos="4536"/>
        <w:tab w:val="right" w:pos="9072"/>
      </w:tabs>
    </w:pPr>
  </w:style>
  <w:style w:type="paragraph" w:styleId="Title">
    <w:name w:val="Title"/>
    <w:basedOn w:val="Normal"/>
    <w:qFormat/>
    <w:rsid w:val="000C322F"/>
    <w:pPr>
      <w:jc w:val="center"/>
    </w:pPr>
    <w:rPr>
      <w:b/>
      <w:bCs/>
      <w:sz w:val="32"/>
      <w:szCs w:val="24"/>
    </w:rPr>
  </w:style>
  <w:style w:type="paragraph" w:styleId="EndnoteText">
    <w:name w:val="endnote text"/>
    <w:basedOn w:val="Normal"/>
    <w:semiHidden/>
    <w:rsid w:val="000C322F"/>
    <w:rPr>
      <w:sz w:val="20"/>
    </w:rPr>
  </w:style>
  <w:style w:type="character" w:customStyle="1" w:styleId="Znak">
    <w:name w:val="Znak"/>
    <w:rsid w:val="000C322F"/>
    <w:rPr>
      <w:sz w:val="24"/>
      <w:lang w:val="pl-PL" w:eastAsia="pl-PL" w:bidi="ar-SA"/>
    </w:rPr>
  </w:style>
  <w:style w:type="paragraph" w:styleId="Footer">
    <w:name w:val="footer"/>
    <w:basedOn w:val="Normal"/>
    <w:rsid w:val="000C322F"/>
    <w:pPr>
      <w:tabs>
        <w:tab w:val="center" w:pos="4536"/>
        <w:tab w:val="right" w:pos="9072"/>
      </w:tabs>
    </w:pPr>
  </w:style>
  <w:style w:type="character" w:customStyle="1" w:styleId="ZnakZnak">
    <w:name w:val="Znak Znak"/>
    <w:rsid w:val="000C322F"/>
    <w:rPr>
      <w:sz w:val="24"/>
      <w:lang w:val="pl-PL" w:eastAsia="pl-PL" w:bidi="ar-SA"/>
    </w:rPr>
  </w:style>
  <w:style w:type="character" w:styleId="PageNumber">
    <w:name w:val="page number"/>
    <w:basedOn w:val="DefaultParagraphFont"/>
    <w:rsid w:val="000C322F"/>
  </w:style>
  <w:style w:type="character" w:styleId="EndnoteReference">
    <w:name w:val="endnote reference"/>
    <w:semiHidden/>
    <w:rsid w:val="000C322F"/>
    <w:rPr>
      <w:vertAlign w:val="superscript"/>
    </w:rPr>
  </w:style>
  <w:style w:type="character" w:styleId="CommentReference">
    <w:name w:val="annotation reference"/>
    <w:semiHidden/>
    <w:rsid w:val="000C322F"/>
    <w:rPr>
      <w:sz w:val="16"/>
      <w:szCs w:val="16"/>
    </w:rPr>
  </w:style>
  <w:style w:type="paragraph" w:styleId="CommentText">
    <w:name w:val="annotation text"/>
    <w:basedOn w:val="Normal"/>
    <w:semiHidden/>
    <w:rsid w:val="000C322F"/>
    <w:rPr>
      <w:sz w:val="20"/>
    </w:rPr>
  </w:style>
  <w:style w:type="paragraph" w:styleId="CommentSubject">
    <w:name w:val="annotation subject"/>
    <w:basedOn w:val="CommentText"/>
    <w:next w:val="CommentText"/>
    <w:semiHidden/>
    <w:rsid w:val="000C322F"/>
    <w:rPr>
      <w:b/>
      <w:bCs/>
    </w:rPr>
  </w:style>
  <w:style w:type="paragraph" w:styleId="BalloonText">
    <w:name w:val="Balloon Text"/>
    <w:basedOn w:val="Normal"/>
    <w:semiHidden/>
    <w:rsid w:val="000C322F"/>
    <w:rPr>
      <w:rFonts w:ascii="Tahoma" w:hAnsi="Tahoma" w:cs="Tahoma"/>
      <w:sz w:val="16"/>
      <w:szCs w:val="16"/>
    </w:rPr>
  </w:style>
  <w:style w:type="paragraph" w:styleId="BodyTextIndent">
    <w:name w:val="Body Text Indent"/>
    <w:basedOn w:val="Normal"/>
    <w:rsid w:val="00E94970"/>
    <w:pPr>
      <w:ind w:firstLine="493"/>
    </w:pPr>
  </w:style>
  <w:style w:type="paragraph" w:styleId="FootnoteText">
    <w:name w:val="footnote text"/>
    <w:aliases w:val="Tekst przypisu"/>
    <w:basedOn w:val="Normal"/>
    <w:semiHidden/>
    <w:rsid w:val="000C322F"/>
    <w:rPr>
      <w:sz w:val="20"/>
    </w:rPr>
  </w:style>
  <w:style w:type="character" w:styleId="FootnoteReference">
    <w:name w:val="footnote reference"/>
    <w:aliases w:val="Odwołanie przypisu"/>
    <w:semiHidden/>
    <w:rsid w:val="000C322F"/>
    <w:rPr>
      <w:vertAlign w:val="superscript"/>
    </w:rPr>
  </w:style>
  <w:style w:type="paragraph" w:customStyle="1" w:styleId="Strtytgrnyprawyrg">
    <w:name w:val="Str tyt górny prawy róg"/>
    <w:basedOn w:val="Normal"/>
    <w:autoRedefine/>
    <w:rsid w:val="000C322F"/>
    <w:pPr>
      <w:spacing w:after="60"/>
      <w:jc w:val="left"/>
    </w:pPr>
    <w:rPr>
      <w:rFonts w:ascii="Arial" w:hAnsi="Arial"/>
      <w:b/>
      <w:sz w:val="28"/>
      <w:szCs w:val="24"/>
    </w:rPr>
  </w:style>
  <w:style w:type="paragraph" w:customStyle="1" w:styleId="Strty-TYTU">
    <w:name w:val="Str ty - TYTUŁ"/>
    <w:basedOn w:val="Strtytgrnyprawyrg"/>
    <w:autoRedefine/>
    <w:rsid w:val="000C322F"/>
    <w:pPr>
      <w:spacing w:after="0"/>
      <w:ind w:left="567" w:right="567"/>
      <w:jc w:val="center"/>
    </w:pPr>
    <w:rPr>
      <w:caps/>
      <w:sz w:val="40"/>
    </w:rPr>
  </w:style>
  <w:style w:type="paragraph" w:customStyle="1" w:styleId="Strtyt-rodek">
    <w:name w:val="Str tyt - środek"/>
    <w:basedOn w:val="Strty-TYTU"/>
    <w:autoRedefine/>
    <w:rsid w:val="000C322F"/>
    <w:pPr>
      <w:spacing w:before="400" w:line="240" w:lineRule="auto"/>
    </w:pPr>
    <w:rPr>
      <w:sz w:val="28"/>
    </w:rPr>
  </w:style>
  <w:style w:type="paragraph" w:customStyle="1" w:styleId="Strtyt-d1">
    <w:name w:val="Str tyt - dół1"/>
    <w:basedOn w:val="Strtytgrnyprawyrg"/>
    <w:autoRedefine/>
    <w:rsid w:val="000C322F"/>
  </w:style>
  <w:style w:type="paragraph" w:customStyle="1" w:styleId="Strtytd2">
    <w:name w:val="Str tyt dół2"/>
    <w:basedOn w:val="Strtyt-d1"/>
    <w:autoRedefine/>
    <w:rsid w:val="000C322F"/>
    <w:pPr>
      <w:spacing w:before="600" w:after="0"/>
      <w:jc w:val="center"/>
    </w:pPr>
    <w:rPr>
      <w:b w:val="0"/>
      <w:sz w:val="24"/>
    </w:rPr>
  </w:style>
  <w:style w:type="paragraph" w:styleId="TOC1">
    <w:name w:val="toc 1"/>
    <w:basedOn w:val="Normal"/>
    <w:next w:val="Normal"/>
    <w:autoRedefine/>
    <w:uiPriority w:val="39"/>
    <w:rsid w:val="000C322F"/>
    <w:pPr>
      <w:spacing w:before="120" w:after="120"/>
    </w:pPr>
  </w:style>
  <w:style w:type="character" w:styleId="Hyperlink">
    <w:name w:val="Hyperlink"/>
    <w:uiPriority w:val="99"/>
    <w:rsid w:val="000C322F"/>
    <w:rPr>
      <w:color w:val="0000FF"/>
      <w:u w:val="single"/>
    </w:rPr>
  </w:style>
  <w:style w:type="paragraph" w:customStyle="1" w:styleId="Imiinazwisko">
    <w:name w:val="Imię i nazwisko"/>
    <w:basedOn w:val="Strtytgrnyprawyrg"/>
    <w:rsid w:val="000C322F"/>
    <w:pPr>
      <w:ind w:firstLine="493"/>
      <w:jc w:val="center"/>
    </w:pPr>
    <w:rPr>
      <w:sz w:val="36"/>
    </w:rPr>
  </w:style>
  <w:style w:type="paragraph" w:styleId="Index1">
    <w:name w:val="index 1"/>
    <w:basedOn w:val="Normal"/>
    <w:next w:val="Normal"/>
    <w:autoRedefine/>
    <w:semiHidden/>
    <w:rsid w:val="000C322F"/>
    <w:pPr>
      <w:ind w:left="240" w:hanging="240"/>
    </w:pPr>
  </w:style>
  <w:style w:type="paragraph" w:styleId="TOC2">
    <w:name w:val="toc 2"/>
    <w:basedOn w:val="Normal"/>
    <w:next w:val="Normal"/>
    <w:autoRedefine/>
    <w:uiPriority w:val="39"/>
    <w:rsid w:val="00E94970"/>
    <w:pPr>
      <w:ind w:left="240" w:firstLine="493"/>
    </w:pPr>
  </w:style>
  <w:style w:type="paragraph" w:customStyle="1" w:styleId="Spistreci">
    <w:name w:val="Spis treści"/>
    <w:rsid w:val="00E94970"/>
    <w:pPr>
      <w:spacing w:before="280" w:after="280" w:line="360" w:lineRule="auto"/>
    </w:pPr>
    <w:rPr>
      <w:rFonts w:ascii="Arial" w:hAnsi="Arial"/>
      <w:b/>
      <w:sz w:val="32"/>
    </w:rPr>
  </w:style>
  <w:style w:type="paragraph" w:styleId="TOC3">
    <w:name w:val="toc 3"/>
    <w:basedOn w:val="Normal"/>
    <w:next w:val="Normal"/>
    <w:autoRedefine/>
    <w:uiPriority w:val="39"/>
    <w:rsid w:val="00E94970"/>
    <w:pPr>
      <w:ind w:left="480" w:firstLine="493"/>
    </w:pPr>
  </w:style>
  <w:style w:type="paragraph" w:styleId="Caption">
    <w:name w:val="caption"/>
    <w:basedOn w:val="Normal"/>
    <w:next w:val="Normal"/>
    <w:qFormat/>
    <w:rsid w:val="00E94970"/>
    <w:pPr>
      <w:ind w:firstLine="493"/>
    </w:pPr>
    <w:rPr>
      <w:b/>
      <w:bCs/>
      <w:sz w:val="20"/>
    </w:rPr>
  </w:style>
  <w:style w:type="paragraph" w:styleId="TOCHeading">
    <w:name w:val="TOC Heading"/>
    <w:basedOn w:val="Heading1"/>
    <w:next w:val="Normal"/>
    <w:uiPriority w:val="39"/>
    <w:unhideWhenUsed/>
    <w:qFormat/>
    <w:rsid w:val="007A3839"/>
    <w:pPr>
      <w:keepLines/>
      <w:spacing w:before="240" w:after="0" w:line="259" w:lineRule="auto"/>
      <w:jc w:val="left"/>
      <w:outlineLvl w:val="9"/>
    </w:pPr>
    <w:rPr>
      <w:rFonts w:ascii="Calibri Light" w:hAnsi="Calibri Light"/>
      <w:b w:val="0"/>
      <w:bCs w:val="0"/>
      <w:color w:val="2E74B5"/>
      <w:kern w:val="0"/>
      <w:lang w:val="en-US" w:eastAsia="en-US"/>
    </w:rPr>
  </w:style>
  <w:style w:type="character" w:customStyle="1" w:styleId="Heading5Char">
    <w:name w:val="Heading 5 Char"/>
    <w:link w:val="Heading5"/>
    <w:uiPriority w:val="9"/>
    <w:semiHidden/>
    <w:rsid w:val="00DE6785"/>
    <w:rPr>
      <w:rFonts w:ascii="Calibri" w:eastAsia="Times New Roman" w:hAnsi="Calibri" w:cs="Times New Roman"/>
      <w:b/>
      <w:bCs/>
      <w:i/>
      <w:iCs/>
      <w:sz w:val="26"/>
      <w:szCs w:val="26"/>
    </w:rPr>
  </w:style>
  <w:style w:type="character" w:customStyle="1" w:styleId="Heading6Char">
    <w:name w:val="Heading 6 Char"/>
    <w:link w:val="Heading6"/>
    <w:uiPriority w:val="9"/>
    <w:rsid w:val="00DE6785"/>
    <w:rPr>
      <w:rFonts w:ascii="Calibri" w:eastAsia="Times New Roman" w:hAnsi="Calibri" w:cs="Times New Roman"/>
      <w:b/>
      <w:bCs/>
      <w:sz w:val="22"/>
      <w:szCs w:val="22"/>
    </w:rPr>
  </w:style>
  <w:style w:type="character" w:customStyle="1" w:styleId="Heading7Char">
    <w:name w:val="Heading 7 Char"/>
    <w:link w:val="Heading7"/>
    <w:uiPriority w:val="9"/>
    <w:rsid w:val="00DE6785"/>
    <w:rPr>
      <w:rFonts w:ascii="Calibri" w:eastAsia="Times New Roman" w:hAnsi="Calibri" w:cs="Times New Roman"/>
      <w:sz w:val="24"/>
      <w:szCs w:val="24"/>
    </w:rPr>
  </w:style>
  <w:style w:type="character" w:styleId="PlaceholderText">
    <w:name w:val="Placeholder Text"/>
    <w:basedOn w:val="DefaultParagraphFont"/>
    <w:uiPriority w:val="99"/>
    <w:semiHidden/>
    <w:rsid w:val="00181BC2"/>
    <w:rPr>
      <w:color w:val="808080"/>
    </w:rPr>
  </w:style>
  <w:style w:type="character" w:styleId="Strong">
    <w:name w:val="Strong"/>
    <w:basedOn w:val="DefaultParagraphFont"/>
    <w:uiPriority w:val="22"/>
    <w:qFormat/>
    <w:rsid w:val="00906321"/>
    <w:rPr>
      <w:b/>
      <w:bCs/>
    </w:rPr>
  </w:style>
  <w:style w:type="paragraph" w:styleId="ListParagraph">
    <w:name w:val="List Paragraph"/>
    <w:basedOn w:val="Normal"/>
    <w:uiPriority w:val="34"/>
    <w:qFormat/>
    <w:rsid w:val="006F1F6B"/>
    <w:pPr>
      <w:ind w:left="720"/>
      <w:contextualSpacing/>
    </w:pPr>
  </w:style>
  <w:style w:type="character" w:customStyle="1" w:styleId="apple-converted-space">
    <w:name w:val="apple-converted-space"/>
    <w:basedOn w:val="DefaultParagraphFont"/>
    <w:rsid w:val="0097101C"/>
  </w:style>
  <w:style w:type="character" w:customStyle="1" w:styleId="cit">
    <w:name w:val="cit"/>
    <w:basedOn w:val="DefaultParagraphFont"/>
    <w:rsid w:val="001511BF"/>
  </w:style>
  <w:style w:type="character" w:styleId="Emphasis">
    <w:name w:val="Emphasis"/>
    <w:basedOn w:val="DefaultParagraphFont"/>
    <w:uiPriority w:val="20"/>
    <w:qFormat/>
    <w:rsid w:val="00097057"/>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4971690">
      <w:bodyDiv w:val="1"/>
      <w:marLeft w:val="0"/>
      <w:marRight w:val="0"/>
      <w:marTop w:val="0"/>
      <w:marBottom w:val="0"/>
      <w:divBdr>
        <w:top w:val="none" w:sz="0" w:space="0" w:color="auto"/>
        <w:left w:val="none" w:sz="0" w:space="0" w:color="auto"/>
        <w:bottom w:val="none" w:sz="0" w:space="0" w:color="auto"/>
        <w:right w:val="none" w:sz="0" w:space="0" w:color="auto"/>
      </w:divBdr>
    </w:div>
    <w:div w:id="317660807">
      <w:bodyDiv w:val="1"/>
      <w:marLeft w:val="0"/>
      <w:marRight w:val="0"/>
      <w:marTop w:val="0"/>
      <w:marBottom w:val="0"/>
      <w:divBdr>
        <w:top w:val="none" w:sz="0" w:space="0" w:color="auto"/>
        <w:left w:val="none" w:sz="0" w:space="0" w:color="auto"/>
        <w:bottom w:val="none" w:sz="0" w:space="0" w:color="auto"/>
        <w:right w:val="none" w:sz="0" w:space="0" w:color="auto"/>
      </w:divBdr>
    </w:div>
    <w:div w:id="650213037">
      <w:bodyDiv w:val="1"/>
      <w:marLeft w:val="0"/>
      <w:marRight w:val="0"/>
      <w:marTop w:val="0"/>
      <w:marBottom w:val="0"/>
      <w:divBdr>
        <w:top w:val="none" w:sz="0" w:space="0" w:color="auto"/>
        <w:left w:val="none" w:sz="0" w:space="0" w:color="auto"/>
        <w:bottom w:val="none" w:sz="0" w:space="0" w:color="auto"/>
        <w:right w:val="none" w:sz="0" w:space="0" w:color="auto"/>
      </w:divBdr>
    </w:div>
    <w:div w:id="906766800">
      <w:bodyDiv w:val="1"/>
      <w:marLeft w:val="0"/>
      <w:marRight w:val="0"/>
      <w:marTop w:val="0"/>
      <w:marBottom w:val="0"/>
      <w:divBdr>
        <w:top w:val="none" w:sz="0" w:space="0" w:color="auto"/>
        <w:left w:val="none" w:sz="0" w:space="0" w:color="auto"/>
        <w:bottom w:val="none" w:sz="0" w:space="0" w:color="auto"/>
        <w:right w:val="none" w:sz="0" w:space="0" w:color="auto"/>
      </w:divBdr>
    </w:div>
    <w:div w:id="1148134893">
      <w:bodyDiv w:val="1"/>
      <w:marLeft w:val="0"/>
      <w:marRight w:val="0"/>
      <w:marTop w:val="0"/>
      <w:marBottom w:val="0"/>
      <w:divBdr>
        <w:top w:val="none" w:sz="0" w:space="0" w:color="auto"/>
        <w:left w:val="none" w:sz="0" w:space="0" w:color="auto"/>
        <w:bottom w:val="none" w:sz="0" w:space="0" w:color="auto"/>
        <w:right w:val="none" w:sz="0" w:space="0" w:color="auto"/>
      </w:divBdr>
    </w:div>
    <w:div w:id="1323043565">
      <w:bodyDiv w:val="1"/>
      <w:marLeft w:val="0"/>
      <w:marRight w:val="0"/>
      <w:marTop w:val="0"/>
      <w:marBottom w:val="0"/>
      <w:divBdr>
        <w:top w:val="none" w:sz="0" w:space="0" w:color="auto"/>
        <w:left w:val="none" w:sz="0" w:space="0" w:color="auto"/>
        <w:bottom w:val="none" w:sz="0" w:space="0" w:color="auto"/>
        <w:right w:val="none" w:sz="0" w:space="0" w:color="auto"/>
      </w:divBdr>
    </w:div>
    <w:div w:id="1621187038">
      <w:bodyDiv w:val="1"/>
      <w:marLeft w:val="0"/>
      <w:marRight w:val="0"/>
      <w:marTop w:val="0"/>
      <w:marBottom w:val="0"/>
      <w:divBdr>
        <w:top w:val="none" w:sz="0" w:space="0" w:color="auto"/>
        <w:left w:val="none" w:sz="0" w:space="0" w:color="auto"/>
        <w:bottom w:val="none" w:sz="0" w:space="0" w:color="auto"/>
        <w:right w:val="none" w:sz="0" w:space="0" w:color="auto"/>
      </w:divBdr>
    </w:div>
    <w:div w:id="1637832759">
      <w:bodyDiv w:val="1"/>
      <w:marLeft w:val="0"/>
      <w:marRight w:val="0"/>
      <w:marTop w:val="0"/>
      <w:marBottom w:val="0"/>
      <w:divBdr>
        <w:top w:val="none" w:sz="0" w:space="0" w:color="auto"/>
        <w:left w:val="none" w:sz="0" w:space="0" w:color="auto"/>
        <w:bottom w:val="none" w:sz="0" w:space="0" w:color="auto"/>
        <w:right w:val="none" w:sz="0" w:space="0" w:color="auto"/>
      </w:divBdr>
    </w:div>
    <w:div w:id="1739665892">
      <w:bodyDiv w:val="1"/>
      <w:marLeft w:val="0"/>
      <w:marRight w:val="0"/>
      <w:marTop w:val="0"/>
      <w:marBottom w:val="0"/>
      <w:divBdr>
        <w:top w:val="none" w:sz="0" w:space="0" w:color="auto"/>
        <w:left w:val="none" w:sz="0" w:space="0" w:color="auto"/>
        <w:bottom w:val="none" w:sz="0" w:space="0" w:color="auto"/>
        <w:right w:val="none" w:sz="0" w:space="0" w:color="auto"/>
      </w:divBdr>
    </w:div>
    <w:div w:id="1876039631">
      <w:bodyDiv w:val="1"/>
      <w:marLeft w:val="0"/>
      <w:marRight w:val="0"/>
      <w:marTop w:val="0"/>
      <w:marBottom w:val="0"/>
      <w:divBdr>
        <w:top w:val="none" w:sz="0" w:space="0" w:color="auto"/>
        <w:left w:val="none" w:sz="0" w:space="0" w:color="auto"/>
        <w:bottom w:val="none" w:sz="0" w:space="0" w:color="auto"/>
        <w:right w:val="none" w:sz="0" w:space="0" w:color="auto"/>
      </w:divBdr>
    </w:div>
    <w:div w:id="197147861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6.png"/><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image" Target="media/image5.png"/><Relationship Id="rId2" Type="http://schemas.openxmlformats.org/officeDocument/2006/relationships/customXml" Target="../customXml/item2.xml"/><Relationship Id="rId16" Type="http://schemas.openxmlformats.org/officeDocument/2006/relationships/image" Target="media/image4.png"/><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image" Target="media/image3.png"/><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EE"/>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EE"/>
    <w:family w:val="swiss"/>
    <w:pitch w:val="variable"/>
    <w:sig w:usb0="E0002AFF" w:usb1="C0007843" w:usb2="00000009" w:usb3="00000000" w:csb0="000001FF" w:csb1="00000000"/>
  </w:font>
  <w:font w:name="Calibri">
    <w:panose1 w:val="020F0502020204030204"/>
    <w:charset w:val="EE"/>
    <w:family w:val="swiss"/>
    <w:pitch w:val="variable"/>
    <w:sig w:usb0="E00002FF" w:usb1="4000ACFF" w:usb2="00000001" w:usb3="00000000" w:csb0="0000019F" w:csb1="00000000"/>
  </w:font>
  <w:font w:name="Tahoma">
    <w:panose1 w:val="020B0604030504040204"/>
    <w:charset w:val="EE"/>
    <w:family w:val="swiss"/>
    <w:pitch w:val="variable"/>
    <w:sig w:usb0="E1002EFF" w:usb1="C000605B" w:usb2="00000029" w:usb3="00000000" w:csb0="000101FF" w:csb1="00000000"/>
  </w:font>
  <w:font w:name="Calibri Light">
    <w:panose1 w:val="020F0302020204030204"/>
    <w:charset w:val="EE"/>
    <w:family w:val="swiss"/>
    <w:pitch w:val="variable"/>
    <w:sig w:usb0="A00002EF" w:usb1="4000207B" w:usb2="00000000" w:usb3="00000000" w:csb0="0000019F" w:csb1="00000000"/>
  </w:font>
  <w:font w:name="Cambria Math">
    <w:panose1 w:val="02040503050406030204"/>
    <w:charset w:val="EE"/>
    <w:family w:val="roman"/>
    <w:pitch w:val="variable"/>
    <w:sig w:usb0="E00002FF" w:usb1="420024FF" w:usb2="00000000" w:usb3="00000000" w:csb0="0000019F" w:csb1="00000000"/>
  </w:font>
  <w:font w:name="Cambria">
    <w:panose1 w:val="02040503050406030204"/>
    <w:charset w:val="EE"/>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42F3"/>
    <w:rsid w:val="00167BFE"/>
    <w:rsid w:val="007342F3"/>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342F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Motyw pakietu Office">
  <a:themeElements>
    <a:clrScheme name="Pakiet 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Pakiet 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Pakiet 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F4030C0A50CED54A93B75331F639F92D" ma:contentTypeVersion="1" ma:contentTypeDescription="Utwórz nowy dokument." ma:contentTypeScope="" ma:versionID="c2e8e8769345ce97fdff3f97b6b45fc1">
  <xsd:schema xmlns:xsd="http://www.w3.org/2001/XMLSchema" xmlns:p="http://schemas.microsoft.com/office/2006/metadata/properties" xmlns:ns1="http://schemas.microsoft.com/sharepoint/v3" targetNamespace="http://schemas.microsoft.com/office/2006/metadata/properties" ma:root="true" ma:fieldsID="74c9a9df04abc7fbdb97ce22349bc730"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dms="http://schemas.microsoft.com/office/2006/documentManagement/types" targetNamespace="http://schemas.microsoft.com/sharepoint/v3" elementFormDefault="qualified">
    <xsd:import namespace="http://schemas.microsoft.com/office/2006/documentManagement/types"/>
    <xsd:element name="PublishingStartDate" ma:index="8" nillable="true" ma:displayName="Planowana data rozpoczęcia" ma:description="" ma:hidden="true" ma:internalName="PublishingStartDate">
      <xsd:simpleType>
        <xsd:restriction base="dms:Unknown"/>
      </xsd:simpleType>
    </xsd:element>
    <xsd:element name="PublishingExpirationDate" ma:index="9" nillable="true" ma:displayName="Planowana data zakończenia" ma:description="" ma:hidden="true"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 zawartości" ma:readOnly="true"/>
        <xsd:element ref="dc:title" minOccurs="0" maxOccurs="1" ma:index="4" ma:displayName="Tytuł"/>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p:properties xmlns:p="http://schemas.microsoft.com/office/2006/metadata/properties" xmlns:xsi="http://www.w3.org/2001/XMLSchema-instance">
  <documentManagement>
    <PublishingExpirationDate xmlns="http://schemas.microsoft.com/sharepoint/v3" xsi:nil="true"/>
    <PublishingStartDate xmlns="http://schemas.microsoft.com/sharepoint/v3"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4EC4162-9002-403E-B22D-6E9E1AE6D65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FD081FFA-365A-41D1-8FAA-ED90A7BB3556}">
  <ds:schemaRefs>
    <ds:schemaRef ds:uri="http://schemas.microsoft.com/office/2006/metadata/properties"/>
    <ds:schemaRef ds:uri="http://schemas.microsoft.com/sharepoint/v3"/>
  </ds:schemaRefs>
</ds:datastoreItem>
</file>

<file path=customXml/itemProps3.xml><?xml version="1.0" encoding="utf-8"?>
<ds:datastoreItem xmlns:ds="http://schemas.openxmlformats.org/officeDocument/2006/customXml" ds:itemID="{6AC700D7-5D49-49DE-8A40-90E89286CBD2}">
  <ds:schemaRefs>
    <ds:schemaRef ds:uri="http://schemas.microsoft.com/sharepoint/v3/contenttype/forms"/>
  </ds:schemaRefs>
</ds:datastoreItem>
</file>

<file path=customXml/itemProps4.xml><?xml version="1.0" encoding="utf-8"?>
<ds:datastoreItem xmlns:ds="http://schemas.openxmlformats.org/officeDocument/2006/customXml" ds:itemID="{D56786CA-3ABB-41CD-9607-0E35C8DA73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1528</TotalTime>
  <Pages>27</Pages>
  <Words>4981</Words>
  <Characters>29886</Characters>
  <Application>Microsoft Office Word</Application>
  <DocSecurity>0</DocSecurity>
  <Lines>249</Lines>
  <Paragraphs>69</Paragraphs>
  <ScaleCrop>false</ScaleCrop>
  <HeadingPairs>
    <vt:vector size="4" baseType="variant">
      <vt:variant>
        <vt:lpstr>Title</vt:lpstr>
      </vt:variant>
      <vt:variant>
        <vt:i4>1</vt:i4>
      </vt:variant>
      <vt:variant>
        <vt:lpstr>Tytuł</vt:lpstr>
      </vt:variant>
      <vt:variant>
        <vt:i4>1</vt:i4>
      </vt:variant>
    </vt:vector>
  </HeadingPairs>
  <TitlesOfParts>
    <vt:vector size="2" baseType="lpstr">
      <vt:lpstr>Z3-P-RG-3_Wzór projektu inżynierskiego</vt:lpstr>
      <vt:lpstr>Z3-P-RG-3_Wzór projektu inżynierskiego</vt:lpstr>
    </vt:vector>
  </TitlesOfParts>
  <Company/>
  <LinksUpToDate>false</LinksUpToDate>
  <CharactersWithSpaces>34798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Z3-P-RG-3_Wzór projektu inżynierskiego</dc:title>
  <dc:creator>ZKS</dc:creator>
  <cp:lastModifiedBy>Windows User</cp:lastModifiedBy>
  <cp:revision>513</cp:revision>
  <cp:lastPrinted>2012-10-18T10:19:00Z</cp:lastPrinted>
  <dcterms:created xsi:type="dcterms:W3CDTF">2017-01-02T20:34:00Z</dcterms:created>
  <dcterms:modified xsi:type="dcterms:W3CDTF">2017-01-09T00:12:00Z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ublishingExpirationDate">
    <vt:lpwstr/>
  </property>
  <property fmtid="{D5CDD505-2E9C-101B-9397-08002B2CF9AE}" pid="3" name="PublishingStartDate">
    <vt:lpwstr/>
  </property>
  <property fmtid="{D5CDD505-2E9C-101B-9397-08002B2CF9AE}" pid="4" name="ContentTypeId">
    <vt:lpwstr>0x010100F4030C0A50CED54A93B75331F639F92D</vt:lpwstr>
  </property>
</Properties>
</file>