
<file path=[Content_Types].xml><?xml version="1.0" encoding="utf-8"?>
<Types xmlns="http://schemas.openxmlformats.org/package/2006/content-types">
  <Default Extension="png" ContentType="image/png"/>
  <Default Extension="bin" ContentType="application/vnd.openxmlformats-officedocument.oleOb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71EE2" w:rsidRPr="00571EE2" w:rsidRDefault="00571EE2" w:rsidP="00571EE2">
      <w:pPr>
        <w:suppressAutoHyphens/>
        <w:jc w:val="center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center"/>
        <w:rPr>
          <w:rFonts w:ascii="Arial" w:hAnsi="Arial" w:cs="Arial"/>
          <w:szCs w:val="24"/>
          <w:lang w:eastAsia="zh-CN"/>
        </w:rPr>
      </w:pPr>
    </w:p>
    <w:p w:rsidR="00571EE2" w:rsidRPr="00571EE2" w:rsidRDefault="00F93818" w:rsidP="00571EE2">
      <w:pPr>
        <w:suppressAutoHyphens/>
        <w:jc w:val="center"/>
        <w:rPr>
          <w:rFonts w:ascii="Arial" w:hAnsi="Arial" w:cs="Arial"/>
          <w:szCs w:val="24"/>
          <w:lang w:eastAsia="zh-CN"/>
        </w:rPr>
      </w:pPr>
      <w:r>
        <w:rPr>
          <w:rFonts w:ascii="Arial" w:hAnsi="Arial" w:cs="Arial"/>
          <w:noProof/>
          <w:szCs w:val="24"/>
        </w:rPr>
        <w:drawing>
          <wp:inline distT="0" distB="0" distL="0" distR="0">
            <wp:extent cx="1009650" cy="100965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09650" cy="1009650"/>
                    </a:xfrm>
                    <a:prstGeom prst="rect">
                      <a:avLst/>
                    </a:prstGeom>
                    <a:solidFill>
                      <a:srgbClr val="FFFFFF"/>
                    </a:solidFill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center"/>
        <w:rPr>
          <w:rFonts w:ascii="Arial" w:hAnsi="Arial" w:cs="Arial"/>
          <w:b/>
          <w:bCs/>
          <w:smallCaps/>
          <w:sz w:val="36"/>
          <w:szCs w:val="24"/>
          <w:lang w:eastAsia="zh-CN"/>
        </w:rPr>
      </w:pPr>
      <w:r w:rsidRPr="00571EE2">
        <w:rPr>
          <w:rFonts w:ascii="Arial" w:hAnsi="Arial" w:cs="Arial"/>
          <w:b/>
          <w:bCs/>
          <w:smallCaps/>
          <w:sz w:val="36"/>
          <w:szCs w:val="24"/>
          <w:lang w:eastAsia="zh-CN"/>
        </w:rPr>
        <w:t>Politechnika Śląska</w:t>
      </w:r>
    </w:p>
    <w:p w:rsidR="00571EE2" w:rsidRPr="00571EE2" w:rsidRDefault="00571EE2" w:rsidP="00571EE2">
      <w:pPr>
        <w:suppressAutoHyphens/>
        <w:jc w:val="center"/>
        <w:rPr>
          <w:rFonts w:ascii="Arial" w:hAnsi="Arial" w:cs="Arial"/>
          <w:b/>
          <w:bCs/>
          <w:smallCaps/>
          <w:sz w:val="36"/>
          <w:szCs w:val="24"/>
          <w:lang w:eastAsia="zh-CN"/>
        </w:rPr>
      </w:pPr>
      <w:r w:rsidRPr="00571EE2">
        <w:rPr>
          <w:rFonts w:ascii="Arial" w:hAnsi="Arial" w:cs="Arial"/>
          <w:b/>
          <w:bCs/>
          <w:smallCaps/>
          <w:sz w:val="36"/>
          <w:szCs w:val="24"/>
          <w:lang w:eastAsia="zh-CN"/>
        </w:rPr>
        <w:t>Wydział Automatyki, Elektroniki i Informatyki</w:t>
      </w:r>
    </w:p>
    <w:p w:rsidR="00571EE2" w:rsidRPr="00571EE2" w:rsidRDefault="00571EE2" w:rsidP="00571EE2">
      <w:pPr>
        <w:suppressAutoHyphens/>
        <w:jc w:val="center"/>
        <w:rPr>
          <w:rFonts w:ascii="Arial" w:hAnsi="Arial" w:cs="Arial"/>
          <w:szCs w:val="24"/>
          <w:lang w:eastAsia="zh-CN"/>
        </w:rPr>
      </w:pPr>
      <w:r w:rsidRPr="00571EE2">
        <w:rPr>
          <w:rFonts w:ascii="Arial" w:hAnsi="Arial" w:cs="Arial"/>
          <w:b/>
          <w:bCs/>
          <w:smallCaps/>
          <w:sz w:val="36"/>
          <w:szCs w:val="24"/>
          <w:lang w:eastAsia="zh-CN"/>
        </w:rPr>
        <w:t xml:space="preserve">Kierunek </w:t>
      </w:r>
      <w:r w:rsidR="005C11F1">
        <w:rPr>
          <w:rFonts w:ascii="Arial" w:hAnsi="Arial" w:cs="Arial"/>
          <w:b/>
          <w:bCs/>
          <w:smallCaps/>
          <w:sz w:val="36"/>
          <w:szCs w:val="24"/>
          <w:lang w:eastAsia="zh-CN"/>
        </w:rPr>
        <w:t>Biotechnologia</w:t>
      </w: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keepNext/>
        <w:numPr>
          <w:ilvl w:val="4"/>
          <w:numId w:val="6"/>
        </w:numPr>
        <w:suppressAutoHyphens/>
        <w:spacing w:line="240" w:lineRule="auto"/>
        <w:jc w:val="center"/>
        <w:outlineLvl w:val="4"/>
        <w:rPr>
          <w:rFonts w:ascii="Arial" w:hAnsi="Arial" w:cs="Arial"/>
          <w:sz w:val="36"/>
          <w:szCs w:val="24"/>
          <w:lang w:eastAsia="zh-CN"/>
        </w:rPr>
      </w:pPr>
      <w:r w:rsidRPr="00571EE2">
        <w:rPr>
          <w:rFonts w:ascii="Arial" w:hAnsi="Arial" w:cs="Arial"/>
          <w:sz w:val="36"/>
          <w:szCs w:val="24"/>
          <w:lang w:eastAsia="zh-CN"/>
        </w:rPr>
        <w:t>Projekt inżynierski</w:t>
      </w:r>
      <w:r w:rsidRPr="00571EE2">
        <w:rPr>
          <w:rFonts w:ascii="Arial" w:hAnsi="Arial" w:cs="Arial"/>
          <w:sz w:val="16"/>
          <w:szCs w:val="24"/>
          <w:lang w:eastAsia="zh-CN"/>
        </w:rPr>
        <w:t xml:space="preserve"> </w:t>
      </w: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D254B6" w:rsidP="00EF6B30">
      <w:pPr>
        <w:keepNext/>
        <w:numPr>
          <w:ilvl w:val="5"/>
          <w:numId w:val="6"/>
        </w:numPr>
        <w:tabs>
          <w:tab w:val="clear" w:pos="1152"/>
          <w:tab w:val="num" w:pos="0"/>
        </w:tabs>
        <w:suppressAutoHyphens/>
        <w:ind w:left="0" w:firstLine="0"/>
        <w:jc w:val="center"/>
        <w:outlineLvl w:val="5"/>
        <w:rPr>
          <w:rFonts w:ascii="Arial" w:hAnsi="Arial" w:cs="Arial"/>
          <w:sz w:val="28"/>
          <w:szCs w:val="24"/>
          <w:lang w:eastAsia="zh-CN"/>
        </w:rPr>
      </w:pPr>
      <w:r>
        <w:rPr>
          <w:rFonts w:ascii="Arial" w:hAnsi="Arial" w:cs="Arial"/>
          <w:sz w:val="28"/>
          <w:szCs w:val="24"/>
          <w:lang w:eastAsia="zh-CN"/>
        </w:rPr>
        <w:t>Aplikacja internetowa do analizy danych z eksperymentów Real-</w:t>
      </w:r>
      <w:r w:rsidR="00D57FAB">
        <w:rPr>
          <w:rFonts w:ascii="Arial" w:hAnsi="Arial" w:cs="Arial"/>
          <w:sz w:val="28"/>
          <w:szCs w:val="24"/>
          <w:lang w:eastAsia="zh-CN"/>
        </w:rPr>
        <w:t xml:space="preserve">time </w:t>
      </w:r>
      <w:r>
        <w:rPr>
          <w:rFonts w:ascii="Arial" w:hAnsi="Arial" w:cs="Arial"/>
          <w:sz w:val="28"/>
          <w:szCs w:val="24"/>
          <w:lang w:eastAsia="zh-CN"/>
        </w:rPr>
        <w:t>PCR</w:t>
      </w: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center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center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center"/>
        <w:rPr>
          <w:rFonts w:ascii="Arial" w:hAnsi="Arial" w:cs="Arial"/>
          <w:szCs w:val="24"/>
          <w:lang w:eastAsia="zh-CN"/>
        </w:rPr>
      </w:pPr>
    </w:p>
    <w:p w:rsidR="00571EE2" w:rsidRPr="00714184" w:rsidRDefault="00571EE2" w:rsidP="00EF6B30">
      <w:pPr>
        <w:suppressAutoHyphens/>
        <w:rPr>
          <w:rFonts w:ascii="Arial" w:hAnsi="Arial" w:cs="Arial"/>
          <w:sz w:val="14"/>
          <w:szCs w:val="1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  <w:r w:rsidRPr="00571EE2">
        <w:rPr>
          <w:rFonts w:ascii="Arial" w:hAnsi="Arial" w:cs="Arial"/>
          <w:sz w:val="28"/>
          <w:szCs w:val="24"/>
          <w:lang w:eastAsia="zh-CN"/>
        </w:rPr>
        <w:t>Autor:</w:t>
      </w:r>
      <w:r w:rsidR="00D57FAB">
        <w:rPr>
          <w:rFonts w:ascii="Arial" w:hAnsi="Arial" w:cs="Arial"/>
          <w:sz w:val="28"/>
          <w:szCs w:val="24"/>
          <w:lang w:eastAsia="zh-CN"/>
        </w:rPr>
        <w:t xml:space="preserve"> Jakub Porc</w:t>
      </w:r>
    </w:p>
    <w:p w:rsidR="00571EE2" w:rsidRPr="00571EE2" w:rsidRDefault="00571EE2" w:rsidP="00571EE2">
      <w:pPr>
        <w:keepNext/>
        <w:numPr>
          <w:ilvl w:val="6"/>
          <w:numId w:val="6"/>
        </w:numPr>
        <w:suppressAutoHyphens/>
        <w:spacing w:line="240" w:lineRule="auto"/>
        <w:jc w:val="left"/>
        <w:outlineLvl w:val="6"/>
        <w:rPr>
          <w:rFonts w:ascii="Arial" w:hAnsi="Arial" w:cs="Arial"/>
          <w:sz w:val="28"/>
          <w:szCs w:val="24"/>
          <w:lang w:eastAsia="zh-CN"/>
        </w:rPr>
      </w:pPr>
      <w:r w:rsidRPr="00571EE2">
        <w:rPr>
          <w:rFonts w:ascii="Arial" w:hAnsi="Arial" w:cs="Arial"/>
          <w:sz w:val="28"/>
          <w:szCs w:val="24"/>
          <w:lang w:eastAsia="zh-CN"/>
        </w:rPr>
        <w:t>Kierujący pracą:</w:t>
      </w:r>
      <w:r w:rsidR="00D57FAB">
        <w:rPr>
          <w:rFonts w:ascii="Arial" w:hAnsi="Arial" w:cs="Arial"/>
          <w:sz w:val="28"/>
          <w:szCs w:val="24"/>
          <w:lang w:eastAsia="zh-CN"/>
        </w:rPr>
        <w:t xml:space="preserve"> Dr inż. Sebastian </w:t>
      </w:r>
      <w:r w:rsidR="00F23763">
        <w:rPr>
          <w:rFonts w:ascii="Arial" w:hAnsi="Arial" w:cs="Arial"/>
          <w:sz w:val="28"/>
          <w:szCs w:val="24"/>
          <w:lang w:eastAsia="zh-CN"/>
        </w:rPr>
        <w:t>Student</w:t>
      </w:r>
    </w:p>
    <w:p w:rsidR="00571EE2" w:rsidRDefault="00571EE2" w:rsidP="00571EE2">
      <w:pPr>
        <w:suppressAutoHyphens/>
        <w:jc w:val="left"/>
        <w:rPr>
          <w:rFonts w:ascii="Arial" w:hAnsi="Arial" w:cs="Arial"/>
          <w:sz w:val="28"/>
          <w:szCs w:val="24"/>
          <w:lang w:eastAsia="zh-CN"/>
        </w:rPr>
      </w:pPr>
    </w:p>
    <w:p w:rsidR="00D57FAB" w:rsidRDefault="00D57FAB" w:rsidP="00571EE2">
      <w:pPr>
        <w:suppressAutoHyphens/>
        <w:jc w:val="left"/>
        <w:rPr>
          <w:rFonts w:ascii="Arial" w:hAnsi="Arial" w:cs="Arial"/>
          <w:sz w:val="28"/>
          <w:szCs w:val="24"/>
          <w:lang w:eastAsia="zh-CN"/>
        </w:rPr>
      </w:pPr>
    </w:p>
    <w:p w:rsidR="00D57FAB" w:rsidRPr="00571EE2" w:rsidRDefault="00D57FAB" w:rsidP="00571EE2">
      <w:pPr>
        <w:suppressAutoHyphens/>
        <w:jc w:val="left"/>
        <w:rPr>
          <w:rFonts w:ascii="Arial" w:hAnsi="Arial" w:cs="Arial"/>
          <w:sz w:val="16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 w:val="16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 w:val="16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 w:val="16"/>
          <w:szCs w:val="24"/>
          <w:lang w:eastAsia="zh-CN"/>
        </w:rPr>
      </w:pPr>
    </w:p>
    <w:p w:rsidR="004B305C" w:rsidRDefault="00571EE2" w:rsidP="00D254B6">
      <w:pPr>
        <w:suppressAutoHyphens/>
        <w:jc w:val="center"/>
      </w:pPr>
      <w:r w:rsidRPr="00571EE2">
        <w:rPr>
          <w:rFonts w:ascii="Arial" w:hAnsi="Arial" w:cs="Arial"/>
          <w:szCs w:val="24"/>
          <w:lang w:eastAsia="zh-CN"/>
        </w:rPr>
        <w:t xml:space="preserve">Gliwice, </w:t>
      </w:r>
      <w:r>
        <w:rPr>
          <w:rFonts w:ascii="Arial" w:hAnsi="Arial" w:cs="Arial"/>
          <w:szCs w:val="24"/>
          <w:lang w:eastAsia="zh-CN"/>
        </w:rPr>
        <w:t>styczeń 2016</w:t>
      </w:r>
    </w:p>
    <w:p w:rsidR="00E94970" w:rsidRDefault="00E94970" w:rsidP="00E94970">
      <w:pPr>
        <w:sectPr w:rsidR="00E94970" w:rsidSect="00571EE2">
          <w:footerReference w:type="even" r:id="rId12"/>
          <w:footerReference w:type="default" r:id="rId13"/>
          <w:pgSz w:w="11906" w:h="16838" w:code="9"/>
          <w:pgMar w:top="1418" w:right="1418" w:bottom="0" w:left="1418" w:header="709" w:footer="709" w:gutter="567"/>
          <w:cols w:space="708"/>
          <w:titlePg/>
          <w:docGrid w:linePitch="360"/>
        </w:sectPr>
      </w:pPr>
    </w:p>
    <w:p w:rsidR="00E94970" w:rsidRDefault="00E94970" w:rsidP="00E94970">
      <w:pPr>
        <w:pStyle w:val="Header"/>
        <w:rPr>
          <w:b/>
          <w:bCs/>
          <w:sz w:val="32"/>
          <w:szCs w:val="32"/>
        </w:rPr>
        <w:sectPr w:rsidR="00E94970">
          <w:pgSz w:w="11906" w:h="16838" w:code="9"/>
          <w:pgMar w:top="1418" w:right="1418" w:bottom="1559" w:left="1418" w:header="709" w:footer="709" w:gutter="567"/>
          <w:cols w:space="708"/>
          <w:titlePg/>
          <w:docGrid w:linePitch="360"/>
        </w:sectPr>
      </w:pPr>
    </w:p>
    <w:p w:rsidR="00E94970" w:rsidRDefault="00E94970" w:rsidP="00E94970">
      <w:pPr>
        <w:pStyle w:val="Spistreci"/>
      </w:pPr>
      <w:bookmarkStart w:id="0" w:name="_Toc204183449"/>
      <w:r>
        <w:lastRenderedPageBreak/>
        <w:t>Spis treści</w:t>
      </w:r>
      <w:bookmarkEnd w:id="0"/>
    </w:p>
    <w:p w:rsidR="000919D4" w:rsidRPr="004409AB" w:rsidRDefault="00105F73">
      <w:pPr>
        <w:pStyle w:val="TOC1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r>
        <w:rPr>
          <w:sz w:val="32"/>
          <w:szCs w:val="32"/>
        </w:rPr>
        <w:fldChar w:fldCharType="begin"/>
      </w:r>
      <w:r w:rsidR="00E94970">
        <w:rPr>
          <w:sz w:val="32"/>
          <w:szCs w:val="32"/>
        </w:rPr>
        <w:instrText xml:space="preserve"> TOC \o "1-3" \h \z \u </w:instrText>
      </w:r>
      <w:r>
        <w:rPr>
          <w:sz w:val="32"/>
          <w:szCs w:val="32"/>
        </w:rPr>
        <w:fldChar w:fldCharType="separate"/>
      </w:r>
      <w:hyperlink w:anchor="_Toc381701319" w:history="1">
        <w:r w:rsidR="000919D4" w:rsidRPr="00BE70D1">
          <w:rPr>
            <w:rStyle w:val="Hyperlink"/>
            <w:noProof/>
          </w:rPr>
          <w:t>Spis oznaczeń i symboli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_Toc381701319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4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256B22">
      <w:pPr>
        <w:pStyle w:val="TOC1"/>
        <w:tabs>
          <w:tab w:val="left" w:pos="480"/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0" w:history="1">
        <w:r w:rsidR="000919D4" w:rsidRPr="00BE70D1">
          <w:rPr>
            <w:rStyle w:val="Hyperlink"/>
            <w:noProof/>
          </w:rPr>
          <w:t>1.</w:t>
        </w:r>
        <w:r w:rsidR="000919D4" w:rsidRPr="004409AB">
          <w:rPr>
            <w:rFonts w:ascii="Calibri" w:hAnsi="Calibri"/>
            <w:noProof/>
            <w:sz w:val="22"/>
            <w:szCs w:val="22"/>
          </w:rPr>
          <w:tab/>
        </w:r>
        <w:r w:rsidR="000919D4" w:rsidRPr="00BE70D1">
          <w:rPr>
            <w:rStyle w:val="Hyperlink"/>
            <w:noProof/>
          </w:rPr>
          <w:t>Wstęp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_Toc381701320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6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256B22">
      <w:pPr>
        <w:pStyle w:val="TOC1"/>
        <w:tabs>
          <w:tab w:val="left" w:pos="480"/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1" w:history="1">
        <w:r w:rsidR="000919D4" w:rsidRPr="00BE70D1">
          <w:rPr>
            <w:rStyle w:val="Hyperlink"/>
            <w:noProof/>
          </w:rPr>
          <w:t>2.</w:t>
        </w:r>
        <w:r w:rsidR="000919D4" w:rsidRPr="004409AB">
          <w:rPr>
            <w:rFonts w:ascii="Calibri" w:hAnsi="Calibri"/>
            <w:noProof/>
            <w:sz w:val="22"/>
            <w:szCs w:val="22"/>
          </w:rPr>
          <w:tab/>
        </w:r>
        <w:r w:rsidR="00F13146">
          <w:rPr>
            <w:rStyle w:val="Hyperlink"/>
            <w:noProof/>
          </w:rPr>
          <w:t>Wstęp teoretyczny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_Toc381701321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7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256B22">
      <w:pPr>
        <w:pStyle w:val="TOC2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2" w:history="1">
        <w:r w:rsidR="000919D4" w:rsidRPr="00BE70D1">
          <w:rPr>
            <w:rStyle w:val="Hyperlink"/>
            <w:noProof/>
          </w:rPr>
          <w:t xml:space="preserve">2.1. </w:t>
        </w:r>
        <w:r w:rsidR="00F13146">
          <w:rPr>
            <w:rStyle w:val="Hyperlink"/>
            <w:noProof/>
          </w:rPr>
          <w:t>Reakcja łańcuchowa polimerazy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_Toc381701322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7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256B22">
      <w:pPr>
        <w:pStyle w:val="TOC3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3" w:history="1">
        <w:r w:rsidR="000919D4" w:rsidRPr="00BE70D1">
          <w:rPr>
            <w:rStyle w:val="Hyperlink"/>
            <w:noProof/>
          </w:rPr>
          <w:t>2.1.1. Styl podstawowy (normalny)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_Toc381701323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8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256B22">
      <w:pPr>
        <w:pStyle w:val="TOC3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4" w:history="1">
        <w:r w:rsidR="000919D4" w:rsidRPr="00BE70D1">
          <w:rPr>
            <w:rStyle w:val="Hyperlink"/>
            <w:noProof/>
          </w:rPr>
          <w:t>2.1.2. Tytuły rozdziałów i podrozdziałów projektu inżynierskiego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_Toc381701324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8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256B22">
      <w:pPr>
        <w:pStyle w:val="TOC3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5" w:history="1">
        <w:r w:rsidR="000919D4" w:rsidRPr="00BE70D1">
          <w:rPr>
            <w:rStyle w:val="Hyperlink"/>
            <w:noProof/>
          </w:rPr>
          <w:t>2.1.3. Numeracja stron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_Toc381701325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8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256B22">
      <w:pPr>
        <w:pStyle w:val="TOC3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6" w:history="1">
        <w:r w:rsidR="000919D4" w:rsidRPr="00BE70D1">
          <w:rPr>
            <w:rStyle w:val="Hyperlink"/>
            <w:noProof/>
          </w:rPr>
          <w:t>2.1.4. Przypisy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_Toc381701326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8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256B22">
      <w:pPr>
        <w:pStyle w:val="TOC1"/>
        <w:tabs>
          <w:tab w:val="left" w:pos="480"/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7" w:history="1">
        <w:r w:rsidR="000919D4" w:rsidRPr="00BE70D1">
          <w:rPr>
            <w:rStyle w:val="Hyperlink"/>
            <w:noProof/>
          </w:rPr>
          <w:t>3.</w:t>
        </w:r>
        <w:r w:rsidR="000919D4" w:rsidRPr="004409AB">
          <w:rPr>
            <w:rFonts w:ascii="Calibri" w:hAnsi="Calibri"/>
            <w:noProof/>
            <w:sz w:val="22"/>
            <w:szCs w:val="22"/>
          </w:rPr>
          <w:tab/>
        </w:r>
        <w:r w:rsidR="000919D4" w:rsidRPr="00BE70D1">
          <w:rPr>
            <w:rStyle w:val="Hyperlink"/>
            <w:noProof/>
          </w:rPr>
          <w:t>Rysunki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_Toc381701327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9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256B22">
      <w:pPr>
        <w:pStyle w:val="TOC1"/>
        <w:tabs>
          <w:tab w:val="left" w:pos="480"/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8" w:history="1">
        <w:r w:rsidR="000919D4" w:rsidRPr="00BE70D1">
          <w:rPr>
            <w:rStyle w:val="Hyperlink"/>
            <w:noProof/>
          </w:rPr>
          <w:t>4.</w:t>
        </w:r>
        <w:r w:rsidR="000919D4" w:rsidRPr="004409AB">
          <w:rPr>
            <w:rFonts w:ascii="Calibri" w:hAnsi="Calibri"/>
            <w:noProof/>
            <w:sz w:val="22"/>
            <w:szCs w:val="22"/>
          </w:rPr>
          <w:tab/>
        </w:r>
        <w:r w:rsidR="000919D4" w:rsidRPr="00BE70D1">
          <w:rPr>
            <w:rStyle w:val="Hyperlink"/>
            <w:noProof/>
          </w:rPr>
          <w:t>Tabele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_Toc381701328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11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256B22">
      <w:pPr>
        <w:pStyle w:val="TOC1"/>
        <w:tabs>
          <w:tab w:val="left" w:pos="480"/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9" w:history="1">
        <w:r w:rsidR="000919D4" w:rsidRPr="00BE70D1">
          <w:rPr>
            <w:rStyle w:val="Hyperlink"/>
            <w:noProof/>
          </w:rPr>
          <w:t>5.</w:t>
        </w:r>
        <w:r w:rsidR="000919D4" w:rsidRPr="004409AB">
          <w:rPr>
            <w:rFonts w:ascii="Calibri" w:hAnsi="Calibri"/>
            <w:noProof/>
            <w:sz w:val="22"/>
            <w:szCs w:val="22"/>
          </w:rPr>
          <w:tab/>
        </w:r>
        <w:r w:rsidR="000919D4" w:rsidRPr="00BE70D1">
          <w:rPr>
            <w:rStyle w:val="Hyperlink"/>
            <w:noProof/>
          </w:rPr>
          <w:t>Równania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_Toc381701329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12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256B22">
      <w:pPr>
        <w:pStyle w:val="TOC1"/>
        <w:tabs>
          <w:tab w:val="left" w:pos="480"/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30" w:history="1">
        <w:r w:rsidR="000919D4" w:rsidRPr="00BE70D1">
          <w:rPr>
            <w:rStyle w:val="Hyperlink"/>
            <w:noProof/>
          </w:rPr>
          <w:t>6.</w:t>
        </w:r>
        <w:r w:rsidR="000919D4" w:rsidRPr="004409AB">
          <w:rPr>
            <w:rFonts w:ascii="Calibri" w:hAnsi="Calibri"/>
            <w:noProof/>
            <w:sz w:val="22"/>
            <w:szCs w:val="22"/>
          </w:rPr>
          <w:tab/>
        </w:r>
        <w:r w:rsidR="000919D4" w:rsidRPr="00BE70D1">
          <w:rPr>
            <w:rStyle w:val="Hyperlink"/>
            <w:noProof/>
          </w:rPr>
          <w:t>Sporządzanie spisu literatury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_Toc381701330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13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256B22">
      <w:pPr>
        <w:pStyle w:val="TOC1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31" w:history="1">
        <w:r w:rsidR="000919D4" w:rsidRPr="00BE70D1">
          <w:rPr>
            <w:rStyle w:val="Hyperlink"/>
            <w:noProof/>
          </w:rPr>
          <w:t>Literatura (Wzór A)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_Toc381701331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13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256B22">
      <w:pPr>
        <w:pStyle w:val="TOC1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32" w:history="1">
        <w:r w:rsidR="000919D4" w:rsidRPr="00BE70D1">
          <w:rPr>
            <w:rStyle w:val="Hyperlink"/>
            <w:noProof/>
          </w:rPr>
          <w:t>Literatura (Wzór B)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_Toc381701332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13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256B22">
      <w:pPr>
        <w:pStyle w:val="TOC1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33" w:history="1">
        <w:r w:rsidR="000919D4" w:rsidRPr="00BE70D1">
          <w:rPr>
            <w:rStyle w:val="Hyperlink"/>
            <w:noProof/>
          </w:rPr>
          <w:t>Załącznik 1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_Toc381701333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14</w:t>
        </w:r>
        <w:r w:rsidR="000919D4">
          <w:rPr>
            <w:noProof/>
            <w:webHidden/>
          </w:rPr>
          <w:fldChar w:fldCharType="end"/>
        </w:r>
      </w:hyperlink>
    </w:p>
    <w:p w:rsidR="00E94970" w:rsidRDefault="00105F73" w:rsidP="00E94970">
      <w:pPr>
        <w:pStyle w:val="TOC1"/>
        <w:tabs>
          <w:tab w:val="right" w:leader="dot" w:pos="8493"/>
        </w:tabs>
        <w:rPr>
          <w:noProof/>
          <w:szCs w:val="24"/>
        </w:rPr>
      </w:pPr>
      <w:r>
        <w:rPr>
          <w:sz w:val="32"/>
          <w:szCs w:val="32"/>
        </w:rPr>
        <w:fldChar w:fldCharType="end"/>
      </w:r>
    </w:p>
    <w:p w:rsidR="00E94970" w:rsidRDefault="00E94970" w:rsidP="00E94970">
      <w:pPr>
        <w:pStyle w:val="Heading1"/>
      </w:pPr>
      <w:r>
        <w:br w:type="page"/>
      </w:r>
      <w:bookmarkStart w:id="1" w:name="_Toc381701319"/>
      <w:r>
        <w:lastRenderedPageBreak/>
        <w:t>Spis oznaczeń i symboli</w:t>
      </w:r>
      <w:bookmarkEnd w:id="1"/>
    </w:p>
    <w:p w:rsidR="00E94970" w:rsidRDefault="00E94970" w:rsidP="00E94970"/>
    <w:tbl>
      <w:tblPr>
        <w:tblW w:w="0" w:type="auto"/>
        <w:tblLook w:val="01E0" w:firstRow="1" w:lastRow="1" w:firstColumn="1" w:lastColumn="1" w:noHBand="0" w:noVBand="0"/>
      </w:tblPr>
      <w:tblGrid>
        <w:gridCol w:w="696"/>
        <w:gridCol w:w="540"/>
        <w:gridCol w:w="7567"/>
      </w:tblGrid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4409AB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PCR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9C73DA" w:rsidP="007A041D">
            <w:pPr>
              <w:jc w:val="left"/>
            </w:pPr>
            <w:r>
              <w:t>r</w:t>
            </w:r>
            <w:r w:rsidR="004409AB">
              <w:t>eakcja łańcuchowa polimerazy,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FF14E4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DNA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FF14E4" w:rsidP="007A041D">
            <w:pPr>
              <w:jc w:val="left"/>
            </w:pPr>
            <w:r>
              <w:t>kwas deoksyrybonukleinowy</w:t>
            </w:r>
            <w:r w:rsidR="00E94970">
              <w:t>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DF2905" w:rsidP="007A041D">
            <w:pPr>
              <w:jc w:val="left"/>
              <w:rPr>
                <w:i/>
                <w:iCs/>
                <w:vertAlign w:val="subscript"/>
              </w:rPr>
            </w:pPr>
            <w:r>
              <w:rPr>
                <w:i/>
                <w:iCs/>
              </w:rPr>
              <w:t>Ct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135CB4" w:rsidP="007A041D">
            <w:pPr>
              <w:jc w:val="left"/>
            </w:pPr>
            <w:r>
              <w:t>c</w:t>
            </w:r>
            <w:r w:rsidR="00DF2905">
              <w:t>ykl progowy</w:t>
            </w:r>
            <w:r w:rsidR="00E94970">
              <w:t>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F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E94970" w:rsidP="007A041D">
            <w:pPr>
              <w:jc w:val="left"/>
            </w:pPr>
            <w:r>
              <w:t>objaśnienie symbolu F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I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E94970" w:rsidP="007A041D">
            <w:pPr>
              <w:jc w:val="left"/>
            </w:pPr>
            <w:r>
              <w:t>objaśnienie symbolu I,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k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E94970" w:rsidP="007A041D">
            <w:pPr>
              <w:jc w:val="left"/>
            </w:pPr>
            <w:r>
              <w:t>objaśnienie symbolu k,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l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E94970" w:rsidP="007A041D">
            <w:pPr>
              <w:jc w:val="left"/>
            </w:pPr>
            <w:r>
              <w:t>objaśnienie symbolu l,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P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E94970" w:rsidP="007A041D">
            <w:pPr>
              <w:jc w:val="left"/>
            </w:pPr>
            <w:r>
              <w:t>objaśnienie symbolu P,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R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E94970" w:rsidP="007A041D">
            <w:pPr>
              <w:jc w:val="left"/>
            </w:pPr>
            <w:r>
              <w:t>objaśnienie symbolu R,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t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E94970" w:rsidP="007A041D">
            <w:pPr>
              <w:jc w:val="left"/>
            </w:pPr>
            <w:r>
              <w:t>objaśnienie symbolu t,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U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E94970" w:rsidP="007A041D">
            <w:pPr>
              <w:jc w:val="left"/>
            </w:pPr>
            <w:r>
              <w:t>objaśnienie symbolu U,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Z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E94970" w:rsidP="007A041D">
            <w:pPr>
              <w:jc w:val="left"/>
            </w:pPr>
            <w:r>
              <w:t>objaśnienie symbolu Z.</w:t>
            </w:r>
          </w:p>
        </w:tc>
      </w:tr>
    </w:tbl>
    <w:p w:rsidR="00E94970" w:rsidRDefault="00E94970" w:rsidP="00E94970"/>
    <w:p w:rsidR="00E94970" w:rsidRDefault="00E94970" w:rsidP="00E94970">
      <w:r>
        <w:br w:type="page"/>
      </w:r>
    </w:p>
    <w:p w:rsidR="00E94970" w:rsidRDefault="00E94970" w:rsidP="00914B2D">
      <w:pPr>
        <w:pStyle w:val="Heading1"/>
        <w:ind w:left="493"/>
        <w:jc w:val="left"/>
      </w:pPr>
      <w:bookmarkStart w:id="2" w:name="_Toc381701320"/>
      <w:r>
        <w:lastRenderedPageBreak/>
        <w:t>W</w:t>
      </w:r>
      <w:bookmarkEnd w:id="2"/>
      <w:r w:rsidR="00D67395">
        <w:t>prowadzenie</w:t>
      </w:r>
    </w:p>
    <w:p w:rsidR="00DE6785" w:rsidRDefault="00AC7D54" w:rsidP="005B2D58">
      <w:pPr>
        <w:ind w:firstLine="493"/>
      </w:pPr>
      <w:r>
        <w:t xml:space="preserve">Wraz z rozwojem wiedzy na temat biologii molekularnej oraz genetyki coraz większa grupa badaczy dąży do poznania mechanizmów działania istniejących chorób o podłożu genetycznym w nadziei na znalezienie sposobu na spowolnienie </w:t>
      </w:r>
      <w:r w:rsidR="00237C21">
        <w:t>ich</w:t>
      </w:r>
      <w:r>
        <w:t xml:space="preserve"> rozwo</w:t>
      </w:r>
      <w:r w:rsidR="00C57FB2">
        <w:t>ju</w:t>
      </w:r>
      <w:r>
        <w:t xml:space="preserve"> lub całkowite wyleczenie.</w:t>
      </w:r>
      <w:r w:rsidR="00237C21">
        <w:t xml:space="preserve"> </w:t>
      </w:r>
      <w:r w:rsidR="00237C21" w:rsidRPr="00C57FB2">
        <w:t xml:space="preserve">Do chorób tych należą nowotwory, </w:t>
      </w:r>
      <w:r w:rsidR="00A868EA" w:rsidRPr="00C57FB2">
        <w:t>których liczba przypadków</w:t>
      </w:r>
      <w:r w:rsidR="00237C21" w:rsidRPr="00C57FB2">
        <w:t xml:space="preserve"> ciągle wzrasta, mimo intensywnych prac mających na celu ich poznanie i w</w:t>
      </w:r>
      <w:r w:rsidR="00C57FB2" w:rsidRPr="00C57FB2">
        <w:t>drożenie nowych terapii</w:t>
      </w:r>
      <w:r w:rsidR="00237C21">
        <w:t>. Mimo złożoności problemu</w:t>
      </w:r>
      <w:r w:rsidR="001B69CB">
        <w:t xml:space="preserve"> tego </w:t>
      </w:r>
      <w:r w:rsidR="00C57FB2">
        <w:t>typu schorzeń</w:t>
      </w:r>
      <w:r w:rsidR="001B69CB">
        <w:t xml:space="preserve"> </w:t>
      </w:r>
      <w:r w:rsidR="00237C21">
        <w:t>do badań nad ni</w:t>
      </w:r>
      <w:r w:rsidR="009F003F">
        <w:t>m</w:t>
      </w:r>
      <w:r w:rsidR="00C57FB2">
        <w:t>i</w:t>
      </w:r>
      <w:r w:rsidR="00237C21">
        <w:t xml:space="preserve"> często wykorzystuje się określoną grupę technik i analiz, które dostarczają specjalistom informacji na temat natury </w:t>
      </w:r>
      <w:r w:rsidR="0064074A">
        <w:t>nowotworów</w:t>
      </w:r>
      <w:r w:rsidR="00237C21">
        <w:t>, pozwalają na wyciągnięcie odpowiednich wniosków i</w:t>
      </w:r>
      <w:r w:rsidR="00E656F6">
        <w:t xml:space="preserve"> pozwalają na podjęcie </w:t>
      </w:r>
      <w:r w:rsidR="00735B5B">
        <w:t>badań nad nową metodą leczenia</w:t>
      </w:r>
      <w:r w:rsidR="00E656F6">
        <w:t>.</w:t>
      </w:r>
      <w:r w:rsidR="001B24F5">
        <w:t xml:space="preserve"> Wyniki takich eksperymentów</w:t>
      </w:r>
      <w:r w:rsidR="003D67F5">
        <w:t xml:space="preserve"> często</w:t>
      </w:r>
      <w:r w:rsidR="001B24F5">
        <w:t xml:space="preserve"> są jednak trudne do przeanalizowania bez zastosowania metod komputerowych i specjalnego oprogramowania. </w:t>
      </w:r>
      <w:r w:rsidR="00BC7BEF">
        <w:t xml:space="preserve">Nawet </w:t>
      </w:r>
      <w:r w:rsidR="00817781">
        <w:t>nie wielce skomplikowane</w:t>
      </w:r>
      <w:r w:rsidR="00BC7BEF">
        <w:t xml:space="preserve"> metod</w:t>
      </w:r>
      <w:r w:rsidR="003018C5">
        <w:t>y</w:t>
      </w:r>
      <w:r w:rsidR="00BC7BEF">
        <w:t xml:space="preserve"> przetwarzania otrzymanych danych </w:t>
      </w:r>
      <w:r w:rsidR="003018C5">
        <w:t xml:space="preserve">mogą </w:t>
      </w:r>
      <w:r w:rsidR="003D67F5">
        <w:t>sprawiać trudności</w:t>
      </w:r>
      <w:r w:rsidR="003018C5">
        <w:t xml:space="preserve"> i </w:t>
      </w:r>
      <w:r w:rsidR="003D67F5">
        <w:t xml:space="preserve">być </w:t>
      </w:r>
      <w:r w:rsidR="003018C5">
        <w:t xml:space="preserve">bardzo czasochłonne dla </w:t>
      </w:r>
      <w:r w:rsidR="00E82820">
        <w:t>badaczy nie</w:t>
      </w:r>
      <w:r w:rsidR="007822B0">
        <w:t>posiadających doświadczenia w tej dziedzinie</w:t>
      </w:r>
      <w:r w:rsidR="00BC6D8D">
        <w:t xml:space="preserve">. </w:t>
      </w:r>
      <w:r w:rsidR="00A87836">
        <w:br/>
        <w:t>Dlatego też</w:t>
      </w:r>
      <w:r w:rsidR="00CB5BEA">
        <w:t xml:space="preserve"> </w:t>
      </w:r>
      <w:r w:rsidR="000A2BC3">
        <w:t xml:space="preserve">istnieje konieczność tworzenia oprogramowania i aplikacji, które pozwoliłyby na </w:t>
      </w:r>
      <w:r w:rsidR="00D51465">
        <w:t>szybką, prostą i wszechstronną analizę wyników powstałych na drodze eksperyment</w:t>
      </w:r>
      <w:r w:rsidR="007225FF">
        <w:t>ów</w:t>
      </w:r>
      <w:r w:rsidR="00D51465">
        <w:t xml:space="preserve">, </w:t>
      </w:r>
      <w:r w:rsidR="00A87836">
        <w:br/>
      </w:r>
      <w:r w:rsidR="007225FF">
        <w:t>w celu zwiększenia</w:t>
      </w:r>
      <w:r w:rsidR="001931EC">
        <w:t xml:space="preserve"> szybkości prac i zapewni</w:t>
      </w:r>
      <w:r w:rsidR="007225FF">
        <w:t>enia</w:t>
      </w:r>
      <w:r w:rsidR="001931EC">
        <w:t xml:space="preserve"> </w:t>
      </w:r>
      <w:r w:rsidR="00520D89">
        <w:t>odpowiedni</w:t>
      </w:r>
      <w:r w:rsidR="007225FF">
        <w:t xml:space="preserve">ch </w:t>
      </w:r>
      <w:r w:rsidR="00520D89">
        <w:t>me</w:t>
      </w:r>
      <w:r w:rsidR="007225FF">
        <w:t>tod analizy zadanych wyników</w:t>
      </w:r>
      <w:r w:rsidR="00520D89">
        <w:t>.</w:t>
      </w:r>
    </w:p>
    <w:p w:rsidR="00561928" w:rsidRDefault="00561928" w:rsidP="00E94970"/>
    <w:p w:rsidR="00237C21" w:rsidRDefault="00F56DD3" w:rsidP="00E94970">
      <w:r>
        <w:t>Z tego powodu podjęto się stworzenia</w:t>
      </w:r>
      <w:r w:rsidR="00561928">
        <w:t xml:space="preserve"> prostej w obsłudze aplikacji internetowej pozwalającej na analizę danych z eksperymentu Real-time PCR. Program ten jest skierowany do biologów i biotechnologów nieposiadających doświadczenia w komputerowej analizie danych, zapewniając szybkie uzyskanie wyników.</w:t>
      </w:r>
    </w:p>
    <w:p w:rsidR="00561928" w:rsidRDefault="00561928" w:rsidP="00E94970"/>
    <w:p w:rsidR="00561928" w:rsidRDefault="00561928" w:rsidP="00E94970">
      <w:r>
        <w:t xml:space="preserve">W pierwszym rozdziale pracy zawarto wstęp merytoryczny oraz informacje potrzebne do zrozumienia założeń eksperymentu </w:t>
      </w:r>
      <w:r w:rsidR="00451617">
        <w:t xml:space="preserve">Real-time PCR oraz jego </w:t>
      </w:r>
      <w:r w:rsidR="00EA57BB">
        <w:t xml:space="preserve">zastosowań </w:t>
      </w:r>
      <w:r w:rsidR="00DB4844">
        <w:t xml:space="preserve">w badaniach nad chorobami. W drugim rozdziale pracy przedstawiono </w:t>
      </w:r>
      <w:r w:rsidR="00092A1E">
        <w:t xml:space="preserve">opis danych wykorzystanych do testowania programu, zastosowane metody obliczeń oraz </w:t>
      </w:r>
      <w:r w:rsidR="009D39F1">
        <w:t>strukturę</w:t>
      </w:r>
      <w:r w:rsidR="00092A1E">
        <w:t xml:space="preserve"> aplikacji.</w:t>
      </w:r>
      <w:r w:rsidR="00A87836">
        <w:t xml:space="preserve"> W trzecim rozdziale przedstawione zostały wyniki działania programu oraz podsumowanie wykonanej pracy.</w:t>
      </w:r>
    </w:p>
    <w:p w:rsidR="00237C21" w:rsidRDefault="00237C21" w:rsidP="00E94970"/>
    <w:p w:rsidR="00E94970" w:rsidRDefault="00E94970" w:rsidP="00E94970">
      <w:r>
        <w:br w:type="page"/>
      </w:r>
    </w:p>
    <w:p w:rsidR="00914B2D" w:rsidRDefault="00914B2D" w:rsidP="00914B2D">
      <w:pPr>
        <w:pStyle w:val="Heading1"/>
        <w:numPr>
          <w:ilvl w:val="0"/>
          <w:numId w:val="2"/>
        </w:numPr>
        <w:jc w:val="left"/>
      </w:pPr>
      <w:r>
        <w:lastRenderedPageBreak/>
        <w:t>Cel projektu</w:t>
      </w:r>
    </w:p>
    <w:p w:rsidR="00F026B8" w:rsidRPr="00420CFB" w:rsidRDefault="00960A4F" w:rsidP="00F026B8">
      <w:pPr>
        <w:ind w:firstLine="708"/>
      </w:pPr>
      <w:r>
        <w:t xml:space="preserve">Celem tego projektu inżynierskiego jest </w:t>
      </w:r>
      <w:r w:rsidR="00F026B8">
        <w:t xml:space="preserve">stworzenie aplikacji internetowej bazującej na pakiecie R „Shiny”, której zadaniem jest analiza danych z eksperymentu Real-time PCR. Aplikacja powinna być prosta w obsłudze i pozwalać na szybką i wygodną </w:t>
      </w:r>
      <w:r w:rsidR="006A2FD4">
        <w:t>prezentację wyników</w:t>
      </w:r>
      <w:r w:rsidR="00F026B8">
        <w:t>.</w:t>
      </w:r>
      <w:r w:rsidR="006A2FD4">
        <w:t xml:space="preserve"> </w:t>
      </w:r>
      <w:r w:rsidR="00893551">
        <w:t xml:space="preserve">W celu generacji </w:t>
      </w:r>
      <w:r w:rsidR="00A80285">
        <w:t xml:space="preserve">wyników </w:t>
      </w:r>
      <w:r w:rsidR="00546EC1">
        <w:t>zaplanowano wykorzystanie</w:t>
      </w:r>
      <w:r w:rsidR="00893551">
        <w:t xml:space="preserve"> i </w:t>
      </w:r>
      <w:r w:rsidR="00546EC1">
        <w:t>implementację metody</w:t>
      </w:r>
      <w:r w:rsidR="00893551">
        <w:t xml:space="preserve"> Pfaffl, </w:t>
      </w:r>
      <w:r w:rsidR="00876303">
        <w:br/>
      </w:r>
      <w:r w:rsidR="00893551">
        <w:t>w której uwzględni</w:t>
      </w:r>
      <w:r w:rsidR="00093C28">
        <w:t>a się</w:t>
      </w:r>
      <w:r w:rsidR="00893551">
        <w:t xml:space="preserve"> wartości wydajności przyłączania starterów </w:t>
      </w:r>
      <w:r w:rsidR="00420CFB">
        <w:t>wyznaczone w ramach doświadczenia.</w:t>
      </w:r>
      <w:r w:rsidR="00C07535">
        <w:t xml:space="preserve"> </w:t>
      </w:r>
      <w:r w:rsidR="00A80285">
        <w:t xml:space="preserve">Program powinien zawierać przykłady wczytywanych danych, wykonywać wszechstronną analizę wraz z wykresami i pozwalać na pobranie wyników </w:t>
      </w:r>
      <w:r w:rsidR="004872E2">
        <w:t xml:space="preserve">wykonanych </w:t>
      </w:r>
      <w:r w:rsidR="00A80285">
        <w:t>obliczeń.</w:t>
      </w:r>
    </w:p>
    <w:p w:rsidR="00F026B8" w:rsidRDefault="00F026B8" w:rsidP="00180EFD">
      <w:pPr>
        <w:ind w:left="493"/>
      </w:pPr>
    </w:p>
    <w:p w:rsidR="00914B2D" w:rsidRDefault="00914B2D" w:rsidP="00E94970"/>
    <w:p w:rsidR="00914B2D" w:rsidRDefault="00914B2D" w:rsidP="00E94970"/>
    <w:p w:rsidR="00914B2D" w:rsidRDefault="00914B2D" w:rsidP="00E94970"/>
    <w:p w:rsidR="00914B2D" w:rsidRDefault="00914B2D" w:rsidP="00E94970"/>
    <w:p w:rsidR="00914B2D" w:rsidRDefault="00914B2D" w:rsidP="00E94970"/>
    <w:p w:rsidR="00914B2D" w:rsidRDefault="00914B2D" w:rsidP="00E94970"/>
    <w:p w:rsidR="00914B2D" w:rsidRDefault="00914B2D" w:rsidP="00E94970"/>
    <w:p w:rsidR="00914B2D" w:rsidRDefault="00914B2D" w:rsidP="00E94970"/>
    <w:p w:rsidR="00914B2D" w:rsidRDefault="00914B2D" w:rsidP="00E94970"/>
    <w:p w:rsidR="00914B2D" w:rsidRDefault="00914B2D" w:rsidP="00E94970"/>
    <w:p w:rsidR="00914B2D" w:rsidRDefault="00914B2D" w:rsidP="00E94970"/>
    <w:p w:rsidR="00180EFD" w:rsidRDefault="00180EFD" w:rsidP="00E94970"/>
    <w:p w:rsidR="00180EFD" w:rsidRDefault="00180EFD" w:rsidP="00E94970"/>
    <w:p w:rsidR="00180EFD" w:rsidRDefault="00180EFD" w:rsidP="00E94970"/>
    <w:p w:rsidR="00180EFD" w:rsidRDefault="00180EFD" w:rsidP="00E94970"/>
    <w:p w:rsidR="00180EFD" w:rsidRDefault="00180EFD" w:rsidP="00E94970"/>
    <w:p w:rsidR="00180EFD" w:rsidRDefault="00180EFD" w:rsidP="00E94970"/>
    <w:p w:rsidR="00180EFD" w:rsidRDefault="00180EFD" w:rsidP="00E94970"/>
    <w:p w:rsidR="00180EFD" w:rsidRDefault="00180EFD" w:rsidP="00E94970"/>
    <w:p w:rsidR="00180EFD" w:rsidRDefault="00180EFD" w:rsidP="00E94970"/>
    <w:p w:rsidR="00180EFD" w:rsidRDefault="00180EFD" w:rsidP="00E94970"/>
    <w:p w:rsidR="00180EFD" w:rsidRDefault="00180EFD" w:rsidP="00E94970"/>
    <w:p w:rsidR="00180EFD" w:rsidRDefault="00180EFD" w:rsidP="00E94970"/>
    <w:p w:rsidR="00E94970" w:rsidRDefault="000321CB" w:rsidP="00E94970">
      <w:pPr>
        <w:pStyle w:val="Heading1"/>
        <w:numPr>
          <w:ilvl w:val="0"/>
          <w:numId w:val="2"/>
        </w:numPr>
        <w:jc w:val="left"/>
      </w:pPr>
      <w:r>
        <w:lastRenderedPageBreak/>
        <w:t>Wstęp teoretyczny</w:t>
      </w:r>
    </w:p>
    <w:p w:rsidR="00315BD2" w:rsidRPr="00063918" w:rsidRDefault="00E94970" w:rsidP="00063918">
      <w:pPr>
        <w:pStyle w:val="Heading2"/>
      </w:pPr>
      <w:bookmarkStart w:id="3" w:name="_Toc381701322"/>
      <w:r>
        <w:t>2.1</w:t>
      </w:r>
      <w:r w:rsidR="00525D70">
        <w:t>.</w:t>
      </w:r>
      <w:r>
        <w:t xml:space="preserve"> </w:t>
      </w:r>
      <w:bookmarkEnd w:id="3"/>
      <w:r w:rsidR="000321CB">
        <w:t>Reakcja łańcuchowa polimerazy</w:t>
      </w:r>
    </w:p>
    <w:p w:rsidR="00C410B5" w:rsidRDefault="001F1C19" w:rsidP="00014E5C">
      <w:pPr>
        <w:ind w:firstLine="708"/>
        <w:rPr>
          <w:bCs/>
          <w:szCs w:val="24"/>
        </w:rPr>
      </w:pPr>
      <w:r>
        <w:rPr>
          <w:bCs/>
          <w:szCs w:val="24"/>
        </w:rPr>
        <w:t>Reakcja łańcuchowa polimerazy jest podstawową i zarazem jedną z najczęściej wykorzystywanych technik w labo</w:t>
      </w:r>
      <w:r w:rsidR="0046141B">
        <w:rPr>
          <w:bCs/>
          <w:szCs w:val="24"/>
        </w:rPr>
        <w:t>r</w:t>
      </w:r>
      <w:r>
        <w:rPr>
          <w:bCs/>
          <w:szCs w:val="24"/>
        </w:rPr>
        <w:t>atorium biologii molekularnej.</w:t>
      </w:r>
      <w:r w:rsidR="003B0FF2">
        <w:rPr>
          <w:bCs/>
          <w:szCs w:val="24"/>
        </w:rPr>
        <w:t xml:space="preserve"> Pozwala ona na powielenie wybranego fragmentu </w:t>
      </w:r>
      <w:r w:rsidR="00FF14E4">
        <w:rPr>
          <w:bCs/>
          <w:szCs w:val="24"/>
        </w:rPr>
        <w:t>nici kwasu deoksyrybonukleinowego</w:t>
      </w:r>
      <w:r w:rsidR="00AF07CF">
        <w:rPr>
          <w:bCs/>
          <w:szCs w:val="24"/>
        </w:rPr>
        <w:t xml:space="preserve"> w niewielkim czasie, stosując proste metody oparte</w:t>
      </w:r>
      <w:r w:rsidR="002F1580">
        <w:rPr>
          <w:bCs/>
          <w:szCs w:val="24"/>
        </w:rPr>
        <w:t xml:space="preserve"> częściowo</w:t>
      </w:r>
      <w:r w:rsidR="00AF07CF">
        <w:rPr>
          <w:bCs/>
          <w:szCs w:val="24"/>
        </w:rPr>
        <w:t xml:space="preserve"> na mechanizmie replikacji </w:t>
      </w:r>
      <w:r w:rsidR="006004D4">
        <w:rPr>
          <w:bCs/>
          <w:szCs w:val="24"/>
        </w:rPr>
        <w:t xml:space="preserve">materiału genetycznego </w:t>
      </w:r>
      <w:r w:rsidR="00AF07CF">
        <w:rPr>
          <w:bCs/>
          <w:szCs w:val="24"/>
        </w:rPr>
        <w:t>w żywych komórkach.</w:t>
      </w:r>
      <w:r w:rsidR="006004D4">
        <w:rPr>
          <w:bCs/>
          <w:szCs w:val="24"/>
        </w:rPr>
        <w:t xml:space="preserve"> </w:t>
      </w:r>
    </w:p>
    <w:p w:rsidR="00014E5C" w:rsidRDefault="00014E5C" w:rsidP="00014E5C">
      <w:pPr>
        <w:ind w:firstLine="708"/>
        <w:rPr>
          <w:bCs/>
          <w:szCs w:val="24"/>
        </w:rPr>
      </w:pPr>
    </w:p>
    <w:p w:rsidR="007A314F" w:rsidRDefault="00F73625" w:rsidP="00014E5C">
      <w:pPr>
        <w:ind w:firstLine="708"/>
        <w:rPr>
          <w:bCs/>
          <w:szCs w:val="24"/>
        </w:rPr>
      </w:pPr>
      <w:r>
        <w:rPr>
          <w:bCs/>
          <w:szCs w:val="24"/>
        </w:rPr>
        <w:t>W pierwszej fazie eksperymentu zostają zaprojektowane startery, czyli krótkie jednoniciowe cząsteczki DNA, które są komplementarne do fragmentów matrycowego DNA i wyznaczają granice powielanej sekwencji.</w:t>
      </w:r>
      <w:r w:rsidR="00212AC7">
        <w:rPr>
          <w:bCs/>
          <w:szCs w:val="24"/>
        </w:rPr>
        <w:t xml:space="preserve"> Wyróżniamy startery </w:t>
      </w:r>
      <w:r w:rsidR="00212AC7" w:rsidRPr="0071066B">
        <w:rPr>
          <w:bCs/>
          <w:i/>
          <w:szCs w:val="24"/>
        </w:rPr>
        <w:t>forward</w:t>
      </w:r>
      <w:r w:rsidR="00212AC7">
        <w:rPr>
          <w:bCs/>
          <w:szCs w:val="24"/>
        </w:rPr>
        <w:t xml:space="preserve">, który </w:t>
      </w:r>
      <w:r w:rsidR="005D0D93">
        <w:rPr>
          <w:bCs/>
          <w:szCs w:val="24"/>
        </w:rPr>
        <w:t xml:space="preserve">przyłącza się do początku sekwencji oraz </w:t>
      </w:r>
      <w:r w:rsidR="005D0D93" w:rsidRPr="0071066B">
        <w:rPr>
          <w:bCs/>
          <w:i/>
          <w:szCs w:val="24"/>
        </w:rPr>
        <w:t>reverse</w:t>
      </w:r>
      <w:r w:rsidR="005D0D93">
        <w:rPr>
          <w:bCs/>
          <w:szCs w:val="24"/>
        </w:rPr>
        <w:t xml:space="preserve">, który przyłącza się do końca sekwencji. </w:t>
      </w:r>
      <w:r w:rsidR="00591019">
        <w:rPr>
          <w:bCs/>
          <w:szCs w:val="24"/>
        </w:rPr>
        <w:t xml:space="preserve">Po zaprojektowaniu i syntezie starterów tworzy się mieszaninę reakcyjną, w skład której wchodzą </w:t>
      </w:r>
      <w:r w:rsidR="00591019">
        <w:t xml:space="preserve">matrycowe DNA, trifosforany deoksyrybonukleotydów, startery oraz termostabilna polimeraza DNA. </w:t>
      </w:r>
      <w:r w:rsidR="00265FA0">
        <w:t xml:space="preserve">Tak przygotowaną mieszaninę umieszcza się w termocyklerze – urządzeniu </w:t>
      </w:r>
      <w:r w:rsidR="00131D78">
        <w:t>służącemu</w:t>
      </w:r>
      <w:r w:rsidR="00A7196F">
        <w:t xml:space="preserve"> do</w:t>
      </w:r>
      <w:r w:rsidR="00265FA0">
        <w:t xml:space="preserve"> ustalania i zmiany temperatury </w:t>
      </w:r>
      <w:r w:rsidR="004732B5">
        <w:t>próbek</w:t>
      </w:r>
      <w:r w:rsidR="00265FA0">
        <w:t xml:space="preserve">. </w:t>
      </w:r>
      <w:r w:rsidR="004051C6">
        <w:t xml:space="preserve">Cała reakcja zachodzi w kilkudziesięciu cyklach, które dzielą się na 3 etapy przebiegające w różnych temperaturach. </w:t>
      </w:r>
      <w:r w:rsidR="000224CC">
        <w:t>W pierwszym etapie</w:t>
      </w:r>
      <w:r w:rsidR="007051DA">
        <w:t xml:space="preserve"> każdego z cykli</w:t>
      </w:r>
      <w:r w:rsidR="000224CC">
        <w:t xml:space="preserve"> mieszaninę podgrzewa się do temperatury ok. 95</w:t>
      </w:r>
      <w:r w:rsidR="000224CC">
        <w:rPr>
          <w:vertAlign w:val="superscript"/>
        </w:rPr>
        <w:t>o</w:t>
      </w:r>
      <w:r w:rsidR="000224CC">
        <w:t xml:space="preserve">C, co skutkuje denaturacją DNA, czyli </w:t>
      </w:r>
      <w:r w:rsidR="00B62CD1">
        <w:t xml:space="preserve">rozdzieleniem dwuniciowej cząsteczki DNA na pojedyncze łańcuchy. </w:t>
      </w:r>
      <w:r w:rsidR="00B221D2">
        <w:t>W kolejnym etapie</w:t>
      </w:r>
      <w:r w:rsidR="00B62CD1">
        <w:t xml:space="preserve"> temperaturę obniża się do wartości odpowiadającym temperaturze topnienia starterów, co skutkuje ich przyłączeniem się do </w:t>
      </w:r>
      <w:r w:rsidR="007051DA">
        <w:t>komplementarnych</w:t>
      </w:r>
      <w:r w:rsidR="00B62CD1">
        <w:t xml:space="preserve"> miejsc </w:t>
      </w:r>
      <w:r w:rsidR="00024D95">
        <w:t xml:space="preserve">na </w:t>
      </w:r>
      <w:r w:rsidR="00B62CD1">
        <w:t>matrycy.</w:t>
      </w:r>
      <w:r w:rsidR="00C410B5">
        <w:t xml:space="preserve"> W ostatnim etapie temperaturę zwiększa się do ok. 72</w:t>
      </w:r>
      <w:r w:rsidR="00C410B5">
        <w:rPr>
          <w:vertAlign w:val="superscript"/>
        </w:rPr>
        <w:t>o</w:t>
      </w:r>
      <w:r w:rsidR="00B221D2">
        <w:t xml:space="preserve">C, co umożliwia związanie się termostabilnej polimerazy DNA ze starterami. Następnie </w:t>
      </w:r>
      <w:r w:rsidR="00ED72B0">
        <w:t xml:space="preserve">za jej pomocą </w:t>
      </w:r>
      <w:r w:rsidR="00355DCA">
        <w:t xml:space="preserve">od startera </w:t>
      </w:r>
      <w:r w:rsidR="00ED72B0">
        <w:t xml:space="preserve">syntetyzowana jest druga nić, poprzez </w:t>
      </w:r>
      <w:r w:rsidR="004732B5">
        <w:t xml:space="preserve">jego </w:t>
      </w:r>
      <w:r w:rsidR="00ED72B0">
        <w:t>wydłużanie</w:t>
      </w:r>
      <w:r w:rsidR="004732B5">
        <w:t xml:space="preserve"> i </w:t>
      </w:r>
      <w:r w:rsidR="002B6893">
        <w:t>dołączanie</w:t>
      </w:r>
      <w:r w:rsidR="00ED72B0">
        <w:t xml:space="preserve"> do niego </w:t>
      </w:r>
      <w:r w:rsidR="00ED72B0">
        <w:rPr>
          <w:bCs/>
          <w:szCs w:val="24"/>
        </w:rPr>
        <w:t>trifosforan</w:t>
      </w:r>
      <w:r w:rsidR="00393DC0">
        <w:rPr>
          <w:bCs/>
          <w:szCs w:val="24"/>
        </w:rPr>
        <w:t>ów</w:t>
      </w:r>
      <w:r w:rsidR="00ED72B0">
        <w:rPr>
          <w:bCs/>
          <w:szCs w:val="24"/>
        </w:rPr>
        <w:t xml:space="preserve"> deoksyrybonukleotydów.</w:t>
      </w:r>
      <w:r w:rsidR="00384D48">
        <w:rPr>
          <w:bCs/>
          <w:szCs w:val="24"/>
        </w:rPr>
        <w:t xml:space="preserve"> </w:t>
      </w:r>
      <w:r w:rsidR="003624D0">
        <w:rPr>
          <w:bCs/>
          <w:szCs w:val="24"/>
        </w:rPr>
        <w:t xml:space="preserve">Do tak utworzonej nici w kolejnych cyklach zostanie dołączony drugi starter i otrzymany zostanie </w:t>
      </w:r>
      <w:r w:rsidR="004A5B9B">
        <w:rPr>
          <w:bCs/>
          <w:szCs w:val="24"/>
        </w:rPr>
        <w:t xml:space="preserve">docelowy </w:t>
      </w:r>
      <w:r w:rsidR="003624D0">
        <w:rPr>
          <w:bCs/>
          <w:szCs w:val="24"/>
        </w:rPr>
        <w:t xml:space="preserve">fragment </w:t>
      </w:r>
      <w:r w:rsidR="004A5B9B">
        <w:rPr>
          <w:bCs/>
          <w:szCs w:val="24"/>
        </w:rPr>
        <w:t>DNA.</w:t>
      </w:r>
      <w:r w:rsidR="00BA0198">
        <w:rPr>
          <w:bCs/>
          <w:szCs w:val="24"/>
        </w:rPr>
        <w:t xml:space="preserve"> </w:t>
      </w:r>
    </w:p>
    <w:p w:rsidR="00BA0198" w:rsidRDefault="00BA0198" w:rsidP="00014E5C">
      <w:pPr>
        <w:ind w:firstLine="708"/>
        <w:rPr>
          <w:bCs/>
          <w:szCs w:val="24"/>
        </w:rPr>
      </w:pPr>
    </w:p>
    <w:p w:rsidR="00BA0198" w:rsidRDefault="00BA0198" w:rsidP="00014E5C">
      <w:pPr>
        <w:ind w:firstLine="708"/>
        <w:rPr>
          <w:bCs/>
          <w:szCs w:val="24"/>
        </w:rPr>
      </w:pPr>
      <w:r>
        <w:rPr>
          <w:bCs/>
          <w:szCs w:val="24"/>
        </w:rPr>
        <w:t xml:space="preserve">W procesie można wyróżnić 4 główne fazy. W pierwszej z nich, czyli fazie wstępnej, startery odszukują na matrycy regiony komplementarne i przez to dochodzi do powolnego powielania produktu. W fazie wykładniczej ilość produktu jest większa, przez co startery łączą się z komplementarnymi sekwencjami łatwiej i liczba kopii zwiększa się najszybciej. W </w:t>
      </w:r>
      <w:r>
        <w:rPr>
          <w:bCs/>
          <w:szCs w:val="24"/>
        </w:rPr>
        <w:lastRenderedPageBreak/>
        <w:t>fazie logarytmicznej zaczyna brakować substratów i tempo reakcji zwalnia aż do ostatniej fazy stacjonarnej, po której dochodzi do zatrzymania</w:t>
      </w:r>
      <w:r w:rsidR="005C1CC7">
        <w:rPr>
          <w:bCs/>
          <w:szCs w:val="24"/>
        </w:rPr>
        <w:t xml:space="preserve"> reakcji</w:t>
      </w:r>
      <w:r w:rsidR="00E04E17">
        <w:rPr>
          <w:bCs/>
          <w:szCs w:val="24"/>
        </w:rPr>
        <w:t xml:space="preserve"> </w:t>
      </w:r>
      <w:r w:rsidR="005C1CC7">
        <w:rPr>
          <w:bCs/>
          <w:szCs w:val="24"/>
        </w:rPr>
        <w:t>[1].</w:t>
      </w: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7A314F" w:rsidRDefault="007A314F" w:rsidP="00014E5C">
      <w:pPr>
        <w:ind w:firstLine="708"/>
        <w:rPr>
          <w:bCs/>
          <w:szCs w:val="24"/>
        </w:rPr>
      </w:pPr>
    </w:p>
    <w:p w:rsidR="007A314F" w:rsidRDefault="007A314F" w:rsidP="00014E5C">
      <w:pPr>
        <w:ind w:firstLine="708"/>
        <w:rPr>
          <w:bCs/>
          <w:szCs w:val="24"/>
        </w:rPr>
      </w:pPr>
    </w:p>
    <w:p w:rsidR="007A314F" w:rsidRDefault="007A314F" w:rsidP="00014E5C">
      <w:pPr>
        <w:ind w:firstLine="708"/>
        <w:rPr>
          <w:bCs/>
          <w:szCs w:val="24"/>
        </w:rPr>
      </w:pPr>
    </w:p>
    <w:p w:rsidR="007A314F" w:rsidRDefault="007A314F" w:rsidP="009A6F0A">
      <w:pPr>
        <w:rPr>
          <w:bCs/>
          <w:szCs w:val="24"/>
        </w:rPr>
      </w:pPr>
    </w:p>
    <w:p w:rsidR="00AF759B" w:rsidRDefault="00181472" w:rsidP="00AF759B">
      <w:pPr>
        <w:pStyle w:val="Heading2"/>
      </w:pPr>
      <w:r>
        <w:lastRenderedPageBreak/>
        <w:t>2.2 Reakcja łańcuchowa polimerazy w czasie rzeczywistym</w:t>
      </w:r>
      <w:r w:rsidR="007020CE">
        <w:t xml:space="preserve"> (Real-time PCR)</w:t>
      </w:r>
    </w:p>
    <w:p w:rsidR="00044DCF" w:rsidRDefault="00181472" w:rsidP="00AF759B">
      <w:pPr>
        <w:ind w:firstLine="708"/>
      </w:pPr>
      <w:r>
        <w:t xml:space="preserve">Jednym z wariantów reakcji </w:t>
      </w:r>
      <w:r w:rsidR="00650F8B">
        <w:t>łańcuchowej</w:t>
      </w:r>
      <w:r>
        <w:t xml:space="preserve"> polimerazy </w:t>
      </w:r>
      <w:r w:rsidR="00650F8B">
        <w:t>jest Real-time PCR</w:t>
      </w:r>
      <w:r>
        <w:t xml:space="preserve">. </w:t>
      </w:r>
      <w:r w:rsidR="00A71C3F">
        <w:t>Istotą tej</w:t>
      </w:r>
      <w:r w:rsidR="003B2D6F">
        <w:t xml:space="preserve"> </w:t>
      </w:r>
      <w:r w:rsidR="00A71C3F">
        <w:t>techniki</w:t>
      </w:r>
      <w:r w:rsidR="003B2D6F">
        <w:t xml:space="preserve"> jest wykorzystanie jednej z metod śledzenia przebiegu reakcji w czasie rzeczywistym w celu określenia ilości powstałego produktu po każdym cyklu reakcji.</w:t>
      </w:r>
    </w:p>
    <w:p w:rsidR="00AF759B" w:rsidRDefault="00AF759B" w:rsidP="00AF759B">
      <w:pPr>
        <w:ind w:firstLine="708"/>
      </w:pPr>
    </w:p>
    <w:p w:rsidR="008F0B2B" w:rsidRDefault="00127CB5" w:rsidP="00AC424E">
      <w:pPr>
        <w:ind w:firstLine="708"/>
      </w:pPr>
      <w:r>
        <w:t xml:space="preserve">Aby przeprowadzić Real-time PCR konieczne jest dodanie do mieszaniny reakcyjnej </w:t>
      </w:r>
      <w:r w:rsidR="00AC424E">
        <w:t>interkalującego barwnika, czyli związku zdolnego do wiązania się wewnątrz dw</w:t>
      </w:r>
      <w:r w:rsidR="00157C1B">
        <w:t>u</w:t>
      </w:r>
      <w:r w:rsidR="00AC424E">
        <w:t>niciowej helisy DNA, lub sondy molekularnej.</w:t>
      </w:r>
      <w:r w:rsidR="00DF79E1">
        <w:t xml:space="preserve"> </w:t>
      </w:r>
      <w:r w:rsidR="00115650">
        <w:t xml:space="preserve">Podczas trwania reakcji </w:t>
      </w:r>
      <w:r w:rsidR="007866B1">
        <w:t xml:space="preserve">związki te będą oddziaływać </w:t>
      </w:r>
      <w:r w:rsidR="00E77560">
        <w:br/>
      </w:r>
      <w:r w:rsidR="007866B1">
        <w:t xml:space="preserve">z dwuniciowym DNA obecnym w próbce i emitować </w:t>
      </w:r>
      <w:r w:rsidR="00D9280E">
        <w:t xml:space="preserve">fluorescencję, której poziom będzie </w:t>
      </w:r>
      <w:r w:rsidR="008D2FA0">
        <w:t>proporcjonalny do ilości obecnego DNA, co daje informację na temat ilości amplikonu (produktu) w próbce.</w:t>
      </w:r>
      <w:r w:rsidR="00A85B60">
        <w:t xml:space="preserve"> W pierwszych cyklach reakcji pow</w:t>
      </w:r>
      <w:r w:rsidR="00E8695B">
        <w:t>ielanie produktu zachodzi wolno, przez co poziom fluorescencji jest rejestrowany jako tło</w:t>
      </w:r>
      <w:r w:rsidR="001704A7">
        <w:t xml:space="preserve">. Dopiero w kolejnych cyklach </w:t>
      </w:r>
      <w:r w:rsidR="00563AB1">
        <w:t>zostaje przekroczona wartość progowa, a cykl, w którym ją przekroczono</w:t>
      </w:r>
      <w:r w:rsidR="00DF2905">
        <w:t>,</w:t>
      </w:r>
      <w:r w:rsidR="00563AB1">
        <w:t xml:space="preserve"> nazywa się cyklem progowym</w:t>
      </w:r>
      <w:r w:rsidR="00BA0198">
        <w:t xml:space="preserve"> (Ct)</w:t>
      </w:r>
      <w:r w:rsidR="00563AB1">
        <w:t>.</w:t>
      </w:r>
      <w:r w:rsidR="000A3147">
        <w:t xml:space="preserve"> </w:t>
      </w:r>
      <w:r w:rsidR="00527625">
        <w:t>Wraz ze wzrostem ilości</w:t>
      </w:r>
      <w:r w:rsidR="00D84B3C">
        <w:t xml:space="preserve"> początkowego materiału w próbce</w:t>
      </w:r>
      <w:r w:rsidR="00AA3CD0">
        <w:t xml:space="preserve"> </w:t>
      </w:r>
      <w:r w:rsidR="00527625">
        <w:t xml:space="preserve">zmniejsza się czas potrzebny do osiągnięcia wartości progowej fluorescencji, z co za tym idzie </w:t>
      </w:r>
      <w:r w:rsidR="00AA3CD0">
        <w:t>numer</w:t>
      </w:r>
      <w:r w:rsidR="00527625">
        <w:t xml:space="preserve"> cyklu progowego jest niższ</w:t>
      </w:r>
      <w:r w:rsidR="00AA3CD0">
        <w:t>y</w:t>
      </w:r>
      <w:r w:rsidR="00527625">
        <w:t>.</w:t>
      </w:r>
      <w:r w:rsidR="00AA3CD0">
        <w:t xml:space="preserve"> </w:t>
      </w:r>
      <w:r w:rsidR="00712129">
        <w:t xml:space="preserve">Wartość Ct może być więc wykorzystywana do porównywania ilości fragmentów </w:t>
      </w:r>
      <w:r w:rsidR="00DB5BA8">
        <w:t xml:space="preserve">do których specyficzne są wykorzystane startery </w:t>
      </w:r>
      <w:r w:rsidR="00712129">
        <w:t>obecn</w:t>
      </w:r>
      <w:r w:rsidR="007E25CA">
        <w:t>e</w:t>
      </w:r>
      <w:r w:rsidR="00DB5BA8">
        <w:t xml:space="preserve"> w mieszaninie</w:t>
      </w:r>
      <w:r w:rsidR="007E25CA">
        <w:t>.</w:t>
      </w:r>
      <w:r w:rsidR="008F0B2B">
        <w:t xml:space="preserve"> Aby uzyskać dokładne informacje na temat liczby kopii w próbce wartość Ct porównywana jest z krzywą wzorcową, którą wyznacz</w:t>
      </w:r>
      <w:r w:rsidR="00602113">
        <w:t>a się dla zestawu prób ze znany</w:t>
      </w:r>
      <w:r w:rsidR="008F0B2B">
        <w:t>mi i</w:t>
      </w:r>
      <w:r w:rsidR="00BA0198">
        <w:t xml:space="preserve">lościami początkowego materiału, lub </w:t>
      </w:r>
      <w:r w:rsidR="00D71B83">
        <w:t>dokonuje analizy zmian ilości obecnego w próbie transkryptu pomiędzy wybranymi genami i genami referencyjnymi</w:t>
      </w:r>
      <w:r w:rsidR="001C2628">
        <w:t xml:space="preserve"> [2].</w:t>
      </w:r>
      <w:r w:rsidR="00DC15BE">
        <w:t xml:space="preserve"> </w:t>
      </w:r>
      <w:r w:rsidR="00DB5BA8">
        <w:t>W celu wyznaczenia różnicy pomiędz</w:t>
      </w:r>
      <w:r w:rsidR="00D71B83">
        <w:t xml:space="preserve">y ekspresją tych genów </w:t>
      </w:r>
      <w:r w:rsidR="00F17C50">
        <w:t>w</w:t>
      </w:r>
      <w:r w:rsidR="00F86E8A">
        <w:t>ykorzystuje się różne metody obliczeniowe</w:t>
      </w:r>
      <w:r w:rsidR="00024783">
        <w:t xml:space="preserve"> wykorzystujące przede wszystkim wartość Ct dla każdego z genów.</w:t>
      </w:r>
    </w:p>
    <w:p w:rsidR="003F0E44" w:rsidRDefault="003F0E44" w:rsidP="00AC424E">
      <w:pPr>
        <w:ind w:firstLine="708"/>
      </w:pPr>
    </w:p>
    <w:p w:rsidR="003F0E44" w:rsidRDefault="009F1057" w:rsidP="003F0E44">
      <w:pPr>
        <w:keepNext/>
        <w:ind w:firstLine="708"/>
        <w:jc w:val="center"/>
      </w:pPr>
      <w:r>
        <w:rPr>
          <w:noProof/>
        </w:rPr>
        <w:lastRenderedPageBreak/>
        <w:drawing>
          <wp:inline distT="0" distB="0" distL="0" distR="0">
            <wp:extent cx="5181600" cy="2714625"/>
            <wp:effectExtent l="0" t="0" r="0" b="9525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181600" cy="27146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454BF" w:rsidRDefault="003F0E44" w:rsidP="003F0E44">
      <w:pPr>
        <w:pStyle w:val="Caption"/>
        <w:jc w:val="center"/>
      </w:pPr>
      <w:r>
        <w:t xml:space="preserve">Rysunek </w:t>
      </w:r>
      <w:r w:rsidR="00256B22">
        <w:fldChar w:fldCharType="begin"/>
      </w:r>
      <w:r w:rsidR="00256B22">
        <w:instrText xml:space="preserve"> SEQ Rysunek \* ARABIC </w:instrText>
      </w:r>
      <w:r w:rsidR="00256B22">
        <w:fldChar w:fldCharType="separate"/>
      </w:r>
      <w:r>
        <w:rPr>
          <w:noProof/>
        </w:rPr>
        <w:t>1</w:t>
      </w:r>
      <w:r w:rsidR="00256B22">
        <w:rPr>
          <w:noProof/>
        </w:rPr>
        <w:fldChar w:fldCharType="end"/>
      </w:r>
      <w:r>
        <w:t xml:space="preserve"> Przykładowa krzywa wzorcowa</w:t>
      </w:r>
    </w:p>
    <w:p w:rsidR="001458DE" w:rsidRDefault="001458DE" w:rsidP="00AC424E">
      <w:pPr>
        <w:ind w:firstLine="708"/>
      </w:pPr>
    </w:p>
    <w:p w:rsidR="001458DE" w:rsidRDefault="001458DE" w:rsidP="00C85F74"/>
    <w:p w:rsidR="00DA2A60" w:rsidRDefault="00DA2A60" w:rsidP="00DA2A60">
      <w:pPr>
        <w:pStyle w:val="Heading2"/>
      </w:pPr>
      <w:r>
        <w:t xml:space="preserve">2.x </w:t>
      </w:r>
      <w:r w:rsidR="00914B2D">
        <w:t>Metody</w:t>
      </w:r>
      <w:r>
        <w:t xml:space="preserve"> pomiaru poziomu ekspresji genów w eksperymencie Real-time PCR</w:t>
      </w:r>
    </w:p>
    <w:p w:rsidR="00F73625" w:rsidRDefault="007024D1" w:rsidP="007A4DBE">
      <w:pPr>
        <w:ind w:firstLine="708"/>
        <w:rPr>
          <w:bCs/>
          <w:szCs w:val="24"/>
        </w:rPr>
      </w:pPr>
      <w:r>
        <w:rPr>
          <w:bCs/>
          <w:szCs w:val="24"/>
        </w:rPr>
        <w:t xml:space="preserve">W celu określenia poziomu ekspresji genów stosuje się dwa główne podejścia – metodę </w:t>
      </w:r>
      <w:r w:rsidR="00042BAA">
        <w:rPr>
          <w:bCs/>
          <w:szCs w:val="24"/>
        </w:rPr>
        <w:t>ilościową (</w:t>
      </w:r>
      <w:r>
        <w:rPr>
          <w:bCs/>
          <w:szCs w:val="24"/>
        </w:rPr>
        <w:t>absolutną</w:t>
      </w:r>
      <w:r w:rsidR="00042BAA">
        <w:rPr>
          <w:bCs/>
          <w:szCs w:val="24"/>
        </w:rPr>
        <w:t>)</w:t>
      </w:r>
      <w:r>
        <w:rPr>
          <w:bCs/>
          <w:szCs w:val="24"/>
        </w:rPr>
        <w:t xml:space="preserve"> oraz </w:t>
      </w:r>
      <w:r w:rsidR="00042BAA">
        <w:rPr>
          <w:bCs/>
          <w:szCs w:val="24"/>
        </w:rPr>
        <w:t>względną (</w:t>
      </w:r>
      <w:r>
        <w:rPr>
          <w:bCs/>
          <w:szCs w:val="24"/>
        </w:rPr>
        <w:t>relatywną</w:t>
      </w:r>
      <w:r w:rsidR="00042BAA">
        <w:rPr>
          <w:bCs/>
          <w:szCs w:val="24"/>
        </w:rPr>
        <w:t>)</w:t>
      </w:r>
      <w:r>
        <w:rPr>
          <w:bCs/>
          <w:szCs w:val="24"/>
        </w:rPr>
        <w:t>. Ob</w:t>
      </w:r>
      <w:r w:rsidR="007A4DBE">
        <w:rPr>
          <w:bCs/>
          <w:szCs w:val="24"/>
        </w:rPr>
        <w:t>ie</w:t>
      </w:r>
      <w:r>
        <w:rPr>
          <w:bCs/>
          <w:szCs w:val="24"/>
        </w:rPr>
        <w:t xml:space="preserve"> te </w:t>
      </w:r>
      <w:r w:rsidR="007A4DBE">
        <w:rPr>
          <w:bCs/>
          <w:szCs w:val="24"/>
        </w:rPr>
        <w:t>metody</w:t>
      </w:r>
      <w:r>
        <w:rPr>
          <w:bCs/>
          <w:szCs w:val="24"/>
        </w:rPr>
        <w:t xml:space="preserve"> </w:t>
      </w:r>
      <w:r w:rsidR="0030324E">
        <w:rPr>
          <w:bCs/>
          <w:szCs w:val="24"/>
        </w:rPr>
        <w:t xml:space="preserve">wymagają innych procedur laboratoryjnych, mają różne zastosowania oraz wady i zalety. </w:t>
      </w:r>
      <w:r w:rsidR="003E065D">
        <w:rPr>
          <w:bCs/>
          <w:szCs w:val="24"/>
        </w:rPr>
        <w:t>Wybór pomiędzy nimi zależy przede wszystkim od celu eksperymentu.</w:t>
      </w:r>
    </w:p>
    <w:p w:rsidR="00AF759B" w:rsidRDefault="00AF759B" w:rsidP="000208AB">
      <w:pPr>
        <w:ind w:firstLine="708"/>
        <w:rPr>
          <w:bCs/>
          <w:szCs w:val="24"/>
        </w:rPr>
      </w:pPr>
    </w:p>
    <w:p w:rsidR="00F73625" w:rsidRDefault="00F656F7" w:rsidP="000208AB">
      <w:pPr>
        <w:ind w:firstLine="708"/>
        <w:rPr>
          <w:bCs/>
          <w:szCs w:val="24"/>
        </w:rPr>
      </w:pPr>
      <w:r>
        <w:rPr>
          <w:bCs/>
          <w:szCs w:val="24"/>
        </w:rPr>
        <w:t xml:space="preserve">Istotą metody absolutnej </w:t>
      </w:r>
      <w:r w:rsidR="00590426">
        <w:rPr>
          <w:bCs/>
          <w:szCs w:val="24"/>
        </w:rPr>
        <w:t>jest pomiar</w:t>
      </w:r>
      <w:r w:rsidR="00694796">
        <w:rPr>
          <w:bCs/>
          <w:szCs w:val="24"/>
        </w:rPr>
        <w:t xml:space="preserve"> ilości na podstawie interpolacj</w:t>
      </w:r>
      <w:r w:rsidR="007C650A">
        <w:rPr>
          <w:bCs/>
          <w:szCs w:val="24"/>
        </w:rPr>
        <w:t xml:space="preserve">i danych z krzywej standardowej, która przedstawia zależność pomiędzy początkowym stężeniem próbki a wartością cyklu progowego. </w:t>
      </w:r>
      <w:r w:rsidR="00F72C80">
        <w:rPr>
          <w:bCs/>
          <w:szCs w:val="24"/>
        </w:rPr>
        <w:t xml:space="preserve">Krzywa standardową wyznacza się </w:t>
      </w:r>
      <w:r w:rsidR="002B3A01">
        <w:rPr>
          <w:bCs/>
          <w:szCs w:val="24"/>
        </w:rPr>
        <w:t>na podstawie znanych ilości produktu</w:t>
      </w:r>
      <w:r w:rsidR="000208AB">
        <w:rPr>
          <w:bCs/>
          <w:szCs w:val="24"/>
        </w:rPr>
        <w:t>, którego rodzaj zależy od materiału badawczego i spodziewanej ilości próbki.</w:t>
      </w:r>
      <w:r w:rsidR="00BE481A">
        <w:rPr>
          <w:bCs/>
          <w:szCs w:val="24"/>
        </w:rPr>
        <w:t xml:space="preserve"> </w:t>
      </w:r>
      <w:r w:rsidR="000208AB">
        <w:rPr>
          <w:bCs/>
          <w:szCs w:val="24"/>
        </w:rPr>
        <w:t xml:space="preserve">Stosuje się m.in. </w:t>
      </w:r>
      <w:r w:rsidR="00BE481A">
        <w:rPr>
          <w:bCs/>
          <w:szCs w:val="24"/>
        </w:rPr>
        <w:t>rekombinowane plazmidowe DNA, genomowe DNA</w:t>
      </w:r>
      <w:r w:rsidR="000208AB">
        <w:rPr>
          <w:bCs/>
          <w:szCs w:val="24"/>
        </w:rPr>
        <w:t xml:space="preserve"> oraz</w:t>
      </w:r>
      <w:r w:rsidR="00BE481A">
        <w:rPr>
          <w:bCs/>
          <w:szCs w:val="24"/>
        </w:rPr>
        <w:t xml:space="preserve"> produkty RT-PCR</w:t>
      </w:r>
      <w:r w:rsidR="000208AB">
        <w:rPr>
          <w:bCs/>
          <w:szCs w:val="24"/>
        </w:rPr>
        <w:t xml:space="preserve">. </w:t>
      </w:r>
      <w:r w:rsidR="000208AB">
        <w:rPr>
          <w:bCs/>
          <w:szCs w:val="24"/>
        </w:rPr>
        <w:br/>
        <w:t>W celu wykrycia możliwych inhibitorów reakcji PCR w próbie, związki te dodaje się również w określonej ilości do próby badanej w celu sprawdzenia, czy reakcja zachodzi prawidłowo.</w:t>
      </w:r>
      <w:r w:rsidR="005339D1">
        <w:rPr>
          <w:bCs/>
          <w:szCs w:val="24"/>
        </w:rPr>
        <w:t xml:space="preserve"> </w:t>
      </w:r>
      <w:r w:rsidR="00656164">
        <w:rPr>
          <w:bCs/>
          <w:szCs w:val="24"/>
        </w:rPr>
        <w:t>Zaletą tej metody jest możliwość dokładnego określenia ilości badanego materiału w określonych jednostkach (np. ng/</w:t>
      </w:r>
      <w:r w:rsidR="00656164" w:rsidRPr="00656164">
        <w:rPr>
          <w:rFonts w:ascii="Arial" w:hAnsi="Arial" w:cs="Arial"/>
          <w:sz w:val="21"/>
          <w:szCs w:val="21"/>
          <w:shd w:val="clear" w:color="auto" w:fill="FFFFFF"/>
        </w:rPr>
        <w:t>μ</w:t>
      </w:r>
      <w:r w:rsidR="00656164">
        <w:rPr>
          <w:bCs/>
          <w:szCs w:val="24"/>
        </w:rPr>
        <w:t>l, liczba kopii)</w:t>
      </w:r>
      <w:r w:rsidR="005E549B">
        <w:rPr>
          <w:bCs/>
          <w:szCs w:val="24"/>
        </w:rPr>
        <w:t xml:space="preserve">, natomiast wadą konieczność stworzenia krzywych kalibracyjnych, </w:t>
      </w:r>
      <w:r w:rsidR="0003179A">
        <w:rPr>
          <w:bCs/>
          <w:szCs w:val="24"/>
        </w:rPr>
        <w:t>których jakość zależy od poprawności procedury laboratoryjnej oraz stosowanych związków.</w:t>
      </w:r>
    </w:p>
    <w:p w:rsidR="006957F2" w:rsidRDefault="006957F2" w:rsidP="000208AB">
      <w:pPr>
        <w:ind w:firstLine="708"/>
        <w:rPr>
          <w:bCs/>
          <w:szCs w:val="24"/>
        </w:rPr>
      </w:pPr>
    </w:p>
    <w:p w:rsidR="00044DCF" w:rsidRDefault="002F12A0" w:rsidP="000208AB">
      <w:pPr>
        <w:ind w:firstLine="708"/>
        <w:rPr>
          <w:bCs/>
          <w:szCs w:val="24"/>
        </w:rPr>
      </w:pPr>
      <w:r>
        <w:rPr>
          <w:bCs/>
          <w:szCs w:val="24"/>
        </w:rPr>
        <w:lastRenderedPageBreak/>
        <w:t xml:space="preserve">Metoda względna </w:t>
      </w:r>
      <w:r w:rsidR="007A3C23">
        <w:rPr>
          <w:bCs/>
          <w:szCs w:val="24"/>
        </w:rPr>
        <w:t>opiera się na porównaniu ilości p</w:t>
      </w:r>
      <w:r w:rsidR="00573B69">
        <w:rPr>
          <w:bCs/>
          <w:szCs w:val="24"/>
        </w:rPr>
        <w:t>roduktu pomiędzy dwoma próbkami – dla genu testowego oraz genu referencyjnego.</w:t>
      </w:r>
      <w:r w:rsidR="0047672B">
        <w:rPr>
          <w:bCs/>
          <w:szCs w:val="24"/>
        </w:rPr>
        <w:t xml:space="preserve"> Jako gen referencyjny stosuje się przede wszystkim geny </w:t>
      </w:r>
      <w:r w:rsidR="0047672B">
        <w:rPr>
          <w:bCs/>
          <w:i/>
          <w:szCs w:val="24"/>
        </w:rPr>
        <w:t>house-keeping</w:t>
      </w:r>
      <w:r w:rsidR="0047672B">
        <w:rPr>
          <w:bCs/>
          <w:szCs w:val="24"/>
        </w:rPr>
        <w:t xml:space="preserve"> (geny podstawowego metabolizmu), których ekspresja jest </w:t>
      </w:r>
      <w:r w:rsidR="00FD6ED1">
        <w:rPr>
          <w:bCs/>
          <w:szCs w:val="24"/>
        </w:rPr>
        <w:t>względnie</w:t>
      </w:r>
      <w:r w:rsidR="0047672B">
        <w:rPr>
          <w:bCs/>
          <w:szCs w:val="24"/>
        </w:rPr>
        <w:t xml:space="preserve"> stała w komórce.</w:t>
      </w:r>
      <w:r w:rsidR="00573B69">
        <w:rPr>
          <w:bCs/>
          <w:szCs w:val="24"/>
        </w:rPr>
        <w:t xml:space="preserve"> </w:t>
      </w:r>
      <w:r w:rsidR="00B21ED2">
        <w:rPr>
          <w:bCs/>
          <w:szCs w:val="24"/>
        </w:rPr>
        <w:t xml:space="preserve">Pozwala to na określenie zmian ekspresji w komórce oraz </w:t>
      </w:r>
      <w:r w:rsidR="007C4E2C">
        <w:rPr>
          <w:bCs/>
          <w:szCs w:val="24"/>
        </w:rPr>
        <w:t xml:space="preserve">jej </w:t>
      </w:r>
      <w:r w:rsidR="00B21ED2">
        <w:rPr>
          <w:bCs/>
          <w:szCs w:val="24"/>
        </w:rPr>
        <w:t xml:space="preserve">zmian fizjologicznych. </w:t>
      </w:r>
      <w:r w:rsidR="00CB2040">
        <w:rPr>
          <w:bCs/>
          <w:szCs w:val="24"/>
        </w:rPr>
        <w:t>Istnieje kilka modeli matematycznych wykorzystywanych do obliczeń zmian ekspresji, które można podzielić na te, które zakładają wydajność przyłączania starterów oraz te, które wykorzystują rzeczywistą wartość wydajności z eksperymentu.</w:t>
      </w:r>
      <w:r w:rsidR="00FD6ED1">
        <w:rPr>
          <w:bCs/>
          <w:szCs w:val="24"/>
        </w:rPr>
        <w:t xml:space="preserve"> Zaletą tej metody jest brak konieczności sporządzania krzywych standardowych, jednakże </w:t>
      </w:r>
      <w:r w:rsidR="00484BE3">
        <w:rPr>
          <w:bCs/>
          <w:szCs w:val="24"/>
        </w:rPr>
        <w:t xml:space="preserve">ekspresja genów </w:t>
      </w:r>
      <w:r w:rsidR="00484BE3">
        <w:rPr>
          <w:bCs/>
          <w:i/>
          <w:szCs w:val="24"/>
        </w:rPr>
        <w:t xml:space="preserve">house-keeping </w:t>
      </w:r>
      <w:r w:rsidR="00484BE3">
        <w:rPr>
          <w:bCs/>
          <w:szCs w:val="24"/>
        </w:rPr>
        <w:t xml:space="preserve">może się różnić znacząco pomiędzy eksperymentami </w:t>
      </w:r>
      <w:r w:rsidR="00674818">
        <w:rPr>
          <w:bCs/>
          <w:szCs w:val="24"/>
        </w:rPr>
        <w:t>w zależności od warunków</w:t>
      </w:r>
      <w:r w:rsidR="002A7B5B">
        <w:rPr>
          <w:bCs/>
          <w:szCs w:val="24"/>
        </w:rPr>
        <w:t xml:space="preserve"> reakcji</w:t>
      </w:r>
      <w:r w:rsidR="0057606B">
        <w:rPr>
          <w:bCs/>
          <w:szCs w:val="24"/>
        </w:rPr>
        <w:t xml:space="preserve"> [2].</w:t>
      </w:r>
    </w:p>
    <w:p w:rsidR="001544EA" w:rsidRDefault="001544EA" w:rsidP="000208AB">
      <w:pPr>
        <w:ind w:firstLine="708"/>
        <w:rPr>
          <w:bCs/>
          <w:szCs w:val="24"/>
        </w:rPr>
      </w:pPr>
    </w:p>
    <w:p w:rsidR="001544EA" w:rsidRDefault="001544EA" w:rsidP="00FE24BA">
      <w:pPr>
        <w:rPr>
          <w:bCs/>
          <w:szCs w:val="24"/>
        </w:rPr>
      </w:pPr>
    </w:p>
    <w:p w:rsidR="001544EA" w:rsidRDefault="001544EA" w:rsidP="001544EA">
      <w:pPr>
        <w:pStyle w:val="Heading2"/>
      </w:pPr>
      <w:r>
        <w:t xml:space="preserve">2.x </w:t>
      </w:r>
      <w:r w:rsidR="0098365F">
        <w:t>Metody detekcji amplikonu</w:t>
      </w:r>
    </w:p>
    <w:p w:rsidR="00FE24BA" w:rsidRDefault="00FE24BA" w:rsidP="00FE24BA">
      <w:pPr>
        <w:rPr>
          <w:bCs/>
          <w:szCs w:val="24"/>
        </w:rPr>
      </w:pPr>
      <w:r>
        <w:rPr>
          <w:bCs/>
          <w:szCs w:val="24"/>
        </w:rPr>
        <w:tab/>
        <w:t xml:space="preserve">W celu </w:t>
      </w:r>
      <w:r w:rsidR="0025624F">
        <w:rPr>
          <w:bCs/>
          <w:szCs w:val="24"/>
        </w:rPr>
        <w:t>wykrycia</w:t>
      </w:r>
      <w:r>
        <w:rPr>
          <w:bCs/>
          <w:szCs w:val="24"/>
        </w:rPr>
        <w:t xml:space="preserve"> i określenia ilości produktu reakcji PCR wykorzystuje się różnego rodzaju indywidua chemiczne.</w:t>
      </w:r>
      <w:r w:rsidR="001435F9">
        <w:rPr>
          <w:bCs/>
          <w:szCs w:val="24"/>
        </w:rPr>
        <w:t xml:space="preserve"> Ich zastosowanie skutkuje emisją fluorescencji na bazie różnych mechanizmów. </w:t>
      </w:r>
      <w:r w:rsidR="002D4900">
        <w:rPr>
          <w:bCs/>
          <w:szCs w:val="24"/>
        </w:rPr>
        <w:t>Wyróżnić można dwie grupy związków:</w:t>
      </w:r>
      <w:r w:rsidR="00881527">
        <w:rPr>
          <w:bCs/>
          <w:szCs w:val="24"/>
        </w:rPr>
        <w:t xml:space="preserve"> specyficzne do produktu reakcji i niespecyficzne.</w:t>
      </w:r>
      <w:r w:rsidR="00876303">
        <w:rPr>
          <w:bCs/>
          <w:szCs w:val="24"/>
        </w:rPr>
        <w:t xml:space="preserve"> </w:t>
      </w:r>
    </w:p>
    <w:p w:rsidR="0025624F" w:rsidRDefault="0025624F" w:rsidP="00FE24BA">
      <w:pPr>
        <w:rPr>
          <w:bCs/>
          <w:szCs w:val="24"/>
        </w:rPr>
      </w:pPr>
    </w:p>
    <w:p w:rsidR="0025624F" w:rsidRDefault="0025624F" w:rsidP="00FE24BA">
      <w:pPr>
        <w:rPr>
          <w:bCs/>
          <w:szCs w:val="24"/>
        </w:rPr>
      </w:pPr>
      <w:r>
        <w:rPr>
          <w:bCs/>
          <w:szCs w:val="24"/>
        </w:rPr>
        <w:tab/>
        <w:t xml:space="preserve">Istotą detekcji </w:t>
      </w:r>
      <w:r w:rsidR="00DE6222">
        <w:rPr>
          <w:bCs/>
          <w:szCs w:val="24"/>
        </w:rPr>
        <w:t xml:space="preserve">dwuniciowych </w:t>
      </w:r>
      <w:r w:rsidR="003D383E">
        <w:rPr>
          <w:bCs/>
          <w:szCs w:val="24"/>
        </w:rPr>
        <w:t xml:space="preserve">sekwencji </w:t>
      </w:r>
      <w:r w:rsidR="009E59BD">
        <w:rPr>
          <w:bCs/>
          <w:szCs w:val="24"/>
        </w:rPr>
        <w:t xml:space="preserve">DNA metodą niespecyficzną jest wykorzystanie </w:t>
      </w:r>
      <w:r w:rsidR="003B6F56" w:rsidRPr="008C561D">
        <w:rPr>
          <w:bCs/>
          <w:szCs w:val="24"/>
          <w:u w:val="single"/>
        </w:rPr>
        <w:t>fluorescencyjnych</w:t>
      </w:r>
      <w:r w:rsidR="003D383E" w:rsidRPr="008C561D">
        <w:rPr>
          <w:bCs/>
          <w:szCs w:val="24"/>
          <w:u w:val="single"/>
        </w:rPr>
        <w:t xml:space="preserve"> </w:t>
      </w:r>
      <w:r w:rsidR="003D383E">
        <w:rPr>
          <w:bCs/>
          <w:szCs w:val="24"/>
        </w:rPr>
        <w:t>cząsteczek wiążących się z DNA</w:t>
      </w:r>
      <w:r w:rsidR="008C561D">
        <w:rPr>
          <w:bCs/>
          <w:szCs w:val="24"/>
        </w:rPr>
        <w:t>.</w:t>
      </w:r>
      <w:r w:rsidR="00121DD7">
        <w:rPr>
          <w:bCs/>
          <w:szCs w:val="24"/>
        </w:rPr>
        <w:t xml:space="preserve"> Stosuje się takie związki jak </w:t>
      </w:r>
      <w:r w:rsidR="00121DD7">
        <w:rPr>
          <w:color w:val="000000"/>
          <w:shd w:val="clear" w:color="auto" w:fill="FFFFFF"/>
        </w:rPr>
        <w:t>SYBR Green I, EvaGreen,</w:t>
      </w:r>
      <w:r w:rsidR="00EF0B49">
        <w:rPr>
          <w:color w:val="000000"/>
          <w:shd w:val="clear" w:color="auto" w:fill="FFFFFF"/>
        </w:rPr>
        <w:t xml:space="preserve"> czy</w:t>
      </w:r>
      <w:r w:rsidR="00121DD7">
        <w:rPr>
          <w:color w:val="000000"/>
          <w:shd w:val="clear" w:color="auto" w:fill="FFFFFF"/>
        </w:rPr>
        <w:t xml:space="preserve"> </w:t>
      </w:r>
      <w:r w:rsidR="002552F8">
        <w:rPr>
          <w:color w:val="000000"/>
          <w:shd w:val="clear" w:color="auto" w:fill="FFFFFF"/>
        </w:rPr>
        <w:t>bromek etydyny.</w:t>
      </w:r>
      <w:r w:rsidR="008C561D">
        <w:rPr>
          <w:bCs/>
          <w:szCs w:val="24"/>
        </w:rPr>
        <w:t xml:space="preserve"> </w:t>
      </w:r>
      <w:r w:rsidR="007E2BA8">
        <w:rPr>
          <w:bCs/>
          <w:szCs w:val="24"/>
        </w:rPr>
        <w:t xml:space="preserve">Każda z tych cząsteczek jest zdolna do emisji </w:t>
      </w:r>
      <w:r w:rsidR="004A51A3">
        <w:rPr>
          <w:bCs/>
          <w:szCs w:val="24"/>
        </w:rPr>
        <w:t>fluorescencji, kiedy</w:t>
      </w:r>
      <w:r w:rsidR="007E2BA8">
        <w:rPr>
          <w:bCs/>
          <w:szCs w:val="24"/>
        </w:rPr>
        <w:t xml:space="preserve"> jest poddana działaniu światła o odpowiedniej długości fali</w:t>
      </w:r>
      <w:r w:rsidR="00FC11CA">
        <w:rPr>
          <w:bCs/>
          <w:szCs w:val="24"/>
        </w:rPr>
        <w:t xml:space="preserve"> i jest związana z DNA</w:t>
      </w:r>
      <w:r w:rsidR="007E2BA8">
        <w:rPr>
          <w:bCs/>
          <w:szCs w:val="24"/>
        </w:rPr>
        <w:t>.</w:t>
      </w:r>
      <w:r w:rsidR="00955293">
        <w:rPr>
          <w:bCs/>
          <w:szCs w:val="24"/>
        </w:rPr>
        <w:t xml:space="preserve"> </w:t>
      </w:r>
      <w:r w:rsidR="0019280B">
        <w:rPr>
          <w:bCs/>
          <w:szCs w:val="24"/>
        </w:rPr>
        <w:t>Wykorzystanie</w:t>
      </w:r>
      <w:r w:rsidR="004A51A3">
        <w:rPr>
          <w:bCs/>
          <w:szCs w:val="24"/>
        </w:rPr>
        <w:t xml:space="preserve"> tych cząsteczek nie wymaga tyle wiedzy co projektowanie sond </w:t>
      </w:r>
      <w:r w:rsidR="00D9673E">
        <w:rPr>
          <w:bCs/>
          <w:szCs w:val="24"/>
        </w:rPr>
        <w:t xml:space="preserve">oligonukleotydowych </w:t>
      </w:r>
      <w:r w:rsidR="004A51A3">
        <w:rPr>
          <w:bCs/>
          <w:szCs w:val="24"/>
        </w:rPr>
        <w:t>specyficznych do określonego amplikonu,</w:t>
      </w:r>
      <w:r w:rsidR="00DE6222">
        <w:rPr>
          <w:bCs/>
          <w:szCs w:val="24"/>
        </w:rPr>
        <w:t xml:space="preserve"> metoda ta</w:t>
      </w:r>
      <w:r w:rsidR="004A51A3">
        <w:rPr>
          <w:bCs/>
          <w:szCs w:val="24"/>
        </w:rPr>
        <w:t xml:space="preserve"> jest </w:t>
      </w:r>
      <w:r w:rsidR="00DE6222">
        <w:rPr>
          <w:bCs/>
          <w:szCs w:val="24"/>
        </w:rPr>
        <w:t xml:space="preserve">też </w:t>
      </w:r>
      <w:r w:rsidR="004A51A3">
        <w:rPr>
          <w:bCs/>
          <w:szCs w:val="24"/>
        </w:rPr>
        <w:t>tańsza i może być wykorzystana w przypadku, gdy fragmenty sekwencji próbki różnią się między sobą.</w:t>
      </w:r>
      <w:r w:rsidR="00786D6A">
        <w:rPr>
          <w:bCs/>
          <w:szCs w:val="24"/>
        </w:rPr>
        <w:t xml:space="preserve"> </w:t>
      </w:r>
      <w:r w:rsidR="00DE6222">
        <w:rPr>
          <w:bCs/>
          <w:szCs w:val="24"/>
        </w:rPr>
        <w:t>Istnieje jednak możliwość, że startery w mieszaninie mogą wiązać się ze sobą, tworząc dwuniciową cząsteczkę</w:t>
      </w:r>
      <w:r w:rsidR="0087636E">
        <w:rPr>
          <w:bCs/>
          <w:szCs w:val="24"/>
        </w:rPr>
        <w:t>,</w:t>
      </w:r>
      <w:r w:rsidR="00DE6222">
        <w:rPr>
          <w:bCs/>
          <w:szCs w:val="24"/>
        </w:rPr>
        <w:t xml:space="preserve"> z którą wiązać się mogą</w:t>
      </w:r>
      <w:r w:rsidR="0087636E">
        <w:rPr>
          <w:bCs/>
          <w:szCs w:val="24"/>
        </w:rPr>
        <w:t xml:space="preserve"> barwniki fluorescencyjne.</w:t>
      </w:r>
      <w:r w:rsidR="006E21AA">
        <w:rPr>
          <w:bCs/>
          <w:szCs w:val="24"/>
        </w:rPr>
        <w:t xml:space="preserve"> Tworzy to konieczność zastosowania dodatkowej inkubacji w wysokiej temperaturze po etapie wydłużania starterów w reakcji PCR lub wykorzystania oprogramowania zdolnego do analizy krzywych topnienia </w:t>
      </w:r>
      <w:r w:rsidR="002867E3">
        <w:rPr>
          <w:bCs/>
          <w:szCs w:val="24"/>
        </w:rPr>
        <w:t xml:space="preserve">fluorescencji. Dimery starterów to krótkie cząsteczki, których temperatura </w:t>
      </w:r>
      <w:r w:rsidR="00F1234E">
        <w:rPr>
          <w:bCs/>
          <w:szCs w:val="24"/>
        </w:rPr>
        <w:t>denaturacji</w:t>
      </w:r>
      <w:r w:rsidR="002867E3">
        <w:rPr>
          <w:bCs/>
          <w:szCs w:val="24"/>
        </w:rPr>
        <w:t xml:space="preserve"> jest </w:t>
      </w:r>
      <w:r w:rsidR="00F1234E">
        <w:rPr>
          <w:bCs/>
          <w:szCs w:val="24"/>
        </w:rPr>
        <w:t>niższa niż w przypadku amplikonu</w:t>
      </w:r>
      <w:r w:rsidR="002867E3">
        <w:rPr>
          <w:bCs/>
          <w:szCs w:val="24"/>
        </w:rPr>
        <w:t>, dlatego możliwe jest rozpoznanie sygnału fluorescencyjnego pochodzącego od nich i dokonania korekcji.</w:t>
      </w:r>
    </w:p>
    <w:p w:rsidR="0014101E" w:rsidRDefault="0014101E" w:rsidP="00FE24BA">
      <w:pPr>
        <w:rPr>
          <w:bCs/>
          <w:szCs w:val="24"/>
        </w:rPr>
      </w:pPr>
      <w:r>
        <w:rPr>
          <w:bCs/>
          <w:szCs w:val="24"/>
        </w:rPr>
        <w:tab/>
      </w:r>
    </w:p>
    <w:p w:rsidR="0014101E" w:rsidRDefault="0014101E" w:rsidP="00FE24BA">
      <w:pPr>
        <w:rPr>
          <w:bCs/>
          <w:szCs w:val="24"/>
        </w:rPr>
      </w:pPr>
      <w:r>
        <w:rPr>
          <w:bCs/>
          <w:szCs w:val="24"/>
        </w:rPr>
        <w:lastRenderedPageBreak/>
        <w:tab/>
      </w:r>
      <w:r w:rsidR="00D576F1">
        <w:rPr>
          <w:bCs/>
          <w:szCs w:val="24"/>
        </w:rPr>
        <w:t>Jedną z głównych metod wykorzystujących cząsteczki specyficzne do określonej sekwencji DNA jest stosowanie sond oligonukleotydowych</w:t>
      </w:r>
      <w:r w:rsidR="00322419">
        <w:rPr>
          <w:bCs/>
          <w:szCs w:val="24"/>
        </w:rPr>
        <w:t>, takich jak TaqMan</w:t>
      </w:r>
      <w:r w:rsidR="00D576F1">
        <w:rPr>
          <w:bCs/>
          <w:szCs w:val="24"/>
        </w:rPr>
        <w:t>.</w:t>
      </w:r>
      <w:r w:rsidR="002172A7">
        <w:rPr>
          <w:bCs/>
          <w:szCs w:val="24"/>
        </w:rPr>
        <w:t xml:space="preserve"> Mechanizm ich działania polega na tym, iż na jednym końcu sondy znajduje się </w:t>
      </w:r>
      <w:r w:rsidR="008D4848">
        <w:rPr>
          <w:bCs/>
          <w:szCs w:val="24"/>
        </w:rPr>
        <w:t>barwnik reporterowi, będące</w:t>
      </w:r>
      <w:r w:rsidR="002172A7">
        <w:rPr>
          <w:bCs/>
          <w:szCs w:val="24"/>
        </w:rPr>
        <w:t xml:space="preserve"> </w:t>
      </w:r>
      <w:r w:rsidR="00B56DE8">
        <w:rPr>
          <w:bCs/>
          <w:szCs w:val="24"/>
        </w:rPr>
        <w:t xml:space="preserve">źródłem fluorescencji, natomiast na drugim końcu sondy znajduje się cząsteczka </w:t>
      </w:r>
      <w:r w:rsidR="004D5254">
        <w:rPr>
          <w:bCs/>
          <w:szCs w:val="24"/>
        </w:rPr>
        <w:t>tłumiąca</w:t>
      </w:r>
      <w:r w:rsidR="00B56DE8">
        <w:rPr>
          <w:bCs/>
          <w:szCs w:val="24"/>
        </w:rPr>
        <w:t xml:space="preserve"> fluorescencję.</w:t>
      </w:r>
      <w:r w:rsidR="00D576F1">
        <w:rPr>
          <w:bCs/>
          <w:szCs w:val="24"/>
        </w:rPr>
        <w:t xml:space="preserve"> </w:t>
      </w:r>
      <w:r w:rsidR="004D5254">
        <w:rPr>
          <w:bCs/>
          <w:szCs w:val="24"/>
        </w:rPr>
        <w:t>Podczas reakcji PCR w każdym cyklu następuje denaturacja DNA, po której następuje przyłączanie się komplementarnych starterów</w:t>
      </w:r>
      <w:r w:rsidR="00CA4811">
        <w:rPr>
          <w:bCs/>
          <w:szCs w:val="24"/>
        </w:rPr>
        <w:t xml:space="preserve"> na końcach sekwencji, która ma być amplifikowana</w:t>
      </w:r>
      <w:r w:rsidR="004D5254">
        <w:rPr>
          <w:bCs/>
          <w:szCs w:val="24"/>
        </w:rPr>
        <w:t xml:space="preserve">. Jeżeli w mieszaninie obecne są sondy oligonukleotydowe komplementarne do fragmentu sekwencji produktu, to </w:t>
      </w:r>
      <w:r w:rsidR="00724942">
        <w:rPr>
          <w:bCs/>
          <w:szCs w:val="24"/>
        </w:rPr>
        <w:t xml:space="preserve">będą one również przyłączać się do DNA próbki. </w:t>
      </w:r>
      <w:r w:rsidR="00CA4811">
        <w:rPr>
          <w:bCs/>
          <w:szCs w:val="24"/>
        </w:rPr>
        <w:t>W ostatnim etapie cyklu następuje wydłużenie starterów</w:t>
      </w:r>
      <w:r w:rsidR="005501E4">
        <w:rPr>
          <w:bCs/>
          <w:szCs w:val="24"/>
        </w:rPr>
        <w:t xml:space="preserve"> i synteza produktu za pomocą polimerazy DNA, jednakże jeśli do próbki przyłączona jest sonda oligonukleotydowa, zostanie ona rozerwana</w:t>
      </w:r>
      <w:r w:rsidR="00E67F6F">
        <w:rPr>
          <w:bCs/>
          <w:szCs w:val="24"/>
        </w:rPr>
        <w:t xml:space="preserve"> przez polimerazę DNA</w:t>
      </w:r>
      <w:r w:rsidR="005501E4">
        <w:rPr>
          <w:bCs/>
          <w:szCs w:val="24"/>
        </w:rPr>
        <w:t xml:space="preserve">, a barwnik </w:t>
      </w:r>
      <w:r w:rsidR="00303B92">
        <w:rPr>
          <w:bCs/>
          <w:szCs w:val="24"/>
        </w:rPr>
        <w:t>reporterowy</w:t>
      </w:r>
      <w:r w:rsidR="005501E4">
        <w:rPr>
          <w:bCs/>
          <w:szCs w:val="24"/>
        </w:rPr>
        <w:t xml:space="preserve"> i cząsteczka wygaszająca fluorescencję zostaną rozdzielone, przez co możliw</w:t>
      </w:r>
      <w:r w:rsidR="00562590">
        <w:rPr>
          <w:bCs/>
          <w:szCs w:val="24"/>
        </w:rPr>
        <w:t>e</w:t>
      </w:r>
      <w:r w:rsidR="005501E4">
        <w:rPr>
          <w:bCs/>
          <w:szCs w:val="24"/>
        </w:rPr>
        <w:t xml:space="preserve"> będzie </w:t>
      </w:r>
      <w:r w:rsidR="00562590">
        <w:rPr>
          <w:bCs/>
          <w:szCs w:val="24"/>
        </w:rPr>
        <w:t>określenie poziomu</w:t>
      </w:r>
      <w:r w:rsidR="005501E4">
        <w:rPr>
          <w:bCs/>
          <w:szCs w:val="24"/>
        </w:rPr>
        <w:t xml:space="preserve"> fluorescencji pochodzącej od dokładnie określonego, specyficznego produktu.</w:t>
      </w:r>
    </w:p>
    <w:p w:rsidR="006C6FB4" w:rsidRDefault="006C6FB4" w:rsidP="000208AB">
      <w:pPr>
        <w:ind w:firstLine="708"/>
        <w:rPr>
          <w:bCs/>
          <w:szCs w:val="24"/>
        </w:rPr>
      </w:pPr>
    </w:p>
    <w:p w:rsidR="006C6FB4" w:rsidRDefault="006C6FB4" w:rsidP="000208AB">
      <w:pPr>
        <w:ind w:firstLine="708"/>
        <w:rPr>
          <w:bCs/>
          <w:szCs w:val="24"/>
        </w:rPr>
      </w:pPr>
    </w:p>
    <w:p w:rsidR="006C6FB4" w:rsidRDefault="006C6FB4" w:rsidP="00F67FBF">
      <w:pPr>
        <w:rPr>
          <w:bCs/>
          <w:szCs w:val="24"/>
        </w:rPr>
      </w:pPr>
    </w:p>
    <w:p w:rsidR="006C6FB4" w:rsidRDefault="006C6FB4" w:rsidP="006C6FB4">
      <w:pPr>
        <w:pStyle w:val="Heading2"/>
      </w:pPr>
      <w:r>
        <w:t>2.x Pakiet Shiny</w:t>
      </w:r>
      <w:r w:rsidR="00AD3507">
        <w:t xml:space="preserve"> i struktura aplikacji</w:t>
      </w:r>
    </w:p>
    <w:p w:rsidR="00E73418" w:rsidRDefault="00E73418" w:rsidP="00962B36">
      <w:pPr>
        <w:ind w:firstLine="708"/>
        <w:rPr>
          <w:bCs/>
          <w:szCs w:val="24"/>
        </w:rPr>
      </w:pPr>
    </w:p>
    <w:p w:rsidR="006C6FB4" w:rsidRDefault="00D12F4C" w:rsidP="00962B36">
      <w:pPr>
        <w:ind w:firstLine="708"/>
        <w:rPr>
          <w:bCs/>
          <w:szCs w:val="24"/>
        </w:rPr>
      </w:pPr>
      <w:r>
        <w:rPr>
          <w:bCs/>
          <w:szCs w:val="24"/>
        </w:rPr>
        <w:t xml:space="preserve">Shiny jest pakietem dla środowiska R, </w:t>
      </w:r>
      <w:r w:rsidR="00931E9D">
        <w:rPr>
          <w:bCs/>
          <w:szCs w:val="24"/>
        </w:rPr>
        <w:t>dającym możliwość prostego</w:t>
      </w:r>
      <w:r>
        <w:rPr>
          <w:bCs/>
          <w:szCs w:val="24"/>
        </w:rPr>
        <w:t xml:space="preserve"> tworzenie aplikacji internetowych, które pozwalają na interaktywną analizę danych. </w:t>
      </w:r>
      <w:r w:rsidR="00962B36">
        <w:rPr>
          <w:bCs/>
          <w:szCs w:val="24"/>
        </w:rPr>
        <w:t xml:space="preserve">Dostępnych jest wiele gotowych elementów do interfejsu użytkownika, co umożliwia proste i wszechstronne jego tworzenie. </w:t>
      </w:r>
    </w:p>
    <w:p w:rsidR="00E73418" w:rsidRDefault="00E73418" w:rsidP="00962B36">
      <w:pPr>
        <w:ind w:firstLine="708"/>
        <w:rPr>
          <w:bCs/>
          <w:szCs w:val="24"/>
        </w:rPr>
      </w:pPr>
    </w:p>
    <w:p w:rsidR="0048211A" w:rsidRDefault="004236ED" w:rsidP="0048211A">
      <w:pPr>
        <w:ind w:firstLine="708"/>
        <w:rPr>
          <w:bCs/>
          <w:szCs w:val="24"/>
        </w:rPr>
      </w:pPr>
      <w:r>
        <w:rPr>
          <w:bCs/>
          <w:szCs w:val="24"/>
        </w:rPr>
        <w:t>Aplikacja tworzona w Shiny składa się z 2 głównych skryptów: ser</w:t>
      </w:r>
      <w:r w:rsidR="009552A2">
        <w:rPr>
          <w:bCs/>
          <w:szCs w:val="24"/>
        </w:rPr>
        <w:t>w</w:t>
      </w:r>
      <w:r>
        <w:rPr>
          <w:bCs/>
          <w:szCs w:val="24"/>
        </w:rPr>
        <w:t xml:space="preserve">era oraz ui. </w:t>
      </w:r>
      <w:r w:rsidR="00B72E15">
        <w:rPr>
          <w:bCs/>
          <w:szCs w:val="24"/>
        </w:rPr>
        <w:t>Ui</w:t>
      </w:r>
      <w:r w:rsidR="003141E5">
        <w:rPr>
          <w:bCs/>
          <w:szCs w:val="24"/>
        </w:rPr>
        <w:t xml:space="preserve"> reprezentuje interfejs użytkownika oraz pozwala na wprowadzanie danych, natomiast serwer przyjmuje dane w</w:t>
      </w:r>
      <w:r w:rsidR="00D3218F">
        <w:rPr>
          <w:bCs/>
          <w:szCs w:val="24"/>
        </w:rPr>
        <w:t>e</w:t>
      </w:r>
      <w:r w:rsidR="003141E5">
        <w:rPr>
          <w:bCs/>
          <w:szCs w:val="24"/>
        </w:rPr>
        <w:t xml:space="preserve">jściowe i w nim wykonywane są </w:t>
      </w:r>
      <w:r w:rsidR="001015AD">
        <w:rPr>
          <w:bCs/>
          <w:szCs w:val="24"/>
        </w:rPr>
        <w:t>wszystkie zadania i obliczenia, których wyniki następnie przedstawiane są w interfejsie.</w:t>
      </w:r>
      <w:r w:rsidR="003F782C">
        <w:rPr>
          <w:bCs/>
          <w:szCs w:val="24"/>
        </w:rPr>
        <w:t xml:space="preserve"> </w:t>
      </w:r>
      <w:r w:rsidR="0048211A">
        <w:rPr>
          <w:bCs/>
          <w:szCs w:val="24"/>
        </w:rPr>
        <w:t>Jedną z głównych cech Shiny jest reaktywność – istnieje możliwość zmiany wartości danych wejściowych w czasie rzeczywistym, które są przez program na nowo wykorzystywane do wykonania określonych czynności.</w:t>
      </w:r>
      <w:r w:rsidR="000A34CC">
        <w:rPr>
          <w:bCs/>
          <w:szCs w:val="24"/>
        </w:rPr>
        <w:t xml:space="preserve"> Mechanizm działania programu opiera się na wejściach (</w:t>
      </w:r>
      <w:r w:rsidR="000A34CC" w:rsidRPr="000A34CC">
        <w:rPr>
          <w:bCs/>
          <w:i/>
          <w:szCs w:val="24"/>
        </w:rPr>
        <w:t>inputs</w:t>
      </w:r>
      <w:r w:rsidR="000A34CC">
        <w:rPr>
          <w:bCs/>
          <w:szCs w:val="24"/>
        </w:rPr>
        <w:t>), funkcji renderowania oraz wyjściach (</w:t>
      </w:r>
      <w:r w:rsidR="000A34CC" w:rsidRPr="000A34CC">
        <w:rPr>
          <w:bCs/>
          <w:i/>
          <w:szCs w:val="24"/>
        </w:rPr>
        <w:t>outputs</w:t>
      </w:r>
      <w:r w:rsidR="000A34CC">
        <w:rPr>
          <w:bCs/>
          <w:szCs w:val="24"/>
        </w:rPr>
        <w:t xml:space="preserve">). W pierwszym etapie użytkownik dokonuje wyboru danych, </w:t>
      </w:r>
      <w:r w:rsidR="005A006F">
        <w:rPr>
          <w:bCs/>
          <w:szCs w:val="24"/>
        </w:rPr>
        <w:t>które są</w:t>
      </w:r>
      <w:r w:rsidR="000A34CC">
        <w:rPr>
          <w:bCs/>
          <w:szCs w:val="24"/>
        </w:rPr>
        <w:t xml:space="preserve"> </w:t>
      </w:r>
      <w:r w:rsidR="005A006F">
        <w:rPr>
          <w:bCs/>
          <w:szCs w:val="24"/>
        </w:rPr>
        <w:t>zapisywane jako</w:t>
      </w:r>
      <w:r w:rsidR="000A34CC">
        <w:rPr>
          <w:bCs/>
          <w:szCs w:val="24"/>
        </w:rPr>
        <w:t xml:space="preserve"> wartości wejściowe. </w:t>
      </w:r>
      <w:r w:rsidR="00094B25">
        <w:rPr>
          <w:bCs/>
          <w:szCs w:val="24"/>
        </w:rPr>
        <w:t xml:space="preserve">Następnie wykonywane są określone czynności </w:t>
      </w:r>
      <w:r w:rsidR="005A006F">
        <w:rPr>
          <w:bCs/>
          <w:szCs w:val="24"/>
        </w:rPr>
        <w:t>i</w:t>
      </w:r>
      <w:r w:rsidR="00094B25">
        <w:rPr>
          <w:bCs/>
          <w:szCs w:val="24"/>
        </w:rPr>
        <w:t xml:space="preserve"> tworzone są wartości wyjściowe, które następnie wyświetlane są w interfejsie użytkownika. Aby stworzyć </w:t>
      </w:r>
      <w:r w:rsidR="00094B25">
        <w:rPr>
          <w:bCs/>
          <w:szCs w:val="24"/>
        </w:rPr>
        <w:lastRenderedPageBreak/>
        <w:t>wartość wyjściową konieczne jest zastosowanie funkcji renderowania, które tworzą elementy interfejsu użytkownika bazując na wartościach wejściowych.</w:t>
      </w:r>
      <w:r w:rsidR="009C34EB">
        <w:rPr>
          <w:bCs/>
          <w:szCs w:val="24"/>
        </w:rPr>
        <w:t xml:space="preserve"> Funkcje te </w:t>
      </w:r>
      <w:r w:rsidR="003959BE">
        <w:rPr>
          <w:bCs/>
          <w:szCs w:val="24"/>
        </w:rPr>
        <w:t>mają wiele zastosowań</w:t>
      </w:r>
      <w:r w:rsidR="00F33924">
        <w:rPr>
          <w:bCs/>
          <w:szCs w:val="24"/>
        </w:rPr>
        <w:t xml:space="preserve">, </w:t>
      </w:r>
      <w:r w:rsidR="003959BE">
        <w:rPr>
          <w:bCs/>
          <w:szCs w:val="24"/>
        </w:rPr>
        <w:t xml:space="preserve">służą m.in. do tworzenia wykresów, tabel, </w:t>
      </w:r>
      <w:r w:rsidR="00B13B36">
        <w:rPr>
          <w:bCs/>
          <w:szCs w:val="24"/>
        </w:rPr>
        <w:t>diagramów</w:t>
      </w:r>
      <w:r w:rsidR="00F33924">
        <w:rPr>
          <w:bCs/>
          <w:szCs w:val="24"/>
        </w:rPr>
        <w:t xml:space="preserve"> </w:t>
      </w:r>
      <w:r w:rsidR="00B522E5">
        <w:rPr>
          <w:bCs/>
          <w:szCs w:val="24"/>
        </w:rPr>
        <w:t>itp. [3].</w:t>
      </w:r>
    </w:p>
    <w:p w:rsidR="0057276B" w:rsidRDefault="0057276B" w:rsidP="0048211A">
      <w:pPr>
        <w:ind w:firstLine="708"/>
        <w:rPr>
          <w:bCs/>
          <w:szCs w:val="24"/>
        </w:rPr>
      </w:pPr>
    </w:p>
    <w:p w:rsidR="00F73625" w:rsidRDefault="0057276B" w:rsidP="00353F35">
      <w:pPr>
        <w:ind w:firstLine="708"/>
        <w:rPr>
          <w:bCs/>
          <w:szCs w:val="24"/>
        </w:rPr>
      </w:pPr>
      <w:r>
        <w:rPr>
          <w:bCs/>
          <w:szCs w:val="24"/>
        </w:rPr>
        <w:t xml:space="preserve">Gotowe aplikacje </w:t>
      </w:r>
      <w:r w:rsidR="0045014D">
        <w:rPr>
          <w:bCs/>
          <w:szCs w:val="24"/>
        </w:rPr>
        <w:t>można udostępniać on-line poprzez umieszczenie ich na serwerze.</w:t>
      </w:r>
      <w:r w:rsidR="002D7833">
        <w:rPr>
          <w:bCs/>
          <w:szCs w:val="24"/>
        </w:rPr>
        <w:t xml:space="preserve"> Jedn</w:t>
      </w:r>
      <w:r w:rsidR="005D164C">
        <w:rPr>
          <w:bCs/>
          <w:szCs w:val="24"/>
        </w:rPr>
        <w:t>ym z głównych i najbardziej rozpowszechnionych serwerów służących do dzielenia sią aplikacjami jest shinyapp</w:t>
      </w:r>
      <w:r w:rsidR="00016E61">
        <w:rPr>
          <w:bCs/>
          <w:szCs w:val="24"/>
        </w:rPr>
        <w:t>s</w:t>
      </w:r>
      <w:r w:rsidR="005D164C">
        <w:rPr>
          <w:bCs/>
          <w:szCs w:val="24"/>
        </w:rPr>
        <w:t>.io.</w:t>
      </w:r>
      <w:r w:rsidR="00F611C0">
        <w:rPr>
          <w:bCs/>
          <w:szCs w:val="24"/>
        </w:rPr>
        <w:t xml:space="preserve"> </w:t>
      </w:r>
      <w:r w:rsidR="008E543B">
        <w:rPr>
          <w:bCs/>
          <w:szCs w:val="24"/>
        </w:rPr>
        <w:t>Jest to bezpłatna usługa, pozwalająca na szybkie i proste umieszczenie aplikacji na serwerze</w:t>
      </w:r>
      <w:r w:rsidR="00D3218F">
        <w:rPr>
          <w:bCs/>
          <w:szCs w:val="24"/>
        </w:rPr>
        <w:t>, a k</w:t>
      </w:r>
      <w:r w:rsidR="008E543B">
        <w:rPr>
          <w:bCs/>
          <w:szCs w:val="24"/>
        </w:rPr>
        <w:t xml:space="preserve">ażda </w:t>
      </w:r>
      <w:r w:rsidR="00D3218F">
        <w:rPr>
          <w:bCs/>
          <w:szCs w:val="24"/>
        </w:rPr>
        <w:t xml:space="preserve">dodana </w:t>
      </w:r>
      <w:r w:rsidR="008E543B">
        <w:rPr>
          <w:bCs/>
          <w:szCs w:val="24"/>
        </w:rPr>
        <w:t xml:space="preserve">aplikacja otrzymuje swój własny adres URL, </w:t>
      </w:r>
      <w:r w:rsidR="00D3218F">
        <w:rPr>
          <w:bCs/>
          <w:szCs w:val="24"/>
        </w:rPr>
        <w:t xml:space="preserve">przez </w:t>
      </w:r>
      <w:r w:rsidR="008E543B">
        <w:rPr>
          <w:bCs/>
          <w:szCs w:val="24"/>
        </w:rPr>
        <w:t xml:space="preserve">co </w:t>
      </w:r>
      <w:r w:rsidR="00D3218F">
        <w:rPr>
          <w:bCs/>
          <w:szCs w:val="24"/>
        </w:rPr>
        <w:t xml:space="preserve">dostęp </w:t>
      </w:r>
      <w:r w:rsidR="00AC66D6">
        <w:rPr>
          <w:bCs/>
          <w:szCs w:val="24"/>
        </w:rPr>
        <w:t>do niej jest znacząco ułatwiony</w:t>
      </w:r>
      <w:r w:rsidR="00B522E5">
        <w:rPr>
          <w:bCs/>
          <w:szCs w:val="24"/>
        </w:rPr>
        <w:t>.</w:t>
      </w:r>
    </w:p>
    <w:p w:rsidR="00465E5E" w:rsidRDefault="00465E5E" w:rsidP="00353F35">
      <w:pPr>
        <w:ind w:firstLine="708"/>
        <w:rPr>
          <w:bCs/>
          <w:szCs w:val="24"/>
        </w:rPr>
      </w:pPr>
    </w:p>
    <w:p w:rsidR="00465E5E" w:rsidRDefault="00465E5E" w:rsidP="00593CB8">
      <w:pPr>
        <w:pStyle w:val="Heading2"/>
      </w:pPr>
      <w:r>
        <w:t xml:space="preserve">2.x </w:t>
      </w:r>
      <w:r w:rsidR="00593CB8">
        <w:t>Metody obliczeń różnicy w poziomie ekspresji genów</w:t>
      </w:r>
    </w:p>
    <w:p w:rsidR="00593CB8" w:rsidRPr="003804B4" w:rsidRDefault="00593CB8" w:rsidP="00593CB8">
      <w:pPr>
        <w:pStyle w:val="Heading3"/>
        <w:ind w:left="0"/>
        <w:rPr>
          <w:bCs/>
        </w:rPr>
      </w:pPr>
      <w:r>
        <w:t xml:space="preserve">2.x.1 Metoda </w:t>
      </w:r>
      <w:r w:rsidRPr="00593CB8">
        <w:rPr>
          <w:bCs/>
        </w:rPr>
        <w:t>ΔΔ</w:t>
      </w:r>
      <w:r>
        <w:rPr>
          <w:bCs/>
        </w:rPr>
        <w:t>Ct</w:t>
      </w:r>
    </w:p>
    <w:p w:rsidR="00593CB8" w:rsidRDefault="003804B4" w:rsidP="00593CB8">
      <w:r>
        <w:tab/>
        <w:t>Jedną z popularniejszych metod służących do wyznaczania różnicy w ekspresji genów jest metoda komparatywna (</w:t>
      </w:r>
      <w:r w:rsidRPr="003804B4">
        <w:rPr>
          <w:b/>
          <w:bCs/>
        </w:rPr>
        <w:t>ΔΔ</w:t>
      </w:r>
      <w:r>
        <w:t xml:space="preserve">Ct). </w:t>
      </w:r>
      <w:r w:rsidR="00784F95">
        <w:t>Podejście to opiera się na stworzeniu krzywej standardowej na podstawie serii rozcieńczeń próby.</w:t>
      </w:r>
      <w:r w:rsidR="00CB3B6C">
        <w:t xml:space="preserve"> </w:t>
      </w:r>
      <w:r w:rsidR="008B3504">
        <w:t>Ważne jest, aby warunki, w których wykonuje się reakcję Real-time PCR w celu wykonania krzywej, były zbliżone do tych w reakcji dla próby badanej, a wydajności reakcji były podobne.</w:t>
      </w:r>
      <w:r w:rsidR="001A5822">
        <w:t xml:space="preserve"> Metoda ta wykorzystuje model matematyczny pozwalający na wyznaczenie różnicy pomiędzy próbą badaną a genem referencyjnym.</w:t>
      </w:r>
      <w:r w:rsidR="005345DE">
        <w:t xml:space="preserve"> W pierwszym etapie obliczeń dokonuje się normalizacji wartości Ct próby badanej względem genu referencyjnego.</w:t>
      </w:r>
      <w:r w:rsidR="00846008">
        <w:t xml:space="preserve"> </w:t>
      </w:r>
    </w:p>
    <w:p w:rsidR="00A247CA" w:rsidRDefault="00A247CA" w:rsidP="00593CB8"/>
    <w:p w:rsidR="00E2773A" w:rsidRPr="00A247CA" w:rsidRDefault="00E2773A" w:rsidP="00593CB8">
      <m:oMathPara>
        <m:oMath>
          <m:r>
            <w:rPr>
              <w:rFonts w:ascii="Cambria Math" w:hAnsi="Cambria Math"/>
            </w:rPr>
            <m:t>∆Ct=Ct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gen</m:t>
              </m:r>
            </m:e>
          </m:d>
          <m:r>
            <w:rPr>
              <w:rFonts w:ascii="Cambria Math" w:hAnsi="Cambria Math"/>
            </w:rPr>
            <m:t>-Ct(ref)</m:t>
          </m:r>
        </m:oMath>
      </m:oMathPara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1169"/>
        <w:gridCol w:w="358"/>
        <w:gridCol w:w="7271"/>
      </w:tblGrid>
      <w:tr w:rsidR="00A247CA" w:rsidTr="00A247CA">
        <w:tc>
          <w:tcPr>
            <w:tcW w:w="8798" w:type="dxa"/>
            <w:gridSpan w:val="3"/>
            <w:vAlign w:val="center"/>
          </w:tcPr>
          <w:p w:rsidR="00A247CA" w:rsidRDefault="00A247CA" w:rsidP="00A247CA">
            <w:pPr>
              <w:jc w:val="left"/>
            </w:pPr>
            <w:r>
              <w:rPr>
                <w:i/>
                <w:iCs/>
              </w:rPr>
              <w:t>gdzie:</w:t>
            </w:r>
          </w:p>
        </w:tc>
      </w:tr>
      <w:tr w:rsidR="00A247CA" w:rsidTr="00A247CA">
        <w:tc>
          <w:tcPr>
            <w:tcW w:w="1169" w:type="dxa"/>
            <w:vAlign w:val="center"/>
          </w:tcPr>
          <w:p w:rsidR="00A247CA" w:rsidRDefault="00A247CA" w:rsidP="00A247CA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∆Ct</m:t>
                </m:r>
              </m:oMath>
            </m:oMathPara>
          </w:p>
        </w:tc>
        <w:tc>
          <w:tcPr>
            <w:tcW w:w="358" w:type="dxa"/>
            <w:vAlign w:val="center"/>
          </w:tcPr>
          <w:p w:rsidR="00A247CA" w:rsidRDefault="00A247CA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A247CA" w:rsidRDefault="00A247CA" w:rsidP="00C04693">
            <w:pPr>
              <w:jc w:val="left"/>
            </w:pPr>
            <w:r>
              <w:rPr>
                <w:i/>
                <w:iCs/>
              </w:rPr>
              <w:t xml:space="preserve">znormalizowana wartość dla </w:t>
            </w:r>
            <w:r w:rsidR="009B6D98">
              <w:rPr>
                <w:i/>
                <w:iCs/>
              </w:rPr>
              <w:t xml:space="preserve">kalibratora lub </w:t>
            </w:r>
            <w:r w:rsidR="00C04693">
              <w:rPr>
                <w:i/>
                <w:iCs/>
              </w:rPr>
              <w:t>badanej próby</w:t>
            </w:r>
            <w:r>
              <w:rPr>
                <w:i/>
                <w:iCs/>
              </w:rPr>
              <w:t>,</w:t>
            </w:r>
          </w:p>
        </w:tc>
      </w:tr>
      <w:tr w:rsidR="00A247CA" w:rsidTr="00A247CA">
        <w:tc>
          <w:tcPr>
            <w:tcW w:w="1169" w:type="dxa"/>
            <w:vAlign w:val="center"/>
          </w:tcPr>
          <w:p w:rsidR="00A247CA" w:rsidRDefault="00A247CA" w:rsidP="009667D3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Ct(gen)</m:t>
                </m:r>
              </m:oMath>
            </m:oMathPara>
          </w:p>
        </w:tc>
        <w:tc>
          <w:tcPr>
            <w:tcW w:w="358" w:type="dxa"/>
            <w:vAlign w:val="center"/>
          </w:tcPr>
          <w:p w:rsidR="00A247CA" w:rsidRDefault="00A247CA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A247CA" w:rsidRDefault="00A247CA" w:rsidP="009667D3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 xml:space="preserve">wartość Ct dla </w:t>
            </w:r>
            <w:r w:rsidR="009667D3">
              <w:rPr>
                <w:i/>
                <w:iCs/>
              </w:rPr>
              <w:t>genu będącego obiektem badań</w:t>
            </w:r>
            <w:r>
              <w:rPr>
                <w:i/>
                <w:iCs/>
              </w:rPr>
              <w:t>,</w:t>
            </w:r>
          </w:p>
        </w:tc>
      </w:tr>
      <w:tr w:rsidR="00A247CA" w:rsidTr="00A247CA">
        <w:tc>
          <w:tcPr>
            <w:tcW w:w="1169" w:type="dxa"/>
            <w:vAlign w:val="center"/>
          </w:tcPr>
          <w:p w:rsidR="00A247CA" w:rsidRDefault="00A247CA" w:rsidP="009667D3">
            <w:pPr>
              <w:jc w:val="left"/>
            </w:pPr>
            <m:oMathPara>
              <m:oMath>
                <m:r>
                  <w:rPr>
                    <w:rFonts w:ascii="Cambria Math" w:hAnsi="Cambria Math"/>
                  </w:rPr>
                  <m:t>Ct(ref)</m:t>
                </m:r>
              </m:oMath>
            </m:oMathPara>
          </w:p>
        </w:tc>
        <w:tc>
          <w:tcPr>
            <w:tcW w:w="358" w:type="dxa"/>
            <w:vAlign w:val="center"/>
          </w:tcPr>
          <w:p w:rsidR="00A247CA" w:rsidRDefault="00A247CA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A247CA" w:rsidRDefault="00A247CA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wartość Ct dla genu referencyjnego.</w:t>
            </w:r>
          </w:p>
        </w:tc>
      </w:tr>
    </w:tbl>
    <w:p w:rsidR="002138FA" w:rsidRDefault="002138FA" w:rsidP="00593CB8"/>
    <w:p w:rsidR="00A247CA" w:rsidRDefault="002138FA" w:rsidP="00593CB8">
      <w:r>
        <w:t>W kolejnym etapie dokonuje się normalizacji wartości Ct każdej próby względem kalibratora według poniższego wzoru:</w:t>
      </w:r>
    </w:p>
    <w:p w:rsidR="0059461D" w:rsidRDefault="0059461D" w:rsidP="00593CB8"/>
    <w:p w:rsidR="0059461D" w:rsidRPr="0059461D" w:rsidRDefault="0059461D" w:rsidP="0059461D">
      <m:oMathPara>
        <m:oMath>
          <m:r>
            <w:rPr>
              <w:rFonts w:ascii="Cambria Math" w:hAnsi="Cambria Math"/>
            </w:rPr>
            <m:t>∆∆Ct=∆Ct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test</m:t>
              </m:r>
            </m:e>
          </m:d>
          <m:r>
            <w:rPr>
              <w:rFonts w:ascii="Cambria Math" w:hAnsi="Cambria Math"/>
            </w:rPr>
            <m:t>-∆Ct(cal)</m:t>
          </m:r>
        </m:oMath>
      </m:oMathPara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1228"/>
        <w:gridCol w:w="358"/>
        <w:gridCol w:w="7212"/>
      </w:tblGrid>
      <w:tr w:rsidR="0059461D" w:rsidTr="00E434B9">
        <w:tc>
          <w:tcPr>
            <w:tcW w:w="8798" w:type="dxa"/>
            <w:gridSpan w:val="3"/>
            <w:vAlign w:val="center"/>
          </w:tcPr>
          <w:p w:rsidR="0059461D" w:rsidRDefault="0059461D" w:rsidP="00E434B9">
            <w:pPr>
              <w:jc w:val="left"/>
            </w:pPr>
            <w:r>
              <w:rPr>
                <w:i/>
                <w:iCs/>
              </w:rPr>
              <w:lastRenderedPageBreak/>
              <w:t>gdzie:</w:t>
            </w:r>
          </w:p>
        </w:tc>
      </w:tr>
      <w:tr w:rsidR="0059461D" w:rsidTr="00E434B9">
        <w:tc>
          <w:tcPr>
            <w:tcW w:w="1169" w:type="dxa"/>
            <w:vAlign w:val="center"/>
          </w:tcPr>
          <w:p w:rsidR="0059461D" w:rsidRDefault="0059461D" w:rsidP="00E434B9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∆∆Ct</m:t>
                </m:r>
              </m:oMath>
            </m:oMathPara>
          </w:p>
        </w:tc>
        <w:tc>
          <w:tcPr>
            <w:tcW w:w="358" w:type="dxa"/>
            <w:vAlign w:val="center"/>
          </w:tcPr>
          <w:p w:rsidR="0059461D" w:rsidRDefault="0059461D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59461D" w:rsidRDefault="0059461D" w:rsidP="0059461D">
            <w:pPr>
              <w:jc w:val="left"/>
            </w:pPr>
            <w:r>
              <w:rPr>
                <w:i/>
                <w:iCs/>
              </w:rPr>
              <w:t xml:space="preserve">różnica wartości </w:t>
            </w:r>
            <m:oMath>
              <m:r>
                <w:rPr>
                  <w:rFonts w:ascii="Cambria Math" w:hAnsi="Cambria Math"/>
                </w:rPr>
                <m:t>∆</m:t>
              </m:r>
            </m:oMath>
            <w:r>
              <w:rPr>
                <w:i/>
                <w:iCs/>
              </w:rPr>
              <w:t>Ct badanej próby i kalibratora,</w:t>
            </w:r>
          </w:p>
        </w:tc>
      </w:tr>
      <w:tr w:rsidR="0059461D" w:rsidTr="00E434B9">
        <w:tc>
          <w:tcPr>
            <w:tcW w:w="1169" w:type="dxa"/>
            <w:vAlign w:val="center"/>
          </w:tcPr>
          <w:p w:rsidR="0059461D" w:rsidRDefault="0059461D" w:rsidP="00E434B9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∆Ct</m:t>
                </m:r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cal</m:t>
                    </m:r>
                  </m:e>
                </m:d>
              </m:oMath>
            </m:oMathPara>
          </w:p>
        </w:tc>
        <w:tc>
          <w:tcPr>
            <w:tcW w:w="358" w:type="dxa"/>
            <w:vAlign w:val="center"/>
          </w:tcPr>
          <w:p w:rsidR="0059461D" w:rsidRDefault="0059461D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59461D" w:rsidRDefault="0059461D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 xml:space="preserve">wartość </w:t>
            </w:r>
            <m:oMath>
              <m:r>
                <w:rPr>
                  <w:rFonts w:ascii="Cambria Math" w:hAnsi="Cambria Math"/>
                </w:rPr>
                <m:t>∆</m:t>
              </m:r>
            </m:oMath>
            <w:r>
              <w:rPr>
                <w:i/>
                <w:iCs/>
              </w:rPr>
              <w:t>Ct dla kalibratora,</w:t>
            </w:r>
          </w:p>
        </w:tc>
      </w:tr>
      <w:tr w:rsidR="0059461D" w:rsidTr="00E434B9">
        <w:tc>
          <w:tcPr>
            <w:tcW w:w="1169" w:type="dxa"/>
            <w:vAlign w:val="center"/>
          </w:tcPr>
          <w:p w:rsidR="0059461D" w:rsidRDefault="0059461D" w:rsidP="00E434B9">
            <w:pPr>
              <w:jc w:val="left"/>
            </w:pPr>
            <m:oMathPara>
              <m:oMath>
                <m:r>
                  <w:rPr>
                    <w:rFonts w:ascii="Cambria Math" w:hAnsi="Cambria Math"/>
                  </w:rPr>
                  <m:t>∆Ct(test)</m:t>
                </m:r>
              </m:oMath>
            </m:oMathPara>
          </w:p>
        </w:tc>
        <w:tc>
          <w:tcPr>
            <w:tcW w:w="358" w:type="dxa"/>
            <w:vAlign w:val="center"/>
          </w:tcPr>
          <w:p w:rsidR="0059461D" w:rsidRDefault="0059461D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59461D" w:rsidRDefault="0059461D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 xml:space="preserve">wartość </w:t>
            </w:r>
            <m:oMath>
              <m:r>
                <w:rPr>
                  <w:rFonts w:ascii="Cambria Math" w:hAnsi="Cambria Math"/>
                </w:rPr>
                <m:t>∆</m:t>
              </m:r>
            </m:oMath>
            <w:r>
              <w:rPr>
                <w:i/>
                <w:iCs/>
              </w:rPr>
              <w:t>Ct dla badanej próby.</w:t>
            </w:r>
          </w:p>
        </w:tc>
      </w:tr>
    </w:tbl>
    <w:p w:rsidR="0059461D" w:rsidRDefault="0059461D" w:rsidP="0059461D"/>
    <w:p w:rsidR="0059461D" w:rsidRDefault="0059461D" w:rsidP="0059461D">
      <w:r>
        <w:t xml:space="preserve">W ostatnim etapie obliczeń wyznacza się </w:t>
      </w:r>
      <w:r w:rsidR="00E776B5">
        <w:t xml:space="preserve">stosunek </w:t>
      </w:r>
      <w:r>
        <w:t>ekspresji badanej próby względem kalibratora</w:t>
      </w:r>
      <w:r w:rsidR="00DD3287">
        <w:t xml:space="preserve"> [2]</w:t>
      </w:r>
      <w:r>
        <w:t>:</w:t>
      </w:r>
    </w:p>
    <w:p w:rsidR="0059461D" w:rsidRDefault="0059461D" w:rsidP="0059461D"/>
    <w:p w:rsidR="0059461D" w:rsidRPr="00E776B5" w:rsidRDefault="0059461D" w:rsidP="0059461D">
      <m:oMathPara>
        <m:oMath>
          <m:r>
            <w:rPr>
              <w:rFonts w:ascii="Cambria Math" w:hAnsi="Cambria Math"/>
            </w:rPr>
            <m:t xml:space="preserve">Różnica=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2</m:t>
              </m:r>
            </m:e>
            <m:sup>
              <m:r>
                <w:rPr>
                  <w:rFonts w:ascii="Cambria Math" w:hAnsi="Cambria Math"/>
                </w:rPr>
                <m:t>-∆∆Ct</m:t>
              </m:r>
            </m:sup>
          </m:sSup>
        </m:oMath>
      </m:oMathPara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1228"/>
        <w:gridCol w:w="358"/>
        <w:gridCol w:w="7212"/>
      </w:tblGrid>
      <w:tr w:rsidR="00E776B5" w:rsidTr="00E434B9">
        <w:tc>
          <w:tcPr>
            <w:tcW w:w="8798" w:type="dxa"/>
            <w:gridSpan w:val="3"/>
            <w:vAlign w:val="center"/>
          </w:tcPr>
          <w:p w:rsidR="00E776B5" w:rsidRDefault="00E776B5" w:rsidP="00E434B9">
            <w:pPr>
              <w:jc w:val="left"/>
            </w:pPr>
            <w:r>
              <w:rPr>
                <w:i/>
                <w:iCs/>
              </w:rPr>
              <w:t>gdzie:</w:t>
            </w:r>
          </w:p>
        </w:tc>
      </w:tr>
      <w:tr w:rsidR="00E776B5" w:rsidTr="00E776B5">
        <w:tc>
          <w:tcPr>
            <w:tcW w:w="1228" w:type="dxa"/>
            <w:vAlign w:val="center"/>
          </w:tcPr>
          <w:p w:rsidR="00E776B5" w:rsidRDefault="00E776B5" w:rsidP="00E434B9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∆∆Ct</m:t>
                </m:r>
              </m:oMath>
            </m:oMathPara>
          </w:p>
        </w:tc>
        <w:tc>
          <w:tcPr>
            <w:tcW w:w="358" w:type="dxa"/>
            <w:vAlign w:val="center"/>
          </w:tcPr>
          <w:p w:rsidR="00E776B5" w:rsidRDefault="00E776B5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12" w:type="dxa"/>
            <w:vAlign w:val="center"/>
          </w:tcPr>
          <w:p w:rsidR="00E776B5" w:rsidRDefault="00E776B5" w:rsidP="00E434B9">
            <w:pPr>
              <w:jc w:val="left"/>
            </w:pPr>
            <w:r>
              <w:rPr>
                <w:i/>
                <w:iCs/>
              </w:rPr>
              <w:t xml:space="preserve">różnica wartości </w:t>
            </w:r>
            <m:oMath>
              <m:r>
                <w:rPr>
                  <w:rFonts w:ascii="Cambria Math" w:hAnsi="Cambria Math"/>
                </w:rPr>
                <m:t>∆</m:t>
              </m:r>
            </m:oMath>
            <w:r>
              <w:rPr>
                <w:i/>
                <w:iCs/>
              </w:rPr>
              <w:t>Ct badanej próby i kalibratora.</w:t>
            </w:r>
          </w:p>
        </w:tc>
      </w:tr>
    </w:tbl>
    <w:p w:rsidR="0059461D" w:rsidRPr="00593CB8" w:rsidRDefault="0059461D" w:rsidP="00593CB8"/>
    <w:p w:rsidR="00353F35" w:rsidRPr="00C25AF1" w:rsidRDefault="00324911" w:rsidP="00593CB8">
      <w:pPr>
        <w:pStyle w:val="Heading3"/>
        <w:ind w:left="0"/>
      </w:pPr>
      <w:r>
        <w:t>2</w:t>
      </w:r>
      <w:r w:rsidR="00353F35">
        <w:t>.</w:t>
      </w:r>
      <w:r>
        <w:t>x</w:t>
      </w:r>
      <w:r w:rsidR="00593CB8">
        <w:t>.2</w:t>
      </w:r>
      <w:r w:rsidR="00353F35">
        <w:t xml:space="preserve"> Metoda Pfaffl</w:t>
      </w:r>
    </w:p>
    <w:p w:rsidR="00353F35" w:rsidRDefault="003804B4" w:rsidP="004150E1">
      <w:pPr>
        <w:ind w:firstLine="708"/>
      </w:pPr>
      <w:r>
        <w:t>Kolejną</w:t>
      </w:r>
      <w:r w:rsidR="00353F35">
        <w:t xml:space="preserve"> z metod obliczeniowych wykorzystywanych we względnej analizie ekspresji genów jest metoda Pfaffl. Jej zastosowanie wykorzystuje efektywność przyłączania starterów w obliczeniach, przez co nie ma konieczności osiągnięcia wysokich wydajności w rzeczywistym eksperymencie. Część etapów obliczeń tej metody powtarza się w innych sposobach obliczeń, jednakże główną różnicą jest właśnie wykorzystanie rzeczywistej wydajności. Aby wyznaczyć zmiany w ekspresji genów potrzebne są 4 wartości Ct, a mianowicie wartości testowe i kontrolne dla genu będącego obiektem badań i genu referencyjnego. W pierwszej części obliczeń dochodzi do normalizacji wartości Ct kalibratora względem wartości Ct próby testowej zgodnie z poniższym wzorem:</w:t>
      </w:r>
    </w:p>
    <w:p w:rsidR="00353F35" w:rsidRDefault="00353F35" w:rsidP="00353F35">
      <w:r>
        <w:t xml:space="preserve"> </w:t>
      </w:r>
    </w:p>
    <w:p w:rsidR="00353F35" w:rsidRPr="00181BC2" w:rsidRDefault="00353F35" w:rsidP="00353F35">
      <m:oMathPara>
        <m:oMath>
          <m:r>
            <w:rPr>
              <w:rFonts w:ascii="Cambria Math" w:hAnsi="Cambria Math"/>
            </w:rPr>
            <m:t>∆Ct=Ct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cal</m:t>
              </m:r>
            </m:e>
          </m:d>
          <m:r>
            <w:rPr>
              <w:rFonts w:ascii="Cambria Math" w:hAnsi="Cambria Math"/>
            </w:rPr>
            <m:t>-Ct(test)</m:t>
          </m:r>
        </m:oMath>
      </m:oMathPara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1169"/>
        <w:gridCol w:w="358"/>
        <w:gridCol w:w="7271"/>
      </w:tblGrid>
      <w:tr w:rsidR="00353F35" w:rsidTr="00A247CA">
        <w:tc>
          <w:tcPr>
            <w:tcW w:w="8798" w:type="dxa"/>
            <w:gridSpan w:val="3"/>
            <w:vAlign w:val="center"/>
          </w:tcPr>
          <w:p w:rsidR="00353F35" w:rsidRDefault="00353F35" w:rsidP="00A247CA">
            <w:pPr>
              <w:jc w:val="left"/>
            </w:pPr>
            <w:r>
              <w:rPr>
                <w:i/>
                <w:iCs/>
              </w:rPr>
              <w:t>gdzie:</w:t>
            </w:r>
          </w:p>
        </w:tc>
      </w:tr>
      <w:tr w:rsidR="00353F35" w:rsidTr="00A247CA">
        <w:tc>
          <w:tcPr>
            <w:tcW w:w="1169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∆Ct</m:t>
                </m:r>
              </m:oMath>
            </m:oMathPara>
          </w:p>
        </w:tc>
        <w:tc>
          <w:tcPr>
            <w:tcW w:w="358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353F35" w:rsidRDefault="00353F35" w:rsidP="00A247CA">
            <w:pPr>
              <w:jc w:val="left"/>
            </w:pPr>
            <w:r>
              <w:rPr>
                <w:i/>
                <w:iCs/>
              </w:rPr>
              <w:t>znormalizowana wartość dla genu docelowego lub referencyjnego,</w:t>
            </w:r>
          </w:p>
        </w:tc>
      </w:tr>
      <w:tr w:rsidR="00353F35" w:rsidTr="00A247CA">
        <w:tc>
          <w:tcPr>
            <w:tcW w:w="1169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Ct</m:t>
                </m:r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cal</m:t>
                    </m:r>
                  </m:e>
                </m:d>
              </m:oMath>
            </m:oMathPara>
          </w:p>
        </w:tc>
        <w:tc>
          <w:tcPr>
            <w:tcW w:w="358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wartość Ct dla kalibratora,</w:t>
            </w:r>
          </w:p>
        </w:tc>
      </w:tr>
      <w:tr w:rsidR="00353F35" w:rsidTr="00A247CA">
        <w:tc>
          <w:tcPr>
            <w:tcW w:w="1169" w:type="dxa"/>
            <w:vAlign w:val="center"/>
          </w:tcPr>
          <w:p w:rsidR="00353F35" w:rsidRDefault="00353F35" w:rsidP="00A247CA">
            <w:pPr>
              <w:jc w:val="left"/>
            </w:pPr>
            <m:oMathPara>
              <m:oMath>
                <m:r>
                  <w:rPr>
                    <w:rFonts w:ascii="Cambria Math" w:hAnsi="Cambria Math"/>
                  </w:rPr>
                  <m:t>Ct(test)</m:t>
                </m:r>
              </m:oMath>
            </m:oMathPara>
          </w:p>
        </w:tc>
        <w:tc>
          <w:tcPr>
            <w:tcW w:w="358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353F35" w:rsidRDefault="009B6D98" w:rsidP="009B6D98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wartość Ct dla</w:t>
            </w:r>
            <w:r w:rsidR="00353F35">
              <w:rPr>
                <w:i/>
                <w:iCs/>
              </w:rPr>
              <w:t xml:space="preserve"> </w:t>
            </w:r>
            <w:r>
              <w:rPr>
                <w:i/>
                <w:iCs/>
              </w:rPr>
              <w:t>badanej próby</w:t>
            </w:r>
            <w:r w:rsidR="00353F35">
              <w:rPr>
                <w:i/>
                <w:iCs/>
              </w:rPr>
              <w:t>.</w:t>
            </w:r>
          </w:p>
        </w:tc>
      </w:tr>
    </w:tbl>
    <w:p w:rsidR="00353F35" w:rsidRDefault="00353F35" w:rsidP="00353F35"/>
    <w:p w:rsidR="00353F35" w:rsidRDefault="00353F35" w:rsidP="00353F35">
      <w:r>
        <w:t>W drugim etapie wyznacza się różnicę w ekspresji genów wykorzystując poniższą formułę:</w:t>
      </w:r>
    </w:p>
    <w:p w:rsidR="00353F35" w:rsidRDefault="00353F35" w:rsidP="00353F35"/>
    <w:p w:rsidR="00353F35" w:rsidRDefault="00353F35" w:rsidP="00353F35">
      <m:oMathPara>
        <m:oMath>
          <m:r>
            <w:rPr>
              <w:rFonts w:ascii="Cambria Math" w:hAnsi="Cambria Math"/>
            </w:rPr>
            <m:t xml:space="preserve">Różnica= 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E(gen)</m:t>
                  </m:r>
                </m:e>
                <m:sup>
                  <m:r>
                    <w:rPr>
                      <w:rFonts w:ascii="Cambria Math" w:hAnsi="Cambria Math"/>
                    </w:rPr>
                    <m:t>∆Ct(gen)</m:t>
                  </m:r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E(ref)</m:t>
                  </m:r>
                </m:e>
                <m:sup>
                  <m:r>
                    <w:rPr>
                      <w:rFonts w:ascii="Cambria Math" w:hAnsi="Cambria Math"/>
                    </w:rPr>
                    <m:t>∆Ct(ref)</m:t>
                  </m:r>
                </m:sup>
              </m:sSup>
            </m:den>
          </m:f>
        </m:oMath>
      </m:oMathPara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1210"/>
        <w:gridCol w:w="358"/>
        <w:gridCol w:w="7230"/>
      </w:tblGrid>
      <w:tr w:rsidR="00353F35" w:rsidTr="00A247CA">
        <w:tc>
          <w:tcPr>
            <w:tcW w:w="8798" w:type="dxa"/>
            <w:gridSpan w:val="3"/>
            <w:vAlign w:val="center"/>
          </w:tcPr>
          <w:p w:rsidR="00353F35" w:rsidRDefault="00353F35" w:rsidP="00A247CA">
            <w:pPr>
              <w:jc w:val="left"/>
            </w:pPr>
            <w:r>
              <w:rPr>
                <w:i/>
                <w:iCs/>
              </w:rPr>
              <w:lastRenderedPageBreak/>
              <w:t>gdzie:</w:t>
            </w:r>
          </w:p>
        </w:tc>
      </w:tr>
      <w:tr w:rsidR="00353F35" w:rsidTr="00A247CA">
        <w:tc>
          <w:tcPr>
            <w:tcW w:w="1210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E(gen)</m:t>
                </m:r>
              </m:oMath>
            </m:oMathPara>
          </w:p>
        </w:tc>
        <w:tc>
          <w:tcPr>
            <w:tcW w:w="358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30" w:type="dxa"/>
            <w:vAlign w:val="center"/>
          </w:tcPr>
          <w:p w:rsidR="00353F35" w:rsidRDefault="00353F35" w:rsidP="00A247CA">
            <w:pPr>
              <w:jc w:val="left"/>
            </w:pPr>
            <w:r>
              <w:rPr>
                <w:i/>
                <w:iCs/>
              </w:rPr>
              <w:t>wydajność przyłączania starterów dla genu będącego obiektem badań,</w:t>
            </w:r>
          </w:p>
        </w:tc>
      </w:tr>
      <w:tr w:rsidR="00353F35" w:rsidTr="00A247CA">
        <w:tc>
          <w:tcPr>
            <w:tcW w:w="1210" w:type="dxa"/>
            <w:vAlign w:val="center"/>
          </w:tcPr>
          <w:p w:rsidR="00353F35" w:rsidRDefault="00353F35" w:rsidP="00A247CA">
            <w:pPr>
              <w:jc w:val="left"/>
            </w:pPr>
            <m:oMathPara>
              <m:oMath>
                <m:r>
                  <w:rPr>
                    <w:rFonts w:ascii="Cambria Math" w:hAnsi="Cambria Math"/>
                  </w:rPr>
                  <m:t>E(ref)</m:t>
                </m:r>
              </m:oMath>
            </m:oMathPara>
          </w:p>
        </w:tc>
        <w:tc>
          <w:tcPr>
            <w:tcW w:w="358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30" w:type="dxa"/>
            <w:vAlign w:val="center"/>
          </w:tcPr>
          <w:p w:rsidR="00353F35" w:rsidRDefault="00353F35" w:rsidP="00A247CA">
            <w:pPr>
              <w:jc w:val="left"/>
            </w:pPr>
            <w:r>
              <w:rPr>
                <w:i/>
                <w:iCs/>
              </w:rPr>
              <w:t>wydajność przyłączania starterów dla genu referencyjnego,</w:t>
            </w:r>
          </w:p>
        </w:tc>
      </w:tr>
      <w:tr w:rsidR="00353F35" w:rsidTr="00A247CA">
        <w:tc>
          <w:tcPr>
            <w:tcW w:w="1210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∆Ct</m:t>
                </m:r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gen</m:t>
                    </m:r>
                  </m:e>
                </m:d>
              </m:oMath>
            </m:oMathPara>
          </w:p>
        </w:tc>
        <w:tc>
          <w:tcPr>
            <w:tcW w:w="358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30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 xml:space="preserve">wartość </w:t>
            </w:r>
            <m:oMath>
              <m:r>
                <w:rPr>
                  <w:rFonts w:ascii="Cambria Math" w:hAnsi="Cambria Math"/>
                </w:rPr>
                <m:t>∆</m:t>
              </m:r>
            </m:oMath>
            <w:r>
              <w:rPr>
                <w:i/>
                <w:iCs/>
              </w:rPr>
              <w:t>Ct dla genu będącego obiektem badań,</w:t>
            </w:r>
          </w:p>
        </w:tc>
      </w:tr>
      <w:tr w:rsidR="00353F35" w:rsidTr="00A247CA">
        <w:tc>
          <w:tcPr>
            <w:tcW w:w="1210" w:type="dxa"/>
            <w:vAlign w:val="center"/>
          </w:tcPr>
          <w:p w:rsidR="00353F35" w:rsidRDefault="00353F35" w:rsidP="00A247CA">
            <w:pPr>
              <w:jc w:val="left"/>
            </w:pPr>
            <m:oMathPara>
              <m:oMath>
                <m:r>
                  <w:rPr>
                    <w:rFonts w:ascii="Cambria Math" w:hAnsi="Cambria Math"/>
                  </w:rPr>
                  <m:t>∆Ct(ref)</m:t>
                </m:r>
              </m:oMath>
            </m:oMathPara>
          </w:p>
        </w:tc>
        <w:tc>
          <w:tcPr>
            <w:tcW w:w="358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30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 xml:space="preserve">wartość </w:t>
            </w:r>
            <m:oMath>
              <m:r>
                <w:rPr>
                  <w:rFonts w:ascii="Cambria Math" w:hAnsi="Cambria Math"/>
                </w:rPr>
                <m:t>∆</m:t>
              </m:r>
            </m:oMath>
            <w:r>
              <w:rPr>
                <w:i/>
                <w:iCs/>
              </w:rPr>
              <w:t>Ct dla genu referencyjnego.</w:t>
            </w:r>
          </w:p>
        </w:tc>
      </w:tr>
    </w:tbl>
    <w:p w:rsidR="00353F35" w:rsidRDefault="00353F35" w:rsidP="00353F35"/>
    <w:p w:rsidR="00353F35" w:rsidRDefault="00353F35" w:rsidP="00353F35">
      <w:r>
        <w:t xml:space="preserve">Wynikiem zastosowania tej metody jest liczba </w:t>
      </w:r>
      <w:r w:rsidRPr="00C945BF">
        <w:t>przedstawia</w:t>
      </w:r>
      <w:r>
        <w:t>jąca</w:t>
      </w:r>
      <w:r w:rsidRPr="00C945BF">
        <w:t xml:space="preserve"> ilu-krotnie zmieniła się ekspresja genu testowego względem genu referencyjnego</w:t>
      </w:r>
      <w:r>
        <w:t xml:space="preserve"> [4]</w:t>
      </w:r>
      <w:r w:rsidRPr="00C945BF">
        <w:t>.</w:t>
      </w:r>
    </w:p>
    <w:p w:rsidR="00FF0266" w:rsidRDefault="00FF0266" w:rsidP="00353F35"/>
    <w:p w:rsidR="00FF0266" w:rsidRDefault="00FF0266" w:rsidP="00FF0266">
      <w:pPr>
        <w:pStyle w:val="Heading2"/>
      </w:pPr>
      <w:r>
        <w:t>2.x Wyznaczanie wydajności reakcji Real-time PCR</w:t>
      </w:r>
    </w:p>
    <w:p w:rsidR="00FF0266" w:rsidRDefault="001F15BE" w:rsidP="00353F35">
      <w:r>
        <w:tab/>
      </w:r>
      <w:r w:rsidR="00650FF7">
        <w:t>Wydajność reakcji PCR zależy w głównym stopniu od jej warunków oraz</w:t>
      </w:r>
      <w:r w:rsidR="004861A7">
        <w:t xml:space="preserve"> stężenia substratów, dlatego stężenie i jakość matrycy, starterów i chlorku magnezu w mieszaninie ma znaczny wpływ na przebieg procesu</w:t>
      </w:r>
      <w:r w:rsidR="00E4484C">
        <w:t xml:space="preserve"> i powinny być ściśle </w:t>
      </w:r>
      <w:r w:rsidR="005A67A7">
        <w:t>kontrolowane</w:t>
      </w:r>
      <w:r w:rsidR="00D32437">
        <w:t>. Pozwala to na uzyskanie wysokiej dokładności w eksperymencie oraz zapewnia jego wysoką powtarzalność.</w:t>
      </w:r>
      <w:r w:rsidR="00C110AF">
        <w:t xml:space="preserve"> </w:t>
      </w:r>
      <w:r w:rsidR="008C33A5">
        <w:t>Istnieją różne</w:t>
      </w:r>
      <w:r w:rsidR="002478DB">
        <w:t xml:space="preserve"> metody</w:t>
      </w:r>
      <w:r w:rsidR="008C33A5">
        <w:t xml:space="preserve"> wyznaczania wydajności reakcji - istnieją</w:t>
      </w:r>
      <w:r w:rsidR="002478DB">
        <w:t xml:space="preserve"> metod</w:t>
      </w:r>
      <w:r w:rsidR="008C33A5">
        <w:t>y</w:t>
      </w:r>
      <w:r w:rsidR="002478DB">
        <w:t xml:space="preserve"> oparta na krzywej kalibracyjnej i metod</w:t>
      </w:r>
      <w:r w:rsidR="008C33A5">
        <w:t>y</w:t>
      </w:r>
      <w:r w:rsidR="002478DB">
        <w:t xml:space="preserve"> wykorzystując</w:t>
      </w:r>
      <w:r w:rsidR="008C33A5">
        <w:t>e</w:t>
      </w:r>
      <w:r w:rsidR="002478DB">
        <w:t xml:space="preserve"> </w:t>
      </w:r>
      <w:r w:rsidR="00F45C86">
        <w:t>krzywą przyrostu fluorescencji.</w:t>
      </w:r>
    </w:p>
    <w:p w:rsidR="00F45C86" w:rsidRDefault="00F45C86" w:rsidP="00353F35"/>
    <w:p w:rsidR="00F45C86" w:rsidRDefault="00F45C86" w:rsidP="00353F35">
      <w:r>
        <w:tab/>
      </w:r>
      <w:r w:rsidR="002B503D">
        <w:t>W celu wyznaczenia krzywej kalibracyjnej wydajności wykorzystuje się podstawowe równania charakteryzujące kinetykę reakcji PCR.</w:t>
      </w:r>
      <w:r w:rsidR="001B2F6E">
        <w:t xml:space="preserve"> Przy założeniu, iż wydajność reakcji jest stała, istnieje możliwość określenia ilości </w:t>
      </w:r>
      <w:r w:rsidR="00576862">
        <w:t>produktu</w:t>
      </w:r>
      <w:r w:rsidR="001B2F6E">
        <w:t xml:space="preserve"> w </w:t>
      </w:r>
      <w:r w:rsidR="00576862">
        <w:t>każdym z cykli</w:t>
      </w:r>
      <w:r w:rsidR="001B2F6E">
        <w:t>, zgodnie z poniższym wzorem:</w:t>
      </w:r>
    </w:p>
    <w:p w:rsidR="00143EB1" w:rsidRDefault="00143EB1" w:rsidP="00353F35"/>
    <w:p w:rsidR="00143EB1" w:rsidRDefault="00A94F9E" w:rsidP="00353F35">
      <m:oMathPara>
        <m:oMath>
          <m:r>
            <m:rPr>
              <m:sty m:val="p"/>
            </m:rPr>
            <w:rPr>
              <w:rFonts w:ascii="Cambria Math" w:hAnsi="Cambria Math"/>
            </w:rPr>
            <m:t xml:space="preserve">Nc = </m:t>
          </m:r>
          <m:sSup>
            <m:sSupPr>
              <m:ctrlPr>
                <w:rPr>
                  <w:rFonts w:ascii="Cambria Math" w:hAnsi="Cambria Math"/>
                </w:rPr>
              </m:ctrlPr>
            </m:sSupPr>
            <m:e>
              <m:r>
                <m:rPr>
                  <m:nor/>
                </m:rPr>
                <w:rPr>
                  <w:rFonts w:ascii="Cambria Math" w:hAnsi="Cambria Math"/>
                </w:rPr>
                <m:t>No</m:t>
              </m:r>
              <m:r>
                <m:rPr>
                  <m:sty m:val="p"/>
                </m:rPr>
                <w:rPr>
                  <w:rFonts w:ascii="Cambria Math" w:hAnsi="Cambria Math"/>
                </w:rPr>
                <m:t xml:space="preserve"> </m:t>
              </m:r>
              <m:d>
                <m:dPr>
                  <m:ctrlPr>
                    <w:rPr>
                      <w:rFonts w:ascii="Cambria Math" w:hAnsi="Cambria Math"/>
                    </w:rPr>
                  </m:ctrlPr>
                </m:d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E+1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n</m:t>
              </m:r>
            </m:sup>
          </m:sSup>
        </m:oMath>
      </m:oMathPara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1169"/>
        <w:gridCol w:w="358"/>
        <w:gridCol w:w="7271"/>
      </w:tblGrid>
      <w:tr w:rsidR="00576862" w:rsidTr="00E434B9">
        <w:tc>
          <w:tcPr>
            <w:tcW w:w="8798" w:type="dxa"/>
            <w:gridSpan w:val="3"/>
            <w:vAlign w:val="center"/>
          </w:tcPr>
          <w:p w:rsidR="00576862" w:rsidRDefault="00576862" w:rsidP="00E434B9">
            <w:pPr>
              <w:jc w:val="left"/>
            </w:pPr>
            <w:r>
              <w:rPr>
                <w:i/>
                <w:iCs/>
              </w:rPr>
              <w:t>gdzie:</w:t>
            </w:r>
          </w:p>
        </w:tc>
      </w:tr>
      <w:tr w:rsidR="00576862" w:rsidTr="00E434B9">
        <w:tc>
          <w:tcPr>
            <w:tcW w:w="1169" w:type="dxa"/>
            <w:vAlign w:val="center"/>
          </w:tcPr>
          <w:p w:rsidR="00576862" w:rsidRDefault="00576862" w:rsidP="00E434B9">
            <w:pPr>
              <w:jc w:val="left"/>
              <w:rPr>
                <w:i/>
                <w:iCs/>
              </w:rPr>
            </w:pPr>
            <m:oMathPara>
              <m:oMath>
                <m:r>
                  <m:rPr>
                    <m:sty m:val="p"/>
                  </m:rPr>
                  <w:rPr>
                    <w:rFonts w:ascii="Cambria Math" w:hAnsi="Cambria Math"/>
                  </w:rPr>
                  <m:t>Nc</m:t>
                </m:r>
              </m:oMath>
            </m:oMathPara>
          </w:p>
        </w:tc>
        <w:tc>
          <w:tcPr>
            <w:tcW w:w="358" w:type="dxa"/>
            <w:vAlign w:val="center"/>
          </w:tcPr>
          <w:p w:rsidR="00576862" w:rsidRDefault="00576862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576862" w:rsidRDefault="00576862" w:rsidP="00576862">
            <w:pPr>
              <w:jc w:val="left"/>
            </w:pPr>
            <w:r>
              <w:rPr>
                <w:i/>
                <w:iCs/>
              </w:rPr>
              <w:t>ilość produktu,</w:t>
            </w:r>
          </w:p>
        </w:tc>
      </w:tr>
      <w:tr w:rsidR="00576862" w:rsidTr="00E434B9">
        <w:tc>
          <w:tcPr>
            <w:tcW w:w="1169" w:type="dxa"/>
            <w:vAlign w:val="center"/>
          </w:tcPr>
          <w:p w:rsidR="00576862" w:rsidRDefault="00576862" w:rsidP="00E434B9">
            <w:pPr>
              <w:jc w:val="left"/>
              <w:rPr>
                <w:i/>
                <w:iCs/>
              </w:rPr>
            </w:pPr>
            <m:oMathPara>
              <m:oMath>
                <m:r>
                  <m:rPr>
                    <m:nor/>
                  </m:rPr>
                  <w:rPr>
                    <w:rFonts w:ascii="Cambria Math" w:hAnsi="Cambria Math"/>
                  </w:rPr>
                  <m:t>No</m:t>
                </m:r>
              </m:oMath>
            </m:oMathPara>
          </w:p>
        </w:tc>
        <w:tc>
          <w:tcPr>
            <w:tcW w:w="358" w:type="dxa"/>
            <w:vAlign w:val="center"/>
          </w:tcPr>
          <w:p w:rsidR="00576862" w:rsidRDefault="00576862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576862" w:rsidRDefault="00576862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początkowa ilość matrycy,</w:t>
            </w:r>
          </w:p>
        </w:tc>
      </w:tr>
      <w:tr w:rsidR="00576862" w:rsidTr="00E434B9">
        <w:tc>
          <w:tcPr>
            <w:tcW w:w="1169" w:type="dxa"/>
            <w:vAlign w:val="center"/>
          </w:tcPr>
          <w:p w:rsidR="00576862" w:rsidRDefault="00576862" w:rsidP="00E434B9">
            <w:pPr>
              <w:jc w:val="left"/>
            </w:pPr>
            <m:oMathPara>
              <m:oMath>
                <m:r>
                  <w:rPr>
                    <w:rFonts w:ascii="Cambria Math" w:hAnsi="Cambria Math"/>
                  </w:rPr>
                  <m:t>E</m:t>
                </m:r>
              </m:oMath>
            </m:oMathPara>
          </w:p>
        </w:tc>
        <w:tc>
          <w:tcPr>
            <w:tcW w:w="358" w:type="dxa"/>
            <w:vAlign w:val="center"/>
          </w:tcPr>
          <w:p w:rsidR="00576862" w:rsidRDefault="00576862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576862" w:rsidRDefault="00576862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wydajność reakcji,</w:t>
            </w:r>
          </w:p>
        </w:tc>
      </w:tr>
      <w:tr w:rsidR="00576862" w:rsidTr="00E434B9">
        <w:tc>
          <w:tcPr>
            <w:tcW w:w="1169" w:type="dxa"/>
            <w:vAlign w:val="center"/>
          </w:tcPr>
          <w:p w:rsidR="00576862" w:rsidRDefault="00576862" w:rsidP="00576862">
            <w:pPr>
              <w:jc w:val="center"/>
              <w:rPr>
                <w:i/>
              </w:rPr>
            </w:pPr>
            <w:r>
              <w:rPr>
                <w:i/>
              </w:rPr>
              <w:t>n</w:t>
            </w:r>
          </w:p>
        </w:tc>
        <w:tc>
          <w:tcPr>
            <w:tcW w:w="358" w:type="dxa"/>
            <w:vAlign w:val="center"/>
          </w:tcPr>
          <w:p w:rsidR="00576862" w:rsidRDefault="00576862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576862" w:rsidRDefault="005E77A4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ilość przeprowadzonych cykli</w:t>
            </w:r>
            <w:r w:rsidR="00576862">
              <w:rPr>
                <w:i/>
                <w:iCs/>
              </w:rPr>
              <w:t>.</w:t>
            </w:r>
          </w:p>
        </w:tc>
      </w:tr>
    </w:tbl>
    <w:p w:rsidR="002478DB" w:rsidRDefault="002478DB" w:rsidP="00353F35"/>
    <w:p w:rsidR="00143EB1" w:rsidRDefault="00143EB1" w:rsidP="00353F35">
      <w:r>
        <w:t>Po zastosowaniu odpowiedni</w:t>
      </w:r>
      <w:r w:rsidR="00064509">
        <w:t>ego</w:t>
      </w:r>
      <w:r>
        <w:t xml:space="preserve"> przekształce</w:t>
      </w:r>
      <w:r w:rsidR="00064509">
        <w:t>nia</w:t>
      </w:r>
      <w:r>
        <w:t xml:space="preserve"> możliwe jest wyznaczenie początkowej ilości matrycy:</w:t>
      </w:r>
    </w:p>
    <w:p w:rsidR="00143EB1" w:rsidRDefault="00143EB1" w:rsidP="00353F35">
      <m:oMathPara>
        <m:oMath>
          <m:r>
            <w:rPr>
              <w:rFonts w:ascii="Cambria Math" w:hAnsi="Cambria Math"/>
            </w:rPr>
            <m:t xml:space="preserve">No= 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Nc</m:t>
              </m:r>
            </m:num>
            <m:den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 xml:space="preserve"> </m:t>
                  </m:r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E+1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n</m:t>
                  </m:r>
                </m:sup>
              </m:sSup>
            </m:den>
          </m:f>
        </m:oMath>
      </m:oMathPara>
    </w:p>
    <w:p w:rsidR="002478DB" w:rsidRDefault="000A5FE6" w:rsidP="00353F35">
      <w:r>
        <w:lastRenderedPageBreak/>
        <w:t>Chcąc wyznaczyć początkową ilość matrycy znając wartość Ct otrzymujemy:</w:t>
      </w:r>
    </w:p>
    <w:p w:rsidR="000A5FE6" w:rsidRDefault="000A5FE6" w:rsidP="00353F35"/>
    <w:p w:rsidR="000A5FE6" w:rsidRDefault="000A5FE6" w:rsidP="00353F35">
      <m:oMathPara>
        <m:oMath>
          <m:r>
            <w:rPr>
              <w:rFonts w:ascii="Cambria Math" w:hAnsi="Cambria Math"/>
            </w:rPr>
            <m:t xml:space="preserve">No= 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Nt</m:t>
              </m:r>
            </m:num>
            <m:den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 xml:space="preserve"> </m:t>
                  </m:r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E+1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Ct</m:t>
                  </m:r>
                </m:sup>
              </m:sSup>
            </m:den>
          </m:f>
        </m:oMath>
      </m:oMathPara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1026"/>
        <w:gridCol w:w="426"/>
        <w:gridCol w:w="7346"/>
      </w:tblGrid>
      <w:tr w:rsidR="000A5FE6" w:rsidTr="00E434B9">
        <w:tc>
          <w:tcPr>
            <w:tcW w:w="8798" w:type="dxa"/>
            <w:gridSpan w:val="3"/>
            <w:vAlign w:val="center"/>
          </w:tcPr>
          <w:p w:rsidR="000A5FE6" w:rsidRDefault="000A5FE6" w:rsidP="00E434B9">
            <w:pPr>
              <w:jc w:val="left"/>
            </w:pPr>
            <w:r>
              <w:rPr>
                <w:i/>
                <w:iCs/>
              </w:rPr>
              <w:t>gdzie:</w:t>
            </w:r>
          </w:p>
        </w:tc>
      </w:tr>
      <w:tr w:rsidR="000A5FE6" w:rsidTr="000A5FE6">
        <w:tc>
          <w:tcPr>
            <w:tcW w:w="1026" w:type="dxa"/>
            <w:vAlign w:val="center"/>
          </w:tcPr>
          <w:p w:rsidR="000A5FE6" w:rsidRDefault="000A5FE6" w:rsidP="00E434B9">
            <w:pPr>
              <w:jc w:val="left"/>
              <w:rPr>
                <w:i/>
                <w:iCs/>
              </w:rPr>
            </w:pPr>
            <m:oMathPara>
              <m:oMath>
                <m:r>
                  <m:rPr>
                    <m:sty m:val="p"/>
                  </m:rPr>
                  <w:rPr>
                    <w:rFonts w:ascii="Cambria Math" w:hAnsi="Cambria Math"/>
                  </w:rPr>
                  <m:t>Nt</m:t>
                </m:r>
              </m:oMath>
            </m:oMathPara>
          </w:p>
        </w:tc>
        <w:tc>
          <w:tcPr>
            <w:tcW w:w="426" w:type="dxa"/>
            <w:vAlign w:val="center"/>
          </w:tcPr>
          <w:p w:rsidR="000A5FE6" w:rsidRDefault="000A5FE6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346" w:type="dxa"/>
            <w:vAlign w:val="center"/>
          </w:tcPr>
          <w:p w:rsidR="000A5FE6" w:rsidRDefault="000A5FE6" w:rsidP="000A5FE6">
            <w:pPr>
              <w:jc w:val="left"/>
            </w:pPr>
            <w:r>
              <w:rPr>
                <w:i/>
                <w:iCs/>
              </w:rPr>
              <w:t>ilość produktu odpowiadająca fluorescencji progowej w cyklu progowym,</w:t>
            </w:r>
          </w:p>
        </w:tc>
      </w:tr>
      <w:tr w:rsidR="000A5FE6" w:rsidTr="000A5FE6">
        <w:tc>
          <w:tcPr>
            <w:tcW w:w="1026" w:type="dxa"/>
            <w:vAlign w:val="center"/>
          </w:tcPr>
          <w:p w:rsidR="000A5FE6" w:rsidRDefault="000A5FE6" w:rsidP="000A5FE6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Ct</m:t>
                </m:r>
              </m:oMath>
            </m:oMathPara>
          </w:p>
        </w:tc>
        <w:tc>
          <w:tcPr>
            <w:tcW w:w="426" w:type="dxa"/>
            <w:vAlign w:val="center"/>
          </w:tcPr>
          <w:p w:rsidR="000A5FE6" w:rsidRDefault="000A5FE6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346" w:type="dxa"/>
            <w:vAlign w:val="center"/>
          </w:tcPr>
          <w:p w:rsidR="000A5FE6" w:rsidRDefault="000A5FE6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Cykl progowy,</w:t>
            </w:r>
          </w:p>
        </w:tc>
      </w:tr>
    </w:tbl>
    <w:p w:rsidR="00F73625" w:rsidRDefault="00F73625" w:rsidP="00E94970">
      <w:pPr>
        <w:rPr>
          <w:bCs/>
          <w:szCs w:val="24"/>
        </w:rPr>
      </w:pPr>
    </w:p>
    <w:p w:rsidR="005E77A4" w:rsidRDefault="005E77A4" w:rsidP="00E94970">
      <w:pPr>
        <w:rPr>
          <w:bCs/>
          <w:szCs w:val="24"/>
        </w:rPr>
      </w:pPr>
      <w:r>
        <w:rPr>
          <w:bCs/>
          <w:szCs w:val="24"/>
        </w:rPr>
        <w:t>W celu wyznaczenia krzywej wzorcowej dokonuje się logarytmowania poprzedniego równania</w:t>
      </w:r>
      <w:r w:rsidR="00896B6E">
        <w:rPr>
          <w:bCs/>
          <w:szCs w:val="24"/>
        </w:rPr>
        <w:t xml:space="preserve"> oraz jego przekształceń</w:t>
      </w:r>
      <w:r>
        <w:rPr>
          <w:bCs/>
          <w:szCs w:val="24"/>
        </w:rPr>
        <w:t>:</w:t>
      </w:r>
    </w:p>
    <w:p w:rsidR="009E3487" w:rsidRPr="003935CE" w:rsidRDefault="009E3487" w:rsidP="00E94970">
      <m:oMathPara>
        <m:oMath>
          <m:r>
            <m:rPr>
              <m:sty m:val="p"/>
            </m:rPr>
            <w:rPr>
              <w:rFonts w:ascii="Cambria Math" w:hAnsi="Cambria Math"/>
            </w:rPr>
            <m:t xml:space="preserve">log No = log Nt -  </m:t>
          </m:r>
          <m:sSup>
            <m:sSupPr>
              <m:ctrlPr>
                <w:rPr>
                  <w:rFonts w:ascii="Cambria Math" w:hAnsi="Cambria Math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/>
                </w:rPr>
                <m:t>log (E+1)</m:t>
              </m:r>
            </m:e>
            <m:sup>
              <m:r>
                <w:rPr>
                  <w:rFonts w:ascii="Cambria Math" w:hAnsi="Cambria Math"/>
                </w:rPr>
                <m:t>Ct</m:t>
              </m:r>
            </m:sup>
          </m:sSup>
        </m:oMath>
      </m:oMathPara>
    </w:p>
    <w:p w:rsidR="003935CE" w:rsidRPr="003935CE" w:rsidRDefault="00722F3A" w:rsidP="00E94970">
      <m:oMathPara>
        <m:oMath>
          <m:r>
            <m:rPr>
              <m:sty m:val="p"/>
            </m:rPr>
            <w:rPr>
              <w:rFonts w:ascii="Cambria Math" w:hAnsi="Cambria Math"/>
            </w:rPr>
            <m:t>log No = log Nt - Ct  log (E+1),</m:t>
          </m:r>
        </m:oMath>
      </m:oMathPara>
    </w:p>
    <w:p w:rsidR="003935CE" w:rsidRPr="004F3C8E" w:rsidRDefault="003935CE" w:rsidP="00E94970">
      <m:oMathPara>
        <m:oMath>
          <m:r>
            <m:rPr>
              <m:sty m:val="p"/>
            </m:rPr>
            <w:rPr>
              <w:rFonts w:ascii="Cambria Math" w:hAnsi="Cambria Math"/>
            </w:rPr>
            <m:t xml:space="preserve">Ct= -  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1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log (E+1)</m:t>
              </m:r>
            </m:den>
          </m:f>
          <m:r>
            <m:rPr>
              <m:sty m:val="p"/>
            </m:rPr>
            <w:rPr>
              <w:rFonts w:ascii="Cambria Math" w:hAnsi="Cambria Math"/>
            </w:rPr>
            <m:t xml:space="preserve"> log No +  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Nt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log (E+1)</m:t>
              </m:r>
            </m:den>
          </m:f>
        </m:oMath>
      </m:oMathPara>
    </w:p>
    <w:p w:rsidR="004F3C8E" w:rsidRDefault="004F3C8E" w:rsidP="00E94970">
      <w:r>
        <w:t>Mając dany powyższy wzór, możemy zauważyć, iż ma on postać równania prostej y=</w:t>
      </w:r>
      <w:r w:rsidR="003E0EB3">
        <w:t>ax+</w:t>
      </w:r>
      <w:r>
        <w:t>b, zatem można wyznaczyć wartość nachylenia, a co za tym idzie wydajność.</w:t>
      </w:r>
    </w:p>
    <w:p w:rsidR="004F3C8E" w:rsidRDefault="00722F3A" w:rsidP="00E94970">
      <w:pPr>
        <w:rPr>
          <w:bCs/>
          <w:szCs w:val="24"/>
        </w:rPr>
      </w:pPr>
      <m:oMathPara>
        <m:oMath>
          <m:r>
            <m:rPr>
              <m:sty m:val="p"/>
            </m:rPr>
            <w:rPr>
              <w:rFonts w:ascii="Cambria Math" w:hAnsi="Cambria Math"/>
            </w:rPr>
            <m:t xml:space="preserve">nachylenie = -  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1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log (E+1)</m:t>
              </m:r>
            </m:den>
          </m:f>
        </m:oMath>
      </m:oMathPara>
    </w:p>
    <w:p w:rsidR="005E77A4" w:rsidRPr="00B05433" w:rsidRDefault="00722F3A" w:rsidP="00E94970">
      <m:oMathPara>
        <m:oMath>
          <m:r>
            <m:rPr>
              <m:sty m:val="p"/>
            </m:rPr>
            <w:rPr>
              <w:rFonts w:ascii="Cambria Math" w:hAnsi="Cambria Math"/>
            </w:rPr>
            <m:t>E=</m:t>
          </m:r>
          <m:sSup>
            <m:sSupPr>
              <m:ctrlPr>
                <w:rPr>
                  <w:rFonts w:ascii="Cambria Math" w:hAnsi="Cambria Math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r>
                    <w:rPr>
                      <w:rFonts w:ascii="Cambria Math" w:hAnsi="Cambria Math"/>
                    </w:rPr>
                    <m:t>nachylenie</m:t>
                  </m:r>
                </m:den>
              </m:f>
            </m:sup>
          </m:sSup>
          <m:r>
            <w:rPr>
              <w:rFonts w:ascii="Cambria Math" w:hAnsi="Cambria Math"/>
            </w:rPr>
            <m:t>-1</m:t>
          </m:r>
        </m:oMath>
      </m:oMathPara>
    </w:p>
    <w:p w:rsidR="00B05433" w:rsidRPr="00F36725" w:rsidRDefault="00B05433" w:rsidP="00E94970"/>
    <w:p w:rsidR="00F36725" w:rsidRDefault="00B05433" w:rsidP="00E94970">
      <w:r>
        <w:t xml:space="preserve">Zastosowanie tej metody wymaga wykonania szeregu rozcieńczeń dla matrycy i kilku powtórzeń, w celu osiągnięcia jak najlepszego wyniku. Każda z tych reakcji może jednak przebiegać z inną wydajnością, </w:t>
      </w:r>
      <w:r w:rsidR="001C0D93">
        <w:t>co w tym podejściu nie jest brane pod uwagę i jest wadą tej metody.</w:t>
      </w:r>
    </w:p>
    <w:p w:rsidR="001C0D93" w:rsidRDefault="001C0D93" w:rsidP="00E94970"/>
    <w:p w:rsidR="001C0D93" w:rsidRDefault="001C0D93" w:rsidP="00E94970">
      <w:r>
        <w:tab/>
      </w:r>
      <w:r w:rsidR="00524782">
        <w:t>M</w:t>
      </w:r>
      <w:r>
        <w:t xml:space="preserve">etoda </w:t>
      </w:r>
      <w:r w:rsidR="00524782">
        <w:t xml:space="preserve">Lui i Sainta </w:t>
      </w:r>
      <w:r>
        <w:t xml:space="preserve">wyznaczania wydajności bazuje na krzywej </w:t>
      </w:r>
      <w:r w:rsidR="00524782">
        <w:t>przyrostu fluorescencji</w:t>
      </w:r>
      <w:r w:rsidR="00C01CC3">
        <w:t xml:space="preserve">. W pierwszym jej etapie </w:t>
      </w:r>
      <w:r w:rsidR="00B97C1B">
        <w:t>wyznacza się zakres wzrostu wykładniczego z danych</w:t>
      </w:r>
      <w:r w:rsidR="003D60A8">
        <w:t xml:space="preserve">, a następnie punkty z tego zakresu. </w:t>
      </w:r>
      <w:r w:rsidR="00A05D0A">
        <w:t>Pozwala to na wyznaczenie wydajności reakcji stosując prosty wzór:</w:t>
      </w:r>
    </w:p>
    <w:p w:rsidR="00882A17" w:rsidRDefault="00882A17" w:rsidP="00E94970"/>
    <w:p w:rsidR="00CF5563" w:rsidRDefault="00CF5563" w:rsidP="00E94970">
      <w:pPr>
        <w:rPr>
          <w:bCs/>
          <w:szCs w:val="24"/>
        </w:rPr>
      </w:pPr>
      <m:oMathPara>
        <m:oMath>
          <m:r>
            <w:rPr>
              <w:rFonts w:ascii="Cambria Math" w:hAnsi="Cambria Math"/>
              <w:szCs w:val="24"/>
            </w:rPr>
            <m:t>E=</m:t>
          </m:r>
          <m:sSup>
            <m:sSupPr>
              <m:ctrlPr>
                <w:rPr>
                  <w:rFonts w:ascii="Cambria Math" w:hAnsi="Cambria Math"/>
                  <w:bCs/>
                  <w:i/>
                  <w:szCs w:val="24"/>
                </w:rPr>
              </m:ctrlPr>
            </m:sSupPr>
            <m:e>
              <m:f>
                <m:fPr>
                  <m:ctrlPr>
                    <w:rPr>
                      <w:rFonts w:ascii="Cambria Math" w:hAnsi="Cambria Math"/>
                      <w:bCs/>
                      <w:i/>
                      <w:szCs w:val="24"/>
                    </w:rPr>
                  </m:ctrlPr>
                </m:fPr>
                <m:num>
                  <m:r>
                    <w:rPr>
                      <w:rFonts w:ascii="Cambria Math" w:hAnsi="Cambria Math"/>
                      <w:szCs w:val="24"/>
                    </w:rPr>
                    <m:t>Rna</m:t>
                  </m:r>
                </m:num>
                <m:den>
                  <m:r>
                    <w:rPr>
                      <w:rFonts w:ascii="Cambria Math" w:hAnsi="Cambria Math"/>
                      <w:szCs w:val="24"/>
                    </w:rPr>
                    <m:t>Rnb</m:t>
                  </m:r>
                </m:den>
              </m:f>
            </m:e>
            <m:sup>
              <m:r>
                <w:rPr>
                  <w:rFonts w:ascii="Cambria Math" w:hAnsi="Cambria Math"/>
                  <w:szCs w:val="24"/>
                </w:rPr>
                <m:t>-(Cta-Ctb)</m:t>
              </m:r>
            </m:sup>
          </m:sSup>
        </m:oMath>
      </m:oMathPara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1169"/>
        <w:gridCol w:w="358"/>
        <w:gridCol w:w="7271"/>
      </w:tblGrid>
      <w:tr w:rsidR="00CF5563" w:rsidTr="00E434B9">
        <w:tc>
          <w:tcPr>
            <w:tcW w:w="8798" w:type="dxa"/>
            <w:gridSpan w:val="3"/>
            <w:vAlign w:val="center"/>
          </w:tcPr>
          <w:p w:rsidR="00CF5563" w:rsidRDefault="00CF5563" w:rsidP="00E434B9">
            <w:pPr>
              <w:jc w:val="left"/>
            </w:pPr>
            <w:r>
              <w:rPr>
                <w:i/>
                <w:iCs/>
              </w:rPr>
              <w:t>gdzie:</w:t>
            </w:r>
          </w:p>
        </w:tc>
      </w:tr>
      <w:tr w:rsidR="00CF5563" w:rsidTr="00E434B9">
        <w:tc>
          <w:tcPr>
            <w:tcW w:w="1169" w:type="dxa"/>
            <w:vAlign w:val="center"/>
          </w:tcPr>
          <w:p w:rsidR="00CF5563" w:rsidRPr="00CF5563" w:rsidRDefault="00CF5563" w:rsidP="00E434B9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Rna</m:t>
                </m:r>
              </m:oMath>
            </m:oMathPara>
          </w:p>
        </w:tc>
        <w:tc>
          <w:tcPr>
            <w:tcW w:w="358" w:type="dxa"/>
            <w:vAlign w:val="center"/>
          </w:tcPr>
          <w:p w:rsidR="00CF5563" w:rsidRDefault="00CF5563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CF5563" w:rsidRDefault="00CF5563" w:rsidP="00E434B9">
            <w:pPr>
              <w:jc w:val="left"/>
            </w:pPr>
            <w:r>
              <w:rPr>
                <w:i/>
                <w:iCs/>
              </w:rPr>
              <w:t>wartość fluorescencji z punktu a,</w:t>
            </w:r>
          </w:p>
        </w:tc>
      </w:tr>
      <w:tr w:rsidR="00CF5563" w:rsidTr="00E434B9">
        <w:tc>
          <w:tcPr>
            <w:tcW w:w="1169" w:type="dxa"/>
            <w:vAlign w:val="center"/>
          </w:tcPr>
          <w:p w:rsidR="00CF5563" w:rsidRPr="00CF5563" w:rsidRDefault="00CF5563" w:rsidP="00CF5563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Rnb</m:t>
                </m:r>
              </m:oMath>
            </m:oMathPara>
          </w:p>
        </w:tc>
        <w:tc>
          <w:tcPr>
            <w:tcW w:w="358" w:type="dxa"/>
            <w:vAlign w:val="center"/>
          </w:tcPr>
          <w:p w:rsidR="00CF5563" w:rsidRDefault="00CF5563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CF5563" w:rsidRDefault="00CF5563" w:rsidP="00CF5563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wartość fluorescencji z punktu b,</w:t>
            </w:r>
          </w:p>
        </w:tc>
      </w:tr>
      <w:tr w:rsidR="00CF5563" w:rsidTr="00E434B9">
        <w:tc>
          <w:tcPr>
            <w:tcW w:w="1169" w:type="dxa"/>
            <w:vAlign w:val="center"/>
          </w:tcPr>
          <w:p w:rsidR="00CF5563" w:rsidRDefault="00CF5563" w:rsidP="00E434B9">
            <w:pPr>
              <w:jc w:val="left"/>
            </w:pPr>
            <m:oMathPara>
              <m:oMath>
                <m:r>
                  <w:rPr>
                    <w:rFonts w:ascii="Cambria Math" w:hAnsi="Cambria Math"/>
                  </w:rPr>
                  <m:t>Cta</m:t>
                </m:r>
              </m:oMath>
            </m:oMathPara>
          </w:p>
        </w:tc>
        <w:tc>
          <w:tcPr>
            <w:tcW w:w="358" w:type="dxa"/>
            <w:vAlign w:val="center"/>
          </w:tcPr>
          <w:p w:rsidR="00CF5563" w:rsidRDefault="00CF5563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CF5563" w:rsidRDefault="00CF5563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cykl, w którym osiągnięto wartość fluorescencji z punktu a,</w:t>
            </w:r>
          </w:p>
        </w:tc>
      </w:tr>
      <w:tr w:rsidR="00CF5563" w:rsidTr="00E434B9">
        <w:tc>
          <w:tcPr>
            <w:tcW w:w="1169" w:type="dxa"/>
            <w:vAlign w:val="center"/>
          </w:tcPr>
          <w:p w:rsidR="00CF5563" w:rsidRDefault="00CF5563" w:rsidP="00E434B9">
            <w:pPr>
              <w:jc w:val="center"/>
              <w:rPr>
                <w:i/>
              </w:rPr>
            </w:pPr>
            <w:r>
              <w:rPr>
                <w:i/>
              </w:rPr>
              <w:lastRenderedPageBreak/>
              <w:t>Ctb</w:t>
            </w:r>
          </w:p>
        </w:tc>
        <w:tc>
          <w:tcPr>
            <w:tcW w:w="358" w:type="dxa"/>
            <w:vAlign w:val="center"/>
          </w:tcPr>
          <w:p w:rsidR="00CF5563" w:rsidRDefault="00CF5563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CF5563" w:rsidRDefault="00CF5563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cykl, w którym osiągnięto wartość fluorescencji z punktu b.</w:t>
            </w:r>
          </w:p>
        </w:tc>
      </w:tr>
    </w:tbl>
    <w:p w:rsidR="0087186F" w:rsidRDefault="0087186F" w:rsidP="0087186F">
      <w:pPr>
        <w:pStyle w:val="Heading2"/>
      </w:pPr>
      <w:r>
        <w:t>2.x Przegląd programów do analizy wyników eksperymentu Real-time PCR</w:t>
      </w:r>
    </w:p>
    <w:p w:rsidR="00722F3A" w:rsidRDefault="00755A5B" w:rsidP="00E94970">
      <w:pPr>
        <w:rPr>
          <w:bCs/>
          <w:szCs w:val="24"/>
        </w:rPr>
      </w:pPr>
      <w:r>
        <w:rPr>
          <w:bCs/>
          <w:szCs w:val="24"/>
        </w:rPr>
        <w:tab/>
        <w:t xml:space="preserve">Dotychczas stworzono wiele narzędzi zdolnych do </w:t>
      </w:r>
      <w:r w:rsidR="00FB1EF4">
        <w:rPr>
          <w:bCs/>
          <w:szCs w:val="24"/>
        </w:rPr>
        <w:t>przetwarzania</w:t>
      </w:r>
      <w:r>
        <w:rPr>
          <w:bCs/>
          <w:szCs w:val="24"/>
        </w:rPr>
        <w:t xml:space="preserve"> wyników</w:t>
      </w:r>
      <w:r w:rsidR="00FB1EF4">
        <w:rPr>
          <w:bCs/>
          <w:szCs w:val="24"/>
        </w:rPr>
        <w:t xml:space="preserve"> reakcji</w:t>
      </w:r>
      <w:r>
        <w:rPr>
          <w:bCs/>
          <w:szCs w:val="24"/>
        </w:rPr>
        <w:t xml:space="preserve"> Real-time PCR</w:t>
      </w:r>
      <w:r w:rsidR="007C2332">
        <w:rPr>
          <w:bCs/>
          <w:szCs w:val="24"/>
        </w:rPr>
        <w:t xml:space="preserve">. </w:t>
      </w:r>
      <w:r w:rsidR="00D104FE">
        <w:rPr>
          <w:bCs/>
          <w:szCs w:val="24"/>
        </w:rPr>
        <w:t xml:space="preserve">Różnią się one zastosowanymi metodami obliczeniowymi, rodzajem wprowadzanych danych, rodzajem podawanych wyników i przede wszystkim </w:t>
      </w:r>
      <w:r w:rsidR="0001158E">
        <w:rPr>
          <w:bCs/>
          <w:szCs w:val="24"/>
        </w:rPr>
        <w:t>platformą, na której są dostępne.</w:t>
      </w:r>
      <w:r w:rsidR="005D1DFE">
        <w:rPr>
          <w:bCs/>
          <w:szCs w:val="24"/>
        </w:rPr>
        <w:t xml:space="preserve"> </w:t>
      </w:r>
      <w:r w:rsidR="006D6A6A">
        <w:rPr>
          <w:bCs/>
          <w:szCs w:val="24"/>
        </w:rPr>
        <w:t>Część z nich wymaga od użytkownika podstawowej wiedzy z dziedziny programowania (np. pakiety do R), natomia</w:t>
      </w:r>
      <w:r w:rsidR="00EC7812">
        <w:rPr>
          <w:bCs/>
          <w:szCs w:val="24"/>
        </w:rPr>
        <w:t>st część to aplikacje z interfejsem użytkownika, które mogą być wykorzystane przez znacznie szersze grono użytkowników.</w:t>
      </w:r>
    </w:p>
    <w:p w:rsidR="00EC7812" w:rsidRDefault="00EC7812" w:rsidP="00E94970">
      <w:pPr>
        <w:rPr>
          <w:bCs/>
          <w:szCs w:val="24"/>
        </w:rPr>
      </w:pPr>
    </w:p>
    <w:p w:rsidR="00C11982" w:rsidRDefault="00CE13AF" w:rsidP="00E94970">
      <w:pPr>
        <w:rPr>
          <w:bCs/>
          <w:szCs w:val="24"/>
        </w:rPr>
      </w:pPr>
      <w:r>
        <w:rPr>
          <w:bCs/>
          <w:szCs w:val="24"/>
        </w:rPr>
        <w:tab/>
      </w:r>
      <w:r w:rsidR="00DF3496">
        <w:rPr>
          <w:bCs/>
          <w:szCs w:val="24"/>
        </w:rPr>
        <w:t xml:space="preserve">Dużą część dostępnych narzędzi tworzą programy działające na systemie Windows. </w:t>
      </w:r>
      <w:r w:rsidR="00783598">
        <w:rPr>
          <w:bCs/>
          <w:szCs w:val="24"/>
        </w:rPr>
        <w:t xml:space="preserve">Aplikacje te </w:t>
      </w:r>
      <w:r w:rsidR="009747FB">
        <w:rPr>
          <w:bCs/>
          <w:szCs w:val="24"/>
        </w:rPr>
        <w:t>mogą wymagać</w:t>
      </w:r>
      <w:r w:rsidR="00783598">
        <w:rPr>
          <w:bCs/>
          <w:szCs w:val="24"/>
        </w:rPr>
        <w:t xml:space="preserve"> instala</w:t>
      </w:r>
      <w:r w:rsidR="009747FB">
        <w:rPr>
          <w:bCs/>
          <w:szCs w:val="24"/>
        </w:rPr>
        <w:t>cji dodatkowego oprogramowania i wymagać od użytkownika podania wielu ustawień.</w:t>
      </w:r>
      <w:r w:rsidR="00C0776F">
        <w:rPr>
          <w:bCs/>
          <w:szCs w:val="24"/>
        </w:rPr>
        <w:t xml:space="preserve"> Konieczne może być również założenie konta na portalu oraz uzyskanie licencji, czasami tylko na krótki okres czasu.</w:t>
      </w:r>
    </w:p>
    <w:p w:rsidR="00C11982" w:rsidRDefault="00C11982" w:rsidP="00E94970">
      <w:pPr>
        <w:rPr>
          <w:bCs/>
          <w:szCs w:val="24"/>
        </w:rPr>
      </w:pPr>
    </w:p>
    <w:p w:rsidR="00CE13AF" w:rsidRDefault="00C11982" w:rsidP="00E94970">
      <w:pPr>
        <w:rPr>
          <w:bCs/>
          <w:szCs w:val="24"/>
        </w:rPr>
      </w:pPr>
      <w:r>
        <w:rPr>
          <w:bCs/>
          <w:szCs w:val="24"/>
        </w:rPr>
        <w:tab/>
      </w:r>
      <w:r w:rsidR="00D555A9">
        <w:rPr>
          <w:bCs/>
          <w:szCs w:val="24"/>
        </w:rPr>
        <w:t xml:space="preserve">Program CopyCaller </w:t>
      </w:r>
      <w:r w:rsidR="00B162B8">
        <w:rPr>
          <w:bCs/>
          <w:szCs w:val="24"/>
        </w:rPr>
        <w:t xml:space="preserve">wykorzystuje metodę relatywną do wyznaczania różnic w ilości kopii pomiędzy sekwencjami bez </w:t>
      </w:r>
      <w:r w:rsidR="003B1B1C">
        <w:rPr>
          <w:bCs/>
          <w:szCs w:val="24"/>
        </w:rPr>
        <w:t>normalizacji względem znanego</w:t>
      </w:r>
      <w:r w:rsidR="003861A1">
        <w:rPr>
          <w:bCs/>
          <w:szCs w:val="24"/>
        </w:rPr>
        <w:t xml:space="preserve"> kalibratora. </w:t>
      </w:r>
      <w:r w:rsidR="00925B8A">
        <w:rPr>
          <w:bCs/>
          <w:szCs w:val="24"/>
        </w:rPr>
        <w:t>Wynikiem działania programu jest liczba kopii próby oraz poziom ufności dla wyznaczonych wartości.</w:t>
      </w:r>
    </w:p>
    <w:p w:rsidR="00C11982" w:rsidRDefault="00C11982" w:rsidP="00E94970">
      <w:pPr>
        <w:rPr>
          <w:bCs/>
          <w:szCs w:val="24"/>
        </w:rPr>
      </w:pPr>
    </w:p>
    <w:p w:rsidR="00C11982" w:rsidRDefault="00C11982" w:rsidP="00E94970">
      <w:pPr>
        <w:rPr>
          <w:bCs/>
          <w:szCs w:val="24"/>
        </w:rPr>
      </w:pPr>
      <w:r>
        <w:rPr>
          <w:bCs/>
          <w:szCs w:val="24"/>
        </w:rPr>
        <w:tab/>
        <w:t>DART-PCR to program bazujący na Excelu, przyjmuj</w:t>
      </w:r>
      <w:r w:rsidR="003B1B1C">
        <w:rPr>
          <w:bCs/>
          <w:szCs w:val="24"/>
        </w:rPr>
        <w:t>ący</w:t>
      </w:r>
      <w:r>
        <w:rPr>
          <w:bCs/>
          <w:szCs w:val="24"/>
        </w:rPr>
        <w:t xml:space="preserve"> surowe dane z eksperymentu i oblicza</w:t>
      </w:r>
      <w:r w:rsidR="003B1B1C">
        <w:rPr>
          <w:bCs/>
          <w:szCs w:val="24"/>
        </w:rPr>
        <w:t>jący</w:t>
      </w:r>
      <w:r>
        <w:rPr>
          <w:bCs/>
          <w:szCs w:val="24"/>
        </w:rPr>
        <w:t xml:space="preserve"> wartości Ct.</w:t>
      </w:r>
      <w:r w:rsidR="00F56FEE">
        <w:rPr>
          <w:bCs/>
          <w:szCs w:val="24"/>
        </w:rPr>
        <w:t xml:space="preserve"> Program wykorzystuje metodę relatywną i potrafi wyznaczyć wydajność na podstawie danych.</w:t>
      </w:r>
      <w:r w:rsidR="002D71A2">
        <w:rPr>
          <w:bCs/>
          <w:szCs w:val="24"/>
        </w:rPr>
        <w:t xml:space="preserve"> Normalizacji dokonuje się jednak względem wydajności podanej przez u</w:t>
      </w:r>
      <w:r w:rsidR="002F04B4">
        <w:rPr>
          <w:bCs/>
          <w:szCs w:val="24"/>
        </w:rPr>
        <w:t>żytkownika, a nie genu referency</w:t>
      </w:r>
      <w:r w:rsidR="002D71A2">
        <w:rPr>
          <w:bCs/>
          <w:szCs w:val="24"/>
        </w:rPr>
        <w:t>jnego.</w:t>
      </w:r>
    </w:p>
    <w:p w:rsidR="002D71A2" w:rsidRDefault="002D71A2" w:rsidP="00E94970">
      <w:pPr>
        <w:rPr>
          <w:bCs/>
          <w:szCs w:val="24"/>
        </w:rPr>
      </w:pPr>
    </w:p>
    <w:p w:rsidR="002D71A2" w:rsidRDefault="002F04B4" w:rsidP="00E94970">
      <w:pPr>
        <w:rPr>
          <w:bCs/>
          <w:szCs w:val="24"/>
        </w:rPr>
      </w:pPr>
      <w:r>
        <w:rPr>
          <w:bCs/>
          <w:szCs w:val="24"/>
        </w:rPr>
        <w:tab/>
      </w:r>
      <w:r w:rsidR="0092098F">
        <w:rPr>
          <w:bCs/>
          <w:szCs w:val="24"/>
        </w:rPr>
        <w:t xml:space="preserve">LinRegPCR to program z graficznym interfejsem służący do analizy surowych danych. </w:t>
      </w:r>
      <w:r w:rsidR="00C439DD">
        <w:rPr>
          <w:bCs/>
          <w:szCs w:val="24"/>
        </w:rPr>
        <w:t>Pozwala on na wyznaczenie linii</w:t>
      </w:r>
      <w:r w:rsidR="003B1B1C">
        <w:rPr>
          <w:bCs/>
          <w:szCs w:val="24"/>
        </w:rPr>
        <w:t xml:space="preserve"> bazowej flu</w:t>
      </w:r>
      <w:r w:rsidR="00C439DD">
        <w:rPr>
          <w:bCs/>
          <w:szCs w:val="24"/>
        </w:rPr>
        <w:t>orescencji i odjęcie jej</w:t>
      </w:r>
      <w:r w:rsidR="003B1B1C">
        <w:rPr>
          <w:bCs/>
          <w:szCs w:val="24"/>
        </w:rPr>
        <w:t xml:space="preserve"> od dnaych</w:t>
      </w:r>
      <w:r w:rsidR="00C439DD">
        <w:rPr>
          <w:bCs/>
          <w:szCs w:val="24"/>
        </w:rPr>
        <w:t>, a następnie wyznaczenie wydajności dla każdej próbki, wartości Ct i początkowe</w:t>
      </w:r>
      <w:r w:rsidR="00A8263B">
        <w:rPr>
          <w:bCs/>
          <w:szCs w:val="24"/>
        </w:rPr>
        <w:t>go</w:t>
      </w:r>
      <w:r w:rsidR="00C439DD">
        <w:rPr>
          <w:bCs/>
          <w:szCs w:val="24"/>
        </w:rPr>
        <w:t xml:space="preserve"> stężeni</w:t>
      </w:r>
      <w:r w:rsidR="00A8263B">
        <w:rPr>
          <w:bCs/>
          <w:szCs w:val="24"/>
        </w:rPr>
        <w:t>a</w:t>
      </w:r>
      <w:r w:rsidR="00C439DD">
        <w:rPr>
          <w:bCs/>
          <w:szCs w:val="24"/>
        </w:rPr>
        <w:t>.</w:t>
      </w:r>
      <w:r w:rsidR="00EC106A">
        <w:rPr>
          <w:bCs/>
          <w:szCs w:val="24"/>
        </w:rPr>
        <w:t xml:space="preserve"> Możliwe jest również stworzenie wykresów w celu porównania wydajności pomiędzy próbkami.</w:t>
      </w:r>
      <w:r w:rsidR="005515C5">
        <w:rPr>
          <w:bCs/>
          <w:szCs w:val="24"/>
        </w:rPr>
        <w:t xml:space="preserve"> Program nie pozwala jednak na jakąkolw</w:t>
      </w:r>
      <w:r w:rsidR="00EB5BBB">
        <w:rPr>
          <w:bCs/>
          <w:szCs w:val="24"/>
        </w:rPr>
        <w:t>iek analizę ilości badanej sekwencji</w:t>
      </w:r>
      <w:r w:rsidR="005515C5">
        <w:rPr>
          <w:bCs/>
          <w:szCs w:val="24"/>
        </w:rPr>
        <w:t>.</w:t>
      </w:r>
    </w:p>
    <w:p w:rsidR="00755A5B" w:rsidRDefault="00755A5B" w:rsidP="00E94970">
      <w:pPr>
        <w:rPr>
          <w:bCs/>
          <w:szCs w:val="24"/>
        </w:rPr>
      </w:pPr>
    </w:p>
    <w:p w:rsidR="00D336EF" w:rsidRDefault="00D336EF" w:rsidP="00E94970">
      <w:pPr>
        <w:rPr>
          <w:bCs/>
          <w:szCs w:val="24"/>
        </w:rPr>
      </w:pPr>
      <w:r>
        <w:rPr>
          <w:bCs/>
          <w:szCs w:val="24"/>
        </w:rPr>
        <w:tab/>
        <w:t xml:space="preserve">qBase to program, </w:t>
      </w:r>
      <w:r w:rsidR="005573DA">
        <w:rPr>
          <w:bCs/>
          <w:szCs w:val="24"/>
        </w:rPr>
        <w:t>który bazuje na Excelu i wykorzystuje względną metodę pomiaru ilości.</w:t>
      </w:r>
      <w:r w:rsidR="00862E3A">
        <w:rPr>
          <w:bCs/>
          <w:szCs w:val="24"/>
        </w:rPr>
        <w:t xml:space="preserve"> Wykonywana jest propagacja bł</w:t>
      </w:r>
      <w:r w:rsidR="006E5B73">
        <w:rPr>
          <w:bCs/>
          <w:szCs w:val="24"/>
        </w:rPr>
        <w:t xml:space="preserve">ędów i istnieje możliwość </w:t>
      </w:r>
      <w:r w:rsidR="00862E3A">
        <w:rPr>
          <w:bCs/>
          <w:szCs w:val="24"/>
        </w:rPr>
        <w:t xml:space="preserve">zastosowania wielu genów </w:t>
      </w:r>
      <w:r w:rsidR="00862E3A">
        <w:rPr>
          <w:bCs/>
          <w:szCs w:val="24"/>
        </w:rPr>
        <w:lastRenderedPageBreak/>
        <w:t>referencyjnych.</w:t>
      </w:r>
      <w:r w:rsidR="00E434B9">
        <w:rPr>
          <w:bCs/>
          <w:szCs w:val="24"/>
        </w:rPr>
        <w:t xml:space="preserve"> </w:t>
      </w:r>
      <w:r w:rsidR="006E5B73">
        <w:rPr>
          <w:bCs/>
          <w:szCs w:val="24"/>
        </w:rPr>
        <w:t xml:space="preserve">Istnieje też możliwość wyświetlania krzywych wykorzystywanych do obliczania wydajności oraz oraz względnej ilości próbek. </w:t>
      </w:r>
      <w:r w:rsidR="00750E98">
        <w:rPr>
          <w:bCs/>
          <w:szCs w:val="24"/>
        </w:rPr>
        <w:t>Stworzony został inny program</w:t>
      </w:r>
      <w:r w:rsidR="006E5B73">
        <w:rPr>
          <w:bCs/>
          <w:szCs w:val="24"/>
        </w:rPr>
        <w:t xml:space="preserve"> qBase</w:t>
      </w:r>
      <w:r w:rsidR="006E5B73">
        <w:rPr>
          <w:bCs/>
          <w:szCs w:val="24"/>
          <w:vertAlign w:val="superscript"/>
        </w:rPr>
        <w:t>+</w:t>
      </w:r>
      <w:r w:rsidR="00750E98">
        <w:rPr>
          <w:bCs/>
          <w:szCs w:val="24"/>
        </w:rPr>
        <w:t xml:space="preserve">, który posiada znacznie większą funkcjonalność, jednakże </w:t>
      </w:r>
      <w:r w:rsidR="00774FE2">
        <w:rPr>
          <w:bCs/>
          <w:szCs w:val="24"/>
        </w:rPr>
        <w:t>dostęp do niego jest płatny</w:t>
      </w:r>
      <w:r w:rsidR="00750E98">
        <w:rPr>
          <w:bCs/>
          <w:szCs w:val="24"/>
        </w:rPr>
        <w:t>.</w:t>
      </w:r>
    </w:p>
    <w:p w:rsidR="00CD32CA" w:rsidRDefault="00CD32CA" w:rsidP="00E94970">
      <w:pPr>
        <w:rPr>
          <w:bCs/>
          <w:szCs w:val="24"/>
        </w:rPr>
      </w:pPr>
    </w:p>
    <w:p w:rsidR="0057518D" w:rsidRDefault="00A16948" w:rsidP="00906321">
      <w:r>
        <w:rPr>
          <w:szCs w:val="24"/>
        </w:rPr>
        <w:tab/>
      </w:r>
      <w:r w:rsidR="00906321" w:rsidRPr="00906321">
        <w:t>Relative Expression Software Tool</w:t>
      </w:r>
      <w:r w:rsidR="00906321">
        <w:t xml:space="preserve"> (REST) to aplikacja z interfejsem użytkownika dokonująca względnej analizy ilości próbek. </w:t>
      </w:r>
      <w:r w:rsidR="009B57F1">
        <w:t>Obsługuje on pliki tekstowe z wartościami Ct, pozwala na uwzględnienie różnych wartości wydajności dla genów i potrafi dokonać normalizacji względem wielu genów referencyjnych.</w:t>
      </w:r>
      <w:r w:rsidR="00D30D93">
        <w:t xml:space="preserve"> Możliwe jest również wyświetlanie wykresów pudełkowych dla wyników.</w:t>
      </w:r>
    </w:p>
    <w:p w:rsidR="00D30D93" w:rsidRDefault="00D30D93" w:rsidP="00906321"/>
    <w:p w:rsidR="00D30D93" w:rsidRDefault="007E7AD6" w:rsidP="000011DA">
      <w:pPr>
        <w:ind w:firstLine="708"/>
      </w:pPr>
      <w:r>
        <w:t xml:space="preserve">Narzędzia internetowe pozwalają na prostszą analizę danych i nie wymagają </w:t>
      </w:r>
      <w:r w:rsidR="003B7228">
        <w:t>zwykle</w:t>
      </w:r>
      <w:r>
        <w:t xml:space="preserve"> instalacji programów</w:t>
      </w:r>
      <w:r w:rsidR="003B7228">
        <w:t>, jednakże często istnieje konieczność wykonania kilku dodatkowych czynności.</w:t>
      </w:r>
      <w:r w:rsidR="00D723D1">
        <w:t xml:space="preserve"> Duża część narzędzi opisana w literaturze jest już niestety niedostępna.</w:t>
      </w:r>
    </w:p>
    <w:p w:rsidR="007E7AD6" w:rsidRDefault="007E7AD6" w:rsidP="00906321"/>
    <w:p w:rsidR="0057518D" w:rsidRDefault="003B7228" w:rsidP="00E94970">
      <w:r>
        <w:tab/>
        <w:t>MAKERAGUL</w:t>
      </w:r>
      <w:r w:rsidR="00F14B4C">
        <w:t xml:space="preserve"> to aplikacja wykorzystująca surową fluorescencję w celu wyznaczenia ilości próby bazując na modelu MAK2. Met</w:t>
      </w:r>
      <w:r w:rsidR="00EE5654">
        <w:t>o</w:t>
      </w:r>
      <w:r w:rsidR="00F14B4C">
        <w:t>da ta może być użyta do obliczeń bez wykorzystania krzywych kalibracyjnych i genów referencyjnych.</w:t>
      </w:r>
      <w:r w:rsidR="00EE5654">
        <w:t xml:space="preserve"> </w:t>
      </w:r>
      <w:r w:rsidR="00C57EEE">
        <w:t>Narzędzie to musi być jednak zainstalowane i skonfigurowane na lokalnym serwerze, co może być źródłem wielu trudności.</w:t>
      </w:r>
    </w:p>
    <w:p w:rsidR="00D71F65" w:rsidRDefault="00D71F65" w:rsidP="00E94970"/>
    <w:p w:rsidR="00D71F65" w:rsidRDefault="00D71F65" w:rsidP="00E94970">
      <w:pPr>
        <w:rPr>
          <w:bCs/>
          <w:szCs w:val="24"/>
        </w:rPr>
      </w:pPr>
      <w:r>
        <w:tab/>
      </w:r>
      <w:r w:rsidR="00413C2F">
        <w:t>QPCR to internetowe narzędzie zdolne do analizy, przechowywania i zarządzania wynikami z eksperymentu Real-time PCR.</w:t>
      </w:r>
      <w:r w:rsidR="00C06DB6">
        <w:t xml:space="preserve"> Program przyjmuje surowe dane i może wykorzystać wiele metod w celu wyznaczenia wartości Ct</w:t>
      </w:r>
      <w:r w:rsidR="00FF1EBA">
        <w:t xml:space="preserve"> i wydajności</w:t>
      </w:r>
      <w:r w:rsidR="00364F04">
        <w:t>.</w:t>
      </w:r>
      <w:r w:rsidR="00B8159C">
        <w:t xml:space="preserve"> Program posiada szeroką funkcjonalność, np. zdolność wykorzystania wielu genów referencyjnych, </w:t>
      </w:r>
      <w:r w:rsidR="00341389">
        <w:t xml:space="preserve">propagację błędów, </w:t>
      </w:r>
      <w:r w:rsidR="00B8159C">
        <w:t xml:space="preserve">obliczanie </w:t>
      </w:r>
      <w:r w:rsidR="00341389">
        <w:t>krotności zmian w ekspresji i wyświetlanie wykresów pudełkowych dla wyników</w:t>
      </w:r>
      <w:r w:rsidR="00356B56">
        <w:t>. Konieczne jest jed</w:t>
      </w:r>
      <w:r w:rsidR="0001019A">
        <w:t xml:space="preserve">nak założenie konta na portalu, jak również podanie wielu ustawień dla </w:t>
      </w:r>
      <w:r w:rsidR="002B67DA">
        <w:t xml:space="preserve">wykonywanej </w:t>
      </w:r>
      <w:r w:rsidR="0001019A">
        <w:t>analizy.</w:t>
      </w:r>
    </w:p>
    <w:p w:rsidR="00CD32CA" w:rsidRPr="00750E98" w:rsidRDefault="00CD32CA" w:rsidP="00E94970">
      <w:pPr>
        <w:rPr>
          <w:bCs/>
          <w:szCs w:val="24"/>
        </w:rPr>
      </w:pPr>
      <w:r>
        <w:rPr>
          <w:bCs/>
          <w:szCs w:val="24"/>
        </w:rPr>
        <w:tab/>
      </w:r>
    </w:p>
    <w:p w:rsidR="00E94970" w:rsidRDefault="00C25AF1" w:rsidP="00E94970">
      <w:pPr>
        <w:pStyle w:val="Heading1"/>
        <w:numPr>
          <w:ilvl w:val="0"/>
          <w:numId w:val="2"/>
        </w:numPr>
        <w:jc w:val="left"/>
      </w:pPr>
      <w:r>
        <w:t>Metodyka</w:t>
      </w:r>
    </w:p>
    <w:p w:rsidR="00187752" w:rsidRDefault="00187752" w:rsidP="000011DA">
      <w:pPr>
        <w:ind w:firstLine="493"/>
      </w:pPr>
      <w:r>
        <w:t xml:space="preserve">Wszystkie testy aplikacji przeprowadzono na danych z eksperymentu Real-time PCR pochodzących z komórek nowotworowych raka jajnika. </w:t>
      </w:r>
      <w:r w:rsidR="00F06D79">
        <w:t xml:space="preserve">Eksperyment został przeprowadzony z wykorzystaniem sond TaqMan, których mechanizm działania opisano w </w:t>
      </w:r>
      <w:r w:rsidR="00F06D79" w:rsidRPr="00F06D79">
        <w:rPr>
          <w:u w:val="single"/>
        </w:rPr>
        <w:t>jednym z poprzed</w:t>
      </w:r>
      <w:r w:rsidR="00F06D79" w:rsidRPr="00F06D79">
        <w:rPr>
          <w:u w:val="single"/>
        </w:rPr>
        <w:lastRenderedPageBreak/>
        <w:t>nich rozdziałów</w:t>
      </w:r>
      <w:r w:rsidR="00737914">
        <w:t xml:space="preserve">. Dzięki temu można było zastosować dokładny pomiar wyników dla specyficznych dla sond produktów. </w:t>
      </w:r>
      <w:r w:rsidR="007878EF">
        <w:t>Łącznie otrzymano 22 pliki z danymi dla 8 genów badanych (</w:t>
      </w:r>
      <w:r w:rsidR="00575A2C" w:rsidRPr="00575A2C">
        <w:t>COL11A1, CSPG2, CTBP1, DSPG3, EIF5, FAP, LOX, MFAP5</w:t>
      </w:r>
      <w:r w:rsidR="007878EF">
        <w:t>) i 3 genów referencyjnych</w:t>
      </w:r>
      <w:r w:rsidR="00575A2C">
        <w:t xml:space="preserve"> (ATP6V1, HADHA, UBE2D2)</w:t>
      </w:r>
      <w:r w:rsidR="007878EF">
        <w:t>, każdy w 2 powtórzeniach. Każdy plik zawiera nazwy próbek, odpowiadające im wartości Ct, wartość Ct dla kalibratora oraz wydajność reakcji.</w:t>
      </w:r>
    </w:p>
    <w:p w:rsidR="00051EDD" w:rsidRDefault="00051EDD" w:rsidP="000011DA">
      <w:pPr>
        <w:ind w:firstLine="493"/>
      </w:pPr>
    </w:p>
    <w:p w:rsidR="00051EDD" w:rsidRDefault="00051EDD" w:rsidP="00051EDD">
      <w:pPr>
        <w:pStyle w:val="Heading2"/>
      </w:pPr>
      <w:r>
        <w:t xml:space="preserve">3.x </w:t>
      </w:r>
      <w:r w:rsidR="00FF3D5A">
        <w:t>Opis i s</w:t>
      </w:r>
      <w:r>
        <w:t>truktura aplikacji</w:t>
      </w:r>
    </w:p>
    <w:p w:rsidR="00051EDD" w:rsidRPr="00713717" w:rsidRDefault="00FF3D5A" w:rsidP="0087697E">
      <w:pPr>
        <w:ind w:firstLine="493"/>
      </w:pPr>
      <w:r>
        <w:t>Aplikacja została wykonana w środowisku R za pomocą pakietu „Shiny”.</w:t>
      </w:r>
      <w:r w:rsidR="003865B1">
        <w:t xml:space="preserve"> Posiada ona interfejs graficzny, w którym użytkownik może dokonać wczytania plików, wyświetlić wyniki analizy oraz obejrzeć wygenerowane wykresy.</w:t>
      </w:r>
      <w:r w:rsidR="00BB6242">
        <w:t xml:space="preserve"> </w:t>
      </w:r>
      <w:r w:rsidR="006622F2">
        <w:t>Zgodnie z wymogami Shiny, aplikacja składa się z 2 głównych skryptów: server.R oraz ui.R, a tekże skryptu o nazwie funkcja1.R oraz obrazków wyświetlanych w narzędziu.</w:t>
      </w:r>
      <w:r w:rsidR="0087697E">
        <w:t xml:space="preserve"> </w:t>
      </w:r>
      <w:r w:rsidR="004052E5">
        <w:t>Skrypt</w:t>
      </w:r>
      <w:r w:rsidR="0087697E">
        <w:t xml:space="preserve"> ui.R zawiera fragment kodu odpowiedzialny za stworzenie interfejsu użytkownika i wszystkich jego elementów. </w:t>
      </w:r>
      <w:r w:rsidR="004052E5">
        <w:t>Poprzez niego użytkownik może dokonać wczytania następujących plików: listy z nazwami genów oraz plików z danymi z eksperymentów, które są zapisywane jako wejścia (</w:t>
      </w:r>
      <w:r w:rsidR="004052E5" w:rsidRPr="004052E5">
        <w:rPr>
          <w:i/>
        </w:rPr>
        <w:t>inputs</w:t>
      </w:r>
      <w:r w:rsidR="004052E5">
        <w:t xml:space="preserve">). Przedstawia on również wygląd całego interfejsu wraz z umiejscowieniem wszystkich paneli, zakładek i widżetów. server.R </w:t>
      </w:r>
      <w:r w:rsidR="008535C1">
        <w:t>służy do tworzenia wszystkich elementów będących wynikiem analizy</w:t>
      </w:r>
      <w:r w:rsidR="00D31196">
        <w:t xml:space="preserve"> (</w:t>
      </w:r>
      <w:r w:rsidR="00D31196">
        <w:rPr>
          <w:i/>
        </w:rPr>
        <w:t>outputs</w:t>
      </w:r>
      <w:r w:rsidR="00D31196">
        <w:t>)</w:t>
      </w:r>
      <w:r w:rsidR="008535C1">
        <w:t>. W nim zdefiniowane są: wybrane geny z listy genów referencyjnych, dane znajdujące się w tabeli wynikowej, wykresy pudełkowe i struktura pliku do pobrania.</w:t>
      </w:r>
      <w:r w:rsidR="00031E8B">
        <w:t xml:space="preserve"> funkcja1.R to funkcja pomocnicza, w której </w:t>
      </w:r>
      <w:r w:rsidR="004B3E29">
        <w:t xml:space="preserve">zaimplementowano metodę Pfaffl i w której wykonywane są wszystkie obliczenia. </w:t>
      </w:r>
      <w:r w:rsidR="00863960">
        <w:t xml:space="preserve">W pierwszym etapie geny dzielone są na dwie grupy: geny badane i referencyjne. Następnie dla wszystkich próbek obliczane są kolejno wartości </w:t>
      </w:r>
      <m:oMath>
        <m:r>
          <w:rPr>
            <w:rFonts w:ascii="Cambria Math" w:hAnsi="Cambria Math"/>
          </w:rPr>
          <m:t>∆Ct</m:t>
        </m:r>
      </m:oMath>
      <w:r w:rsidR="00863960">
        <w:t xml:space="preserve"> oraz </w:t>
      </w:r>
      <w:r w:rsidR="00863960" w:rsidRPr="00713717">
        <w:rPr>
          <w:i/>
        </w:rPr>
        <w:t>Q (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E</m:t>
            </m:r>
          </m:e>
          <m:sup>
            <m:r>
              <w:rPr>
                <w:rFonts w:ascii="Cambria Math" w:hAnsi="Cambria Math"/>
              </w:rPr>
              <m:t>∆Ct</m:t>
            </m:r>
          </m:sup>
        </m:sSup>
        <m:r>
          <w:rPr>
            <w:rFonts w:ascii="Cambria Math" w:hAnsi="Cambria Math"/>
          </w:rPr>
          <m:t>)</m:t>
        </m:r>
      </m:oMath>
      <w:r w:rsidR="00863960">
        <w:t xml:space="preserve"> i sprawdza się obecność powtórzeń dla tego samego genu, dla których oblicza się średnią wartość </w:t>
      </w:r>
      <w:r w:rsidR="00863960" w:rsidRPr="00713717">
        <w:rPr>
          <w:i/>
        </w:rPr>
        <w:t>Q</w:t>
      </w:r>
      <w:r w:rsidR="00863960">
        <w:t xml:space="preserve">. </w:t>
      </w:r>
      <w:r w:rsidR="00713717">
        <w:t xml:space="preserve">Po wykonaniu tych czynności dla genów badanych i referencyjnych obliczona zostaje wartość </w:t>
      </w:r>
      <w:r w:rsidR="00713717">
        <w:rPr>
          <w:i/>
        </w:rPr>
        <w:t>Fold difference</w:t>
      </w:r>
      <w:r w:rsidR="00713717">
        <w:t xml:space="preserve"> (</w:t>
      </w:r>
      <m:oMath>
        <m:r>
          <w:rPr>
            <w:rFonts w:ascii="Cambria Math" w:hAnsi="Cambria Math"/>
          </w:rPr>
          <m:t xml:space="preserve"> 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 w:hAnsi="Cambria Math"/>
              </w:rPr>
              <m:t>Q</m:t>
            </m:r>
            <m:r>
              <m:rPr>
                <m:sty m:val="p"/>
              </m:rPr>
              <w:rPr>
                <w:rFonts w:ascii="Cambria Math" w:hAnsi="Cambria Math"/>
              </w:rPr>
              <m:t>(gen)</m:t>
            </m:r>
          </m:num>
          <m:den>
            <m:r>
              <w:rPr>
                <w:rFonts w:ascii="Cambria Math" w:hAnsi="Cambria Math"/>
              </w:rPr>
              <m:t>Q(ref)</m:t>
            </m:r>
          </m:den>
        </m:f>
      </m:oMath>
      <w:r w:rsidR="00713717">
        <w:t xml:space="preserve">, </w:t>
      </w:r>
      <w:r w:rsidR="00713717" w:rsidRPr="00713717">
        <w:t xml:space="preserve">gdzie </w:t>
      </w:r>
      <w:r w:rsidR="00713717" w:rsidRPr="00713717">
        <w:rPr>
          <w:i/>
        </w:rPr>
        <w:t>Q(gen</w:t>
      </w:r>
      <w:r w:rsidR="00602C06">
        <w:rPr>
          <w:i/>
        </w:rPr>
        <w:t>)</w:t>
      </w:r>
      <w:r w:rsidR="00713717" w:rsidRPr="00713717">
        <w:t xml:space="preserve"> to wartość </w:t>
      </w:r>
      <w:r w:rsidR="00713717" w:rsidRPr="00713717">
        <w:rPr>
          <w:i/>
        </w:rPr>
        <w:t>Q</w:t>
      </w:r>
      <w:r w:rsidR="00713717" w:rsidRPr="00713717">
        <w:t xml:space="preserve"> dla genu badanego a </w:t>
      </w:r>
      <w:r w:rsidR="00713717" w:rsidRPr="00713717">
        <w:rPr>
          <w:i/>
        </w:rPr>
        <w:t>Q(ref)</w:t>
      </w:r>
      <w:r w:rsidR="00713717">
        <w:rPr>
          <w:i/>
        </w:rPr>
        <w:t xml:space="preserve"> </w:t>
      </w:r>
      <w:r w:rsidR="00713717" w:rsidRPr="00713717">
        <w:t>dla genu referencyjnego</w:t>
      </w:r>
      <w:r w:rsidR="00713717">
        <w:t>).</w:t>
      </w:r>
      <w:r w:rsidR="00C5234E">
        <w:t xml:space="preserve"> Następnie na podstawie obliczonych wartości tworzona jest tabela wynikowa oraz wykresy.</w:t>
      </w:r>
    </w:p>
    <w:p w:rsidR="00051EDD" w:rsidRDefault="00051EDD" w:rsidP="000011DA">
      <w:pPr>
        <w:ind w:firstLine="493"/>
      </w:pPr>
    </w:p>
    <w:p w:rsidR="00801203" w:rsidRDefault="00801203" w:rsidP="00575A2C">
      <w:pPr>
        <w:ind w:firstLine="708"/>
      </w:pPr>
    </w:p>
    <w:p w:rsidR="00801203" w:rsidRDefault="00801203" w:rsidP="00801203">
      <w:pPr>
        <w:pStyle w:val="Heading2"/>
      </w:pPr>
      <w:r>
        <w:lastRenderedPageBreak/>
        <w:t>3</w:t>
      </w:r>
      <w:r>
        <w:t xml:space="preserve">.x </w:t>
      </w:r>
      <w:r>
        <w:t>Interfejs graficzny</w:t>
      </w:r>
    </w:p>
    <w:p w:rsidR="000011DA" w:rsidRDefault="00412D74" w:rsidP="000011DA">
      <w:pPr>
        <w:ind w:firstLine="493"/>
      </w:pPr>
      <w:r>
        <w:t>Interfejs graficzny stworzonej aplikacji</w:t>
      </w:r>
      <w:r w:rsidR="00177079">
        <w:t xml:space="preserve"> składa się z 2 głównych części: panelu bocznego oraz panelu głównego. </w:t>
      </w:r>
    </w:p>
    <w:p w:rsidR="000011DA" w:rsidRDefault="000011DA" w:rsidP="000011DA">
      <w:pPr>
        <w:ind w:firstLine="493"/>
      </w:pPr>
    </w:p>
    <w:p w:rsidR="00801203" w:rsidRDefault="00895AC0" w:rsidP="00E070E7">
      <w:pPr>
        <w:ind w:firstLine="493"/>
      </w:pPr>
      <w:r>
        <w:t xml:space="preserve">W panelu bocznym znajdują się elementy interfejsu związane z wczytywaniem i wyborem danych. </w:t>
      </w:r>
      <w:r w:rsidR="00A97144">
        <w:t>W pierwszym kroku użytkownik ma możliwość wczytania pliku z listą nazw genów referencyjnych. Następnie użytkownik dokonuje wyboru genów z wczytanej listy, które zostaną wykorzystane do analizy danych. W trzecim kroku użytkownik wczytuje zastaw danych z eksperymentu. Po wykonaniu powyższych czynności można rozpocząć wykonywanie obliczeni poprzez naciśnięcie przycisku „ANALYSE”.</w:t>
      </w:r>
      <w:r w:rsidR="002F6151">
        <w:t xml:space="preserve"> Istnieje również możliwość pobrania wyników wykonanej analizy poprzez naciśnięcie przycisku „Download the results”.</w:t>
      </w:r>
      <w:r w:rsidR="008261DC">
        <w:t xml:space="preserve"> </w:t>
      </w:r>
    </w:p>
    <w:p w:rsidR="00E070E7" w:rsidRDefault="00E070E7" w:rsidP="00E070E7">
      <w:pPr>
        <w:ind w:firstLine="493"/>
      </w:pPr>
    </w:p>
    <w:p w:rsidR="00E070E7" w:rsidRDefault="00E070E7" w:rsidP="00E070E7">
      <w:pPr>
        <w:ind w:firstLine="493"/>
      </w:pPr>
      <w:r>
        <w:t>W panelu głównym znajdują się cztery zakładki: Tool description, Results, Boxplot – genes oraz Boxplot – samples. W pierwszej z nich znajduje się krótki opis narzędzia</w:t>
      </w:r>
      <w:r w:rsidR="004201A0">
        <w:t>, instrukcja obsługi</w:t>
      </w:r>
      <w:r>
        <w:t xml:space="preserve"> oraz lista potrzebnych plików wraz z obrazkami przedstawiającymi ich wymaganą </w:t>
      </w:r>
      <w:r w:rsidR="004201A0">
        <w:t>strukturę, jak również wymagany format nazwy plików.</w:t>
      </w:r>
      <w:r w:rsidR="00584357">
        <w:t xml:space="preserve"> W drugiej znajduje się tabela z wynikiem analizy, w trzeciej wykres pudełkowy dla każdego genu</w:t>
      </w:r>
      <w:r w:rsidR="00AB46BB">
        <w:t>,</w:t>
      </w:r>
      <w:bookmarkStart w:id="4" w:name="_GoBack"/>
      <w:bookmarkEnd w:id="4"/>
      <w:r w:rsidR="00584357">
        <w:t xml:space="preserve"> a w ostatniej wykres pudełkowy dla każdej próbki.</w:t>
      </w:r>
    </w:p>
    <w:p w:rsidR="000011DA" w:rsidRDefault="000011DA" w:rsidP="000011DA">
      <w:pPr>
        <w:ind w:firstLine="493"/>
      </w:pPr>
    </w:p>
    <w:p w:rsidR="000011DA" w:rsidRPr="00801203" w:rsidRDefault="000011DA" w:rsidP="000011DA">
      <w:pPr>
        <w:ind w:firstLine="493"/>
      </w:pPr>
    </w:p>
    <w:p w:rsidR="00801203" w:rsidRPr="00187752" w:rsidRDefault="00801203" w:rsidP="00575A2C">
      <w:pPr>
        <w:ind w:firstLine="708"/>
      </w:pPr>
    </w:p>
    <w:p w:rsidR="00960A4F" w:rsidRPr="00C945BF" w:rsidRDefault="00960A4F" w:rsidP="00E94970"/>
    <w:p w:rsidR="00E94970" w:rsidRDefault="00E94970" w:rsidP="00E94970">
      <w:pPr>
        <w:pStyle w:val="Heading1"/>
        <w:numPr>
          <w:ilvl w:val="0"/>
          <w:numId w:val="2"/>
        </w:numPr>
        <w:jc w:val="left"/>
      </w:pPr>
      <w:bookmarkStart w:id="5" w:name="_Toc381701328"/>
      <w:r>
        <w:t>Tabele</w:t>
      </w:r>
      <w:bookmarkEnd w:id="5"/>
    </w:p>
    <w:p w:rsidR="00E94970" w:rsidRDefault="00E94970" w:rsidP="00E94970">
      <w:r>
        <w:t>Tabele mogą być różne i dostosowane do specyfiki zagadnień poruszanych w  projekcie inżynierskim. Przykładową tabelę pokazano poniżej.</w:t>
      </w:r>
    </w:p>
    <w:p w:rsidR="00E94970" w:rsidRDefault="00E94970" w:rsidP="00E94970"/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570"/>
        <w:gridCol w:w="1076"/>
        <w:gridCol w:w="1041"/>
        <w:gridCol w:w="858"/>
        <w:gridCol w:w="859"/>
        <w:gridCol w:w="859"/>
        <w:gridCol w:w="859"/>
        <w:gridCol w:w="862"/>
        <w:gridCol w:w="860"/>
        <w:gridCol w:w="856"/>
      </w:tblGrid>
      <w:tr w:rsidR="00E94970" w:rsidTr="00525D70">
        <w:tc>
          <w:tcPr>
            <w:tcW w:w="8700" w:type="dxa"/>
            <w:gridSpan w:val="10"/>
            <w:tcBorders>
              <w:top w:val="nil"/>
              <w:left w:val="nil"/>
              <w:bottom w:val="nil"/>
              <w:right w:val="nil"/>
            </w:tcBorders>
          </w:tcPr>
          <w:p w:rsidR="00E94970" w:rsidRDefault="00E94970" w:rsidP="007A041D">
            <w:pPr>
              <w:pStyle w:val="Caption"/>
              <w:ind w:firstLine="0"/>
              <w:jc w:val="right"/>
            </w:pPr>
            <w:r>
              <w:t>Tabela 4.</w:t>
            </w:r>
            <w:r w:rsidR="00256B22">
              <w:fldChar w:fldCharType="begin"/>
            </w:r>
            <w:r w:rsidR="00256B22">
              <w:instrText xml:space="preserve"> SEQ Tabela \* ARABIC </w:instrText>
            </w:r>
            <w:r w:rsidR="00256B22">
              <w:fldChar w:fldCharType="separate"/>
            </w:r>
            <w:r w:rsidR="00525D70">
              <w:rPr>
                <w:noProof/>
              </w:rPr>
              <w:t>1</w:t>
            </w:r>
            <w:r w:rsidR="00256B22">
              <w:rPr>
                <w:noProof/>
              </w:rPr>
              <w:fldChar w:fldCharType="end"/>
            </w:r>
          </w:p>
        </w:tc>
      </w:tr>
      <w:tr w:rsidR="00E94970" w:rsidTr="00525D70">
        <w:tc>
          <w:tcPr>
            <w:tcW w:w="8700" w:type="dxa"/>
            <w:gridSpan w:val="10"/>
            <w:tcBorders>
              <w:top w:val="nil"/>
              <w:left w:val="nil"/>
              <w:right w:val="nil"/>
            </w:tcBorders>
          </w:tcPr>
          <w:p w:rsidR="00E94970" w:rsidRDefault="00E94970" w:rsidP="007A041D">
            <w:pPr>
              <w:pStyle w:val="Caption"/>
              <w:ind w:firstLine="0"/>
              <w:jc w:val="center"/>
            </w:pPr>
            <w:r>
              <w:t xml:space="preserve">Tytuł tabeli </w:t>
            </w:r>
          </w:p>
        </w:tc>
      </w:tr>
      <w:tr w:rsidR="00E94970" w:rsidTr="00525D70">
        <w:trPr>
          <w:cantSplit/>
        </w:trPr>
        <w:tc>
          <w:tcPr>
            <w:tcW w:w="570" w:type="dxa"/>
            <w:vMerge w:val="restart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Lp.</w:t>
            </w:r>
          </w:p>
        </w:tc>
        <w:tc>
          <w:tcPr>
            <w:tcW w:w="2117" w:type="dxa"/>
            <w:gridSpan w:val="2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Parametry</w:t>
            </w:r>
          </w:p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równania</w:t>
            </w:r>
          </w:p>
          <w:p w:rsidR="00E94970" w:rsidRDefault="00E94970" w:rsidP="007A041D">
            <w:pPr>
              <w:jc w:val="center"/>
              <w:rPr>
                <w:b/>
                <w:bCs/>
              </w:rPr>
            </w:pPr>
          </w:p>
        </w:tc>
        <w:tc>
          <w:tcPr>
            <w:tcW w:w="858" w:type="dxa"/>
            <w:vMerge w:val="restart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T</w:t>
            </w:r>
          </w:p>
        </w:tc>
        <w:tc>
          <w:tcPr>
            <w:tcW w:w="859" w:type="dxa"/>
            <w:vMerge w:val="restart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U</w:t>
            </w:r>
          </w:p>
        </w:tc>
        <w:tc>
          <w:tcPr>
            <w:tcW w:w="859" w:type="dxa"/>
            <w:vMerge w:val="restart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I</w:t>
            </w:r>
          </w:p>
        </w:tc>
        <w:tc>
          <w:tcPr>
            <w:tcW w:w="859" w:type="dxa"/>
            <w:vMerge w:val="restart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F</w:t>
            </w:r>
          </w:p>
        </w:tc>
        <w:tc>
          <w:tcPr>
            <w:tcW w:w="862" w:type="dxa"/>
            <w:vMerge w:val="restart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P</w:t>
            </w:r>
          </w:p>
        </w:tc>
        <w:tc>
          <w:tcPr>
            <w:tcW w:w="860" w:type="dxa"/>
            <w:vMerge w:val="restart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l</w:t>
            </w:r>
          </w:p>
        </w:tc>
        <w:tc>
          <w:tcPr>
            <w:tcW w:w="856" w:type="dxa"/>
            <w:vMerge w:val="restart"/>
          </w:tcPr>
          <w:p w:rsidR="00E94970" w:rsidRDefault="00E94970" w:rsidP="007A041D">
            <w:pPr>
              <w:jc w:val="center"/>
            </w:pPr>
            <w:r>
              <w:t>Uwagi</w:t>
            </w:r>
          </w:p>
          <w:p w:rsidR="00E94970" w:rsidRDefault="00E94970" w:rsidP="007A041D">
            <w:pPr>
              <w:jc w:val="center"/>
            </w:pPr>
          </w:p>
        </w:tc>
      </w:tr>
      <w:tr w:rsidR="00E94970" w:rsidTr="00525D70">
        <w:trPr>
          <w:cantSplit/>
        </w:trPr>
        <w:tc>
          <w:tcPr>
            <w:tcW w:w="570" w:type="dxa"/>
            <w:vMerge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</w:p>
        </w:tc>
        <w:tc>
          <w:tcPr>
            <w:tcW w:w="1076" w:type="dxa"/>
          </w:tcPr>
          <w:p w:rsidR="00E94970" w:rsidRDefault="00E94970" w:rsidP="007A041D">
            <w:pPr>
              <w:jc w:val="center"/>
              <w:rPr>
                <w:b/>
                <w:bCs/>
                <w:vertAlign w:val="subscript"/>
              </w:rPr>
            </w:pPr>
            <w:r>
              <w:rPr>
                <w:b/>
                <w:bCs/>
              </w:rPr>
              <w:sym w:font="Symbol" w:char="F061"/>
            </w:r>
          </w:p>
        </w:tc>
        <w:tc>
          <w:tcPr>
            <w:tcW w:w="1041" w:type="dxa"/>
          </w:tcPr>
          <w:p w:rsidR="00E94970" w:rsidRDefault="00E94970" w:rsidP="007A041D">
            <w:pPr>
              <w:jc w:val="center"/>
              <w:rPr>
                <w:rFonts w:ascii="Symbol" w:hAnsi="Symbol"/>
                <w:b/>
                <w:bCs/>
                <w:vertAlign w:val="subscript"/>
              </w:rPr>
            </w:pPr>
            <w:r>
              <w:rPr>
                <w:rFonts w:ascii="Symbol" w:hAnsi="Symbol"/>
                <w:b/>
                <w:bCs/>
              </w:rPr>
              <w:t></w:t>
            </w:r>
          </w:p>
        </w:tc>
        <w:tc>
          <w:tcPr>
            <w:tcW w:w="858" w:type="dxa"/>
            <w:vMerge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</w:p>
        </w:tc>
        <w:tc>
          <w:tcPr>
            <w:tcW w:w="859" w:type="dxa"/>
            <w:vMerge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</w:p>
        </w:tc>
        <w:tc>
          <w:tcPr>
            <w:tcW w:w="859" w:type="dxa"/>
            <w:vMerge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</w:p>
        </w:tc>
        <w:tc>
          <w:tcPr>
            <w:tcW w:w="859" w:type="dxa"/>
            <w:vMerge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</w:p>
        </w:tc>
        <w:tc>
          <w:tcPr>
            <w:tcW w:w="862" w:type="dxa"/>
            <w:vMerge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</w:p>
        </w:tc>
        <w:tc>
          <w:tcPr>
            <w:tcW w:w="860" w:type="dxa"/>
            <w:vMerge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</w:p>
        </w:tc>
        <w:tc>
          <w:tcPr>
            <w:tcW w:w="856" w:type="dxa"/>
            <w:vMerge/>
          </w:tcPr>
          <w:p w:rsidR="00E94970" w:rsidRDefault="00E94970" w:rsidP="007A041D">
            <w:pPr>
              <w:jc w:val="center"/>
            </w:pPr>
          </w:p>
        </w:tc>
      </w:tr>
      <w:tr w:rsidR="00E94970" w:rsidTr="00525D70">
        <w:trPr>
          <w:cantSplit/>
        </w:trPr>
        <w:tc>
          <w:tcPr>
            <w:tcW w:w="570" w:type="dxa"/>
            <w:vMerge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</w:p>
        </w:tc>
        <w:tc>
          <w:tcPr>
            <w:tcW w:w="1076" w:type="dxa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-</w:t>
            </w:r>
          </w:p>
        </w:tc>
        <w:tc>
          <w:tcPr>
            <w:tcW w:w="1041" w:type="dxa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-</w:t>
            </w:r>
          </w:p>
        </w:tc>
        <w:tc>
          <w:tcPr>
            <w:tcW w:w="858" w:type="dxa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S</w:t>
            </w: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V</w:t>
            </w: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A</w:t>
            </w: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N</w:t>
            </w:r>
          </w:p>
        </w:tc>
        <w:tc>
          <w:tcPr>
            <w:tcW w:w="862" w:type="dxa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kW</w:t>
            </w:r>
          </w:p>
        </w:tc>
        <w:tc>
          <w:tcPr>
            <w:tcW w:w="860" w:type="dxa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m</w:t>
            </w:r>
          </w:p>
        </w:tc>
        <w:tc>
          <w:tcPr>
            <w:tcW w:w="856" w:type="dxa"/>
            <w:vMerge/>
          </w:tcPr>
          <w:p w:rsidR="00E94970" w:rsidRDefault="00E94970" w:rsidP="007A041D">
            <w:pPr>
              <w:jc w:val="center"/>
            </w:pPr>
          </w:p>
        </w:tc>
      </w:tr>
      <w:tr w:rsidR="00E94970" w:rsidTr="00525D70">
        <w:tc>
          <w:tcPr>
            <w:tcW w:w="570" w:type="dxa"/>
          </w:tcPr>
          <w:p w:rsidR="00E94970" w:rsidRDefault="00E94970" w:rsidP="007A041D">
            <w:pPr>
              <w:jc w:val="center"/>
              <w:rPr>
                <w:sz w:val="20"/>
              </w:rPr>
            </w:pPr>
            <w:r>
              <w:rPr>
                <w:sz w:val="20"/>
              </w:rPr>
              <w:t>1</w:t>
            </w:r>
          </w:p>
        </w:tc>
        <w:tc>
          <w:tcPr>
            <w:tcW w:w="1076" w:type="dxa"/>
          </w:tcPr>
          <w:p w:rsidR="00E94970" w:rsidRDefault="00E94970" w:rsidP="007A041D">
            <w:pPr>
              <w:jc w:val="center"/>
              <w:rPr>
                <w:sz w:val="20"/>
              </w:rPr>
            </w:pPr>
            <w:r>
              <w:rPr>
                <w:sz w:val="20"/>
              </w:rPr>
              <w:t>2</w:t>
            </w:r>
          </w:p>
        </w:tc>
        <w:tc>
          <w:tcPr>
            <w:tcW w:w="1041" w:type="dxa"/>
          </w:tcPr>
          <w:p w:rsidR="00E94970" w:rsidRDefault="00E94970" w:rsidP="007A041D">
            <w:pPr>
              <w:jc w:val="center"/>
              <w:rPr>
                <w:sz w:val="20"/>
              </w:rPr>
            </w:pPr>
            <w:r>
              <w:rPr>
                <w:sz w:val="20"/>
              </w:rPr>
              <w:t>3</w:t>
            </w:r>
          </w:p>
        </w:tc>
        <w:tc>
          <w:tcPr>
            <w:tcW w:w="858" w:type="dxa"/>
          </w:tcPr>
          <w:p w:rsidR="00E94970" w:rsidRDefault="00E94970" w:rsidP="007A041D">
            <w:pPr>
              <w:jc w:val="center"/>
              <w:rPr>
                <w:sz w:val="20"/>
              </w:rPr>
            </w:pPr>
            <w:r>
              <w:rPr>
                <w:sz w:val="20"/>
              </w:rPr>
              <w:t>4</w:t>
            </w: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 w:val="20"/>
              </w:rPr>
            </w:pPr>
            <w:r>
              <w:rPr>
                <w:sz w:val="20"/>
              </w:rPr>
              <w:t>5</w:t>
            </w: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 w:val="20"/>
              </w:rPr>
            </w:pPr>
            <w:r>
              <w:rPr>
                <w:sz w:val="20"/>
              </w:rPr>
              <w:t>6</w:t>
            </w: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 w:val="20"/>
              </w:rPr>
            </w:pPr>
            <w:r>
              <w:rPr>
                <w:sz w:val="20"/>
              </w:rPr>
              <w:t>7</w:t>
            </w:r>
          </w:p>
        </w:tc>
        <w:tc>
          <w:tcPr>
            <w:tcW w:w="862" w:type="dxa"/>
          </w:tcPr>
          <w:p w:rsidR="00E94970" w:rsidRDefault="00E94970" w:rsidP="007A041D">
            <w:pPr>
              <w:jc w:val="center"/>
              <w:rPr>
                <w:sz w:val="20"/>
              </w:rPr>
            </w:pPr>
            <w:r>
              <w:rPr>
                <w:sz w:val="20"/>
              </w:rPr>
              <w:t>8</w:t>
            </w:r>
          </w:p>
        </w:tc>
        <w:tc>
          <w:tcPr>
            <w:tcW w:w="860" w:type="dxa"/>
          </w:tcPr>
          <w:p w:rsidR="00E94970" w:rsidRDefault="00E94970" w:rsidP="007A041D">
            <w:pPr>
              <w:jc w:val="center"/>
              <w:rPr>
                <w:sz w:val="20"/>
              </w:rPr>
            </w:pPr>
            <w:r>
              <w:rPr>
                <w:sz w:val="20"/>
              </w:rPr>
              <w:t>9</w:t>
            </w:r>
          </w:p>
        </w:tc>
        <w:tc>
          <w:tcPr>
            <w:tcW w:w="856" w:type="dxa"/>
          </w:tcPr>
          <w:p w:rsidR="00E94970" w:rsidRDefault="00E94970" w:rsidP="007A041D">
            <w:pPr>
              <w:jc w:val="center"/>
              <w:rPr>
                <w:sz w:val="20"/>
              </w:rPr>
            </w:pPr>
            <w:r>
              <w:rPr>
                <w:sz w:val="20"/>
              </w:rPr>
              <w:t>10</w:t>
            </w:r>
          </w:p>
        </w:tc>
      </w:tr>
      <w:tr w:rsidR="00E94970" w:rsidTr="00525D70">
        <w:tc>
          <w:tcPr>
            <w:tcW w:w="57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7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41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8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2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</w:tr>
      <w:tr w:rsidR="00E94970" w:rsidTr="00525D70">
        <w:tc>
          <w:tcPr>
            <w:tcW w:w="57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7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41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8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2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</w:tr>
      <w:tr w:rsidR="00E94970" w:rsidTr="00525D70">
        <w:tc>
          <w:tcPr>
            <w:tcW w:w="57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7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41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8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2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</w:tr>
      <w:tr w:rsidR="00E94970" w:rsidTr="00525D70">
        <w:tc>
          <w:tcPr>
            <w:tcW w:w="57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7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41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8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2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</w:tr>
      <w:tr w:rsidR="00E94970" w:rsidTr="00525D70">
        <w:tc>
          <w:tcPr>
            <w:tcW w:w="57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7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41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8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2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</w:tr>
      <w:tr w:rsidR="00E94970" w:rsidTr="00525D70">
        <w:tc>
          <w:tcPr>
            <w:tcW w:w="57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7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41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8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2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</w:tr>
      <w:tr w:rsidR="00E94970" w:rsidTr="00525D70">
        <w:tc>
          <w:tcPr>
            <w:tcW w:w="57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7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41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8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2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</w:tr>
    </w:tbl>
    <w:p w:rsidR="00E94970" w:rsidRDefault="00E94970" w:rsidP="00E94970"/>
    <w:p w:rsidR="00E94970" w:rsidRDefault="00E94970" w:rsidP="00E94970">
      <w:pPr>
        <w:pStyle w:val="Heading1"/>
        <w:numPr>
          <w:ilvl w:val="0"/>
          <w:numId w:val="2"/>
        </w:numPr>
        <w:jc w:val="left"/>
      </w:pPr>
      <w:r>
        <w:br w:type="page"/>
      </w:r>
      <w:r>
        <w:lastRenderedPageBreak/>
        <w:t xml:space="preserve"> </w:t>
      </w:r>
      <w:bookmarkStart w:id="6" w:name="_Toc381701329"/>
      <w:r>
        <w:t>Równania</w:t>
      </w:r>
      <w:bookmarkEnd w:id="6"/>
    </w:p>
    <w:p w:rsidR="00E94970" w:rsidRDefault="00E94970" w:rsidP="00E94970">
      <w:r>
        <w:t>Równania piszemy zgodnie z założeniami podanymi prz</w:t>
      </w:r>
      <w:r w:rsidR="00525D70">
        <w:t>ez Kierującego projektem lub wg </w:t>
      </w:r>
      <w:r>
        <w:t>uznania Autora projektu. Przykład zapisu równań przedstawiono poniżej.</w:t>
      </w:r>
    </w:p>
    <w:p w:rsidR="00E94970" w:rsidRDefault="00E94970" w:rsidP="00E94970"/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540"/>
        <w:gridCol w:w="360"/>
        <w:gridCol w:w="6480"/>
        <w:gridCol w:w="1267"/>
      </w:tblGrid>
      <w:tr w:rsidR="00E94970" w:rsidTr="00525D70">
        <w:tc>
          <w:tcPr>
            <w:tcW w:w="7380" w:type="dxa"/>
            <w:gridSpan w:val="3"/>
            <w:vAlign w:val="center"/>
          </w:tcPr>
          <w:p w:rsidR="00E94970" w:rsidRDefault="00E94970" w:rsidP="007A041D">
            <w:pPr>
              <w:jc w:val="center"/>
              <w:rPr>
                <w:i/>
                <w:iCs/>
              </w:rPr>
            </w:pPr>
            <w:r w:rsidRPr="000C322F">
              <w:rPr>
                <w:i/>
                <w:iCs/>
                <w:position w:val="-24"/>
              </w:rPr>
              <w:object w:dxaOrig="639" w:dyaOrig="62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33pt;height:30.75pt" o:ole="">
                  <v:imagedata r:id="rId15" o:title=""/>
                </v:shape>
                <o:OLEObject Type="Embed" ProgID="Equation.3" ShapeID="_x0000_i1025" DrawAspect="Content" ObjectID="_1545327627" r:id="rId16"/>
              </w:object>
            </w:r>
            <w:r>
              <w:rPr>
                <w:i/>
                <w:iCs/>
              </w:rPr>
              <w:t xml:space="preserve"> ,</w:t>
            </w:r>
          </w:p>
        </w:tc>
        <w:tc>
          <w:tcPr>
            <w:tcW w:w="1267" w:type="dxa"/>
            <w:vAlign w:val="center"/>
          </w:tcPr>
          <w:p w:rsidR="00E94970" w:rsidRDefault="00E94970" w:rsidP="007A041D">
            <w:pPr>
              <w:jc w:val="center"/>
            </w:pPr>
            <w:r>
              <w:t>(5.1)</w:t>
            </w:r>
          </w:p>
        </w:tc>
      </w:tr>
      <w:tr w:rsidR="00E94970" w:rsidTr="00525D70">
        <w:tc>
          <w:tcPr>
            <w:tcW w:w="8647" w:type="dxa"/>
            <w:gridSpan w:val="4"/>
            <w:vAlign w:val="center"/>
          </w:tcPr>
          <w:p w:rsidR="00E94970" w:rsidRDefault="00E94970" w:rsidP="007A041D">
            <w:pPr>
              <w:jc w:val="left"/>
            </w:pPr>
            <w:r>
              <w:rPr>
                <w:i/>
                <w:iCs/>
              </w:rPr>
              <w:t>gdzie:</w:t>
            </w:r>
          </w:p>
        </w:tc>
      </w:tr>
      <w:tr w:rsidR="00E94970" w:rsidTr="00525D70">
        <w:tc>
          <w:tcPr>
            <w:tcW w:w="540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I</w:t>
            </w:r>
          </w:p>
        </w:tc>
        <w:tc>
          <w:tcPr>
            <w:tcW w:w="360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747" w:type="dxa"/>
            <w:gridSpan w:val="2"/>
            <w:vAlign w:val="center"/>
          </w:tcPr>
          <w:p w:rsidR="00E94970" w:rsidRDefault="00E94970" w:rsidP="007A041D">
            <w:pPr>
              <w:jc w:val="left"/>
            </w:pPr>
            <w:r>
              <w:rPr>
                <w:i/>
                <w:iCs/>
              </w:rPr>
              <w:t>objaśnienie symbolu I,</w:t>
            </w:r>
          </w:p>
        </w:tc>
      </w:tr>
      <w:tr w:rsidR="00E94970" w:rsidTr="00525D70">
        <w:tc>
          <w:tcPr>
            <w:tcW w:w="540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Z</w:t>
            </w:r>
          </w:p>
        </w:tc>
        <w:tc>
          <w:tcPr>
            <w:tcW w:w="360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747" w:type="dxa"/>
            <w:gridSpan w:val="2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objaśnienie symbolu Z.</w:t>
            </w:r>
          </w:p>
        </w:tc>
      </w:tr>
    </w:tbl>
    <w:p w:rsidR="00E94970" w:rsidRDefault="00E94970" w:rsidP="00E94970"/>
    <w:p w:rsidR="00E94970" w:rsidRDefault="00E94970" w:rsidP="00E94970">
      <w:r>
        <w:t>Równania w całym tekście projektu inżynierskiego powinny być ujednolicone.</w:t>
      </w:r>
    </w:p>
    <w:p w:rsidR="00E94970" w:rsidRDefault="00E94970" w:rsidP="00E94970"/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540"/>
        <w:gridCol w:w="360"/>
        <w:gridCol w:w="6480"/>
        <w:gridCol w:w="1267"/>
      </w:tblGrid>
      <w:tr w:rsidR="00E94970" w:rsidTr="00525D70">
        <w:tc>
          <w:tcPr>
            <w:tcW w:w="7380" w:type="dxa"/>
            <w:gridSpan w:val="3"/>
            <w:vAlign w:val="center"/>
          </w:tcPr>
          <w:p w:rsidR="00E94970" w:rsidRDefault="00E94970" w:rsidP="007A041D">
            <w:pPr>
              <w:jc w:val="center"/>
              <w:rPr>
                <w:i/>
                <w:iCs/>
              </w:rPr>
            </w:pPr>
            <w:r w:rsidRPr="000C322F">
              <w:rPr>
                <w:i/>
                <w:iCs/>
                <w:position w:val="-4"/>
              </w:rPr>
              <w:object w:dxaOrig="1020" w:dyaOrig="300">
                <v:shape id="_x0000_i1026" type="#_x0000_t75" style="width:51pt;height:15pt" o:ole="">
                  <v:imagedata r:id="rId17" o:title=""/>
                </v:shape>
                <o:OLEObject Type="Embed" ProgID="Equation.3" ShapeID="_x0000_i1026" DrawAspect="Content" ObjectID="_1545327628" r:id="rId18"/>
              </w:object>
            </w:r>
            <w:r>
              <w:rPr>
                <w:i/>
                <w:iCs/>
              </w:rPr>
              <w:t xml:space="preserve"> ,</w:t>
            </w:r>
          </w:p>
        </w:tc>
        <w:tc>
          <w:tcPr>
            <w:tcW w:w="1267" w:type="dxa"/>
            <w:vAlign w:val="center"/>
          </w:tcPr>
          <w:p w:rsidR="00E94970" w:rsidRDefault="00E94970" w:rsidP="007A041D">
            <w:pPr>
              <w:jc w:val="center"/>
            </w:pPr>
            <w:r>
              <w:t>(5.2)</w:t>
            </w:r>
          </w:p>
        </w:tc>
      </w:tr>
      <w:tr w:rsidR="00E94970" w:rsidTr="00525D70">
        <w:tc>
          <w:tcPr>
            <w:tcW w:w="8647" w:type="dxa"/>
            <w:gridSpan w:val="4"/>
            <w:vAlign w:val="center"/>
          </w:tcPr>
          <w:p w:rsidR="00E94970" w:rsidRDefault="00E94970" w:rsidP="007A041D">
            <w:pPr>
              <w:jc w:val="left"/>
            </w:pPr>
            <w:r>
              <w:rPr>
                <w:i/>
                <w:iCs/>
              </w:rPr>
              <w:t>gdzie:</w:t>
            </w:r>
          </w:p>
        </w:tc>
      </w:tr>
      <w:tr w:rsidR="00E94970" w:rsidTr="00525D70">
        <w:tc>
          <w:tcPr>
            <w:tcW w:w="540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I</w:t>
            </w:r>
          </w:p>
        </w:tc>
        <w:tc>
          <w:tcPr>
            <w:tcW w:w="360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747" w:type="dxa"/>
            <w:gridSpan w:val="2"/>
            <w:vAlign w:val="center"/>
          </w:tcPr>
          <w:p w:rsidR="00E94970" w:rsidRDefault="00E94970" w:rsidP="007A041D">
            <w:pPr>
              <w:jc w:val="left"/>
            </w:pPr>
            <w:r>
              <w:rPr>
                <w:i/>
                <w:iCs/>
              </w:rPr>
              <w:t>objaśnienie symbolu I,</w:t>
            </w:r>
          </w:p>
        </w:tc>
      </w:tr>
      <w:tr w:rsidR="00E94970" w:rsidTr="00525D70">
        <w:tc>
          <w:tcPr>
            <w:tcW w:w="540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R</w:t>
            </w:r>
          </w:p>
        </w:tc>
        <w:tc>
          <w:tcPr>
            <w:tcW w:w="360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747" w:type="dxa"/>
            <w:gridSpan w:val="2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objaśnienie symbolu R.</w:t>
            </w:r>
          </w:p>
        </w:tc>
      </w:tr>
    </w:tbl>
    <w:p w:rsidR="00E94970" w:rsidRDefault="00E94970" w:rsidP="00E94970"/>
    <w:p w:rsidR="00E94970" w:rsidRDefault="00E94970" w:rsidP="00DC6F0C">
      <w:pPr>
        <w:pStyle w:val="Heading1"/>
        <w:numPr>
          <w:ilvl w:val="0"/>
          <w:numId w:val="2"/>
        </w:numPr>
        <w:jc w:val="left"/>
      </w:pPr>
      <w:r>
        <w:br w:type="page"/>
      </w:r>
      <w:r>
        <w:lastRenderedPageBreak/>
        <w:t xml:space="preserve"> </w:t>
      </w:r>
      <w:r w:rsidR="00EE3709">
        <w:t>Bibliografia</w:t>
      </w:r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709"/>
        <w:gridCol w:w="7938"/>
      </w:tblGrid>
      <w:tr w:rsidR="00487441" w:rsidTr="00525D70">
        <w:tc>
          <w:tcPr>
            <w:tcW w:w="709" w:type="dxa"/>
          </w:tcPr>
          <w:p w:rsidR="00487441" w:rsidRDefault="00487441" w:rsidP="007A041D">
            <w:pPr>
              <w:spacing w:before="140"/>
              <w:jc w:val="left"/>
            </w:pPr>
            <w:r>
              <w:t>[1]</w:t>
            </w:r>
          </w:p>
        </w:tc>
        <w:tc>
          <w:tcPr>
            <w:tcW w:w="7938" w:type="dxa"/>
            <w:vAlign w:val="center"/>
          </w:tcPr>
          <w:p w:rsidR="00487441" w:rsidRPr="00487441" w:rsidRDefault="00487441" w:rsidP="001A1E62">
            <w:pPr>
              <w:spacing w:before="140"/>
            </w:pPr>
            <w:r>
              <w:t>Studzińska</w:t>
            </w:r>
            <w:r w:rsidR="001A1E62">
              <w:t xml:space="preserve"> Anna</w:t>
            </w:r>
            <w:r>
              <w:t>, Tyburski</w:t>
            </w:r>
            <w:r w:rsidR="001A1E62">
              <w:t xml:space="preserve"> J.</w:t>
            </w:r>
            <w:r>
              <w:t>, Daca</w:t>
            </w:r>
            <w:r w:rsidR="001A1E62">
              <w:t xml:space="preserve"> P.</w:t>
            </w:r>
            <w:r>
              <w:t>, Tretyn</w:t>
            </w:r>
            <w:r w:rsidR="001A1E62">
              <w:t xml:space="preserve"> A.</w:t>
            </w:r>
            <w:r>
              <w:t xml:space="preserve">, </w:t>
            </w:r>
            <w:r w:rsidRPr="00487441">
              <w:rPr>
                <w:i/>
              </w:rPr>
              <w:t>PCR w czasie rzeczywistym. Istota metody i strategie monitorowania przebiegu reakcji</w:t>
            </w:r>
            <w:r>
              <w:t>, B</w:t>
            </w:r>
            <w:r w:rsidR="00A55A5A">
              <w:t>iotechnologia</w:t>
            </w:r>
            <w:r>
              <w:t xml:space="preserve"> 1 (80) 2008, str. 71-85</w:t>
            </w:r>
            <w:r w:rsidR="00436567">
              <w:t>.</w:t>
            </w:r>
          </w:p>
        </w:tc>
      </w:tr>
      <w:tr w:rsidR="008516EC" w:rsidTr="00525D70">
        <w:tc>
          <w:tcPr>
            <w:tcW w:w="709" w:type="dxa"/>
          </w:tcPr>
          <w:p w:rsidR="008516EC" w:rsidRDefault="008516EC" w:rsidP="008516EC">
            <w:pPr>
              <w:spacing w:before="140"/>
              <w:jc w:val="left"/>
            </w:pPr>
            <w:r>
              <w:t>[2]</w:t>
            </w:r>
          </w:p>
        </w:tc>
        <w:tc>
          <w:tcPr>
            <w:tcW w:w="7938" w:type="dxa"/>
            <w:vAlign w:val="center"/>
          </w:tcPr>
          <w:p w:rsidR="008516EC" w:rsidRPr="00487441" w:rsidRDefault="008516EC" w:rsidP="008516EC">
            <w:pPr>
              <w:spacing w:before="140"/>
            </w:pPr>
            <w:r>
              <w:t xml:space="preserve">Anna Studzińska, Jarosław Tyburski, Patrycja Daca, Andrzej Tretyn, </w:t>
            </w:r>
            <w:r w:rsidRPr="00487441">
              <w:rPr>
                <w:i/>
              </w:rPr>
              <w:t>PCR w czasie rzeczywistym. Istota metody i strategie monitorowania przebiegu reakcji</w:t>
            </w:r>
            <w:r>
              <w:t>, Biotechnologia 1 (80) 2008, str. 86-96.</w:t>
            </w:r>
          </w:p>
        </w:tc>
      </w:tr>
      <w:tr w:rsidR="008516EC" w:rsidTr="00525D70">
        <w:tc>
          <w:tcPr>
            <w:tcW w:w="709" w:type="dxa"/>
          </w:tcPr>
          <w:p w:rsidR="008516EC" w:rsidRDefault="008516EC" w:rsidP="008516EC">
            <w:pPr>
              <w:spacing w:before="140"/>
              <w:jc w:val="left"/>
            </w:pPr>
            <w:r>
              <w:t>[3]</w:t>
            </w:r>
          </w:p>
        </w:tc>
        <w:tc>
          <w:tcPr>
            <w:tcW w:w="7938" w:type="dxa"/>
            <w:vAlign w:val="center"/>
          </w:tcPr>
          <w:p w:rsidR="008516EC" w:rsidRPr="00873DCA" w:rsidRDefault="00873DCA" w:rsidP="008516EC">
            <w:pPr>
              <w:spacing w:before="140"/>
            </w:pPr>
            <w:r>
              <w:t xml:space="preserve">Chris Beeley, </w:t>
            </w:r>
            <w:r>
              <w:rPr>
                <w:i/>
              </w:rPr>
              <w:t>Web application development with R using Shiny</w:t>
            </w:r>
            <w:r>
              <w:t xml:space="preserve">, </w:t>
            </w:r>
            <w:r w:rsidR="00A2655D" w:rsidRPr="00A2655D">
              <w:t>Packt Publishing Ltd</w:t>
            </w:r>
            <w:r w:rsidR="00BF5DC1">
              <w:t>.</w:t>
            </w:r>
            <w:r w:rsidR="00A2655D">
              <w:t xml:space="preserve"> 2013</w:t>
            </w:r>
            <w:r w:rsidR="000C2099">
              <w:t>.</w:t>
            </w:r>
          </w:p>
        </w:tc>
      </w:tr>
      <w:tr w:rsidR="008516EC" w:rsidTr="00525D70">
        <w:tc>
          <w:tcPr>
            <w:tcW w:w="709" w:type="dxa"/>
          </w:tcPr>
          <w:p w:rsidR="008516EC" w:rsidRDefault="00AC66D6" w:rsidP="008516EC">
            <w:pPr>
              <w:spacing w:before="140"/>
              <w:jc w:val="left"/>
            </w:pPr>
            <w:r>
              <w:t>[4]</w:t>
            </w:r>
          </w:p>
        </w:tc>
        <w:tc>
          <w:tcPr>
            <w:tcW w:w="7938" w:type="dxa"/>
            <w:vAlign w:val="center"/>
          </w:tcPr>
          <w:p w:rsidR="008516EC" w:rsidRPr="00BF5DC1" w:rsidRDefault="00BF5DC1" w:rsidP="00BF5DC1">
            <w:r w:rsidRPr="00BF5DC1">
              <w:t>Michael W. Pfaffl</w:t>
            </w:r>
            <w:r>
              <w:t xml:space="preserve">, </w:t>
            </w:r>
            <w:r w:rsidRPr="00BF5DC1">
              <w:rPr>
                <w:i/>
              </w:rPr>
              <w:t>A-Z of quantitative PCR</w:t>
            </w:r>
            <w:r>
              <w:t>,</w:t>
            </w:r>
            <w:r>
              <w:rPr>
                <w:rFonts w:ascii="Arial" w:hAnsi="Arial" w:cs="Arial"/>
                <w:color w:val="0000FF"/>
                <w:szCs w:val="24"/>
              </w:rPr>
              <w:t xml:space="preserve"> </w:t>
            </w:r>
            <w:r w:rsidRPr="00BF5DC1">
              <w:t>International University Line 2004, str</w:t>
            </w:r>
            <w:r w:rsidR="00A75836">
              <w:t>.</w:t>
            </w:r>
            <w:r w:rsidRPr="00BF5DC1">
              <w:t xml:space="preserve"> 87 – 112.</w:t>
            </w:r>
          </w:p>
        </w:tc>
      </w:tr>
      <w:tr w:rsidR="008516EC" w:rsidTr="00525D70">
        <w:tc>
          <w:tcPr>
            <w:tcW w:w="709" w:type="dxa"/>
          </w:tcPr>
          <w:p w:rsidR="008516EC" w:rsidRDefault="008516EC" w:rsidP="008516EC">
            <w:pPr>
              <w:spacing w:before="140"/>
              <w:jc w:val="left"/>
            </w:pPr>
            <w:r>
              <w:t>[1]</w:t>
            </w:r>
          </w:p>
        </w:tc>
        <w:tc>
          <w:tcPr>
            <w:tcW w:w="7938" w:type="dxa"/>
            <w:vAlign w:val="center"/>
          </w:tcPr>
          <w:p w:rsidR="008516EC" w:rsidRDefault="008516EC" w:rsidP="008516EC">
            <w:pPr>
              <w:spacing w:before="140"/>
            </w:pPr>
            <w:r>
              <w:t xml:space="preserve">Nazwisko I.: (lub nazwiska autorów z inicjałami imion poszczególnych współautorów), </w:t>
            </w:r>
            <w:r>
              <w:rPr>
                <w:i/>
                <w:iCs/>
              </w:rPr>
              <w:t>Tytuł artykułu lub książki</w:t>
            </w:r>
            <w:r>
              <w:t>, Wydawnictwo lub nazwa periodyku, Miejscowość wydania i rok, str. xx-xx (numery stron podaje się wyłącznie w przypadku artykułów publikowanych w periodykach lub materiałach konferencyjnych).</w:t>
            </w:r>
          </w:p>
        </w:tc>
      </w:tr>
      <w:tr w:rsidR="008516EC" w:rsidTr="00525D70">
        <w:tc>
          <w:tcPr>
            <w:tcW w:w="709" w:type="dxa"/>
          </w:tcPr>
          <w:p w:rsidR="008516EC" w:rsidRDefault="008516EC" w:rsidP="008516EC">
            <w:pPr>
              <w:spacing w:before="140"/>
              <w:jc w:val="left"/>
            </w:pPr>
            <w:r>
              <w:t>[2]</w:t>
            </w:r>
          </w:p>
        </w:tc>
        <w:tc>
          <w:tcPr>
            <w:tcW w:w="7938" w:type="dxa"/>
            <w:vAlign w:val="center"/>
          </w:tcPr>
          <w:p w:rsidR="008516EC" w:rsidRDefault="008516EC" w:rsidP="008516EC">
            <w:pPr>
              <w:spacing w:before="140"/>
              <w:jc w:val="left"/>
            </w:pPr>
            <w:r>
              <w:t>Nr normy, Tytuł normy.</w:t>
            </w:r>
          </w:p>
        </w:tc>
      </w:tr>
    </w:tbl>
    <w:p w:rsidR="00E94970" w:rsidRDefault="00E94970" w:rsidP="00E94970"/>
    <w:p w:rsidR="00E94970" w:rsidRDefault="00E94970" w:rsidP="00E94970">
      <w:pPr>
        <w:pStyle w:val="Heading1"/>
      </w:pPr>
      <w:r>
        <w:br w:type="page"/>
      </w:r>
      <w:bookmarkStart w:id="7" w:name="_Toc381701333"/>
      <w:r>
        <w:lastRenderedPageBreak/>
        <w:t>Załącznik 1</w:t>
      </w:r>
      <w:bookmarkEnd w:id="7"/>
    </w:p>
    <w:p w:rsidR="00E94970" w:rsidRDefault="00E94970" w:rsidP="00E94970">
      <w:pPr>
        <w:pStyle w:val="BodyTextIndent"/>
      </w:pPr>
      <w:r>
        <w:t xml:space="preserve">W załączniku/załącznikach umieszcza się informacje, dane pomiarowe etc., które są ważne dla wykonania projektu inżynierskiego, ale których zamieszczenie w tekście głównym opracowania mogłoby znacząco zmniejszyć czytelność projektu inżynierskiego. </w:t>
      </w:r>
    </w:p>
    <w:p w:rsidR="003B13E8" w:rsidRDefault="003B13E8"/>
    <w:sectPr w:rsidR="003B13E8" w:rsidSect="00A55319">
      <w:pgSz w:w="11906" w:h="16838" w:code="9"/>
      <w:pgMar w:top="1440" w:right="1440" w:bottom="1440" w:left="1560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4548F" w:rsidRDefault="00B4548F">
      <w:r>
        <w:separator/>
      </w:r>
    </w:p>
  </w:endnote>
  <w:endnote w:type="continuationSeparator" w:id="0">
    <w:p w:rsidR="00B4548F" w:rsidRDefault="00B4548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EE"/>
    <w:family w:val="roman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EE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EE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EE"/>
    <w:family w:val="swiss"/>
    <w:pitch w:val="variable"/>
    <w:sig w:usb0="A00002EF" w:usb1="4000207B" w:usb2="00000000" w:usb3="00000000" w:csb0="0000019F" w:csb1="00000000"/>
  </w:font>
  <w:font w:name="Cambria Math">
    <w:panose1 w:val="02040503050406030204"/>
    <w:charset w:val="EE"/>
    <w:family w:val="roman"/>
    <w:pitch w:val="variable"/>
    <w:sig w:usb0="E00002FF" w:usb1="420024FF" w:usb2="00000000" w:usb3="00000000" w:csb0="0000019F" w:csb1="00000000"/>
  </w:font>
  <w:font w:name="Cambria">
    <w:panose1 w:val="02040503050406030204"/>
    <w:charset w:val="EE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56B22" w:rsidRDefault="00256B22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256B22" w:rsidRDefault="00256B22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56B22" w:rsidRDefault="00256B22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AB46BB">
      <w:rPr>
        <w:rStyle w:val="PageNumber"/>
        <w:noProof/>
      </w:rPr>
      <w:t>24</w:t>
    </w:r>
    <w:r>
      <w:rPr>
        <w:rStyle w:val="PageNumber"/>
      </w:rPr>
      <w:fldChar w:fldCharType="end"/>
    </w:r>
  </w:p>
  <w:p w:rsidR="00256B22" w:rsidRDefault="00256B2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4548F" w:rsidRDefault="00B4548F">
      <w:r>
        <w:separator/>
      </w:r>
    </w:p>
  </w:footnote>
  <w:footnote w:type="continuationSeparator" w:id="0">
    <w:p w:rsidR="00B4548F" w:rsidRDefault="00B4548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000001"/>
    <w:multiLevelType w:val="multilevel"/>
    <w:tmpl w:val="00000001"/>
    <w:lvl w:ilvl="0">
      <w:start w:val="1"/>
      <w:numFmt w:val="none"/>
      <w:suff w:val="nothing"/>
      <w:lvlText w:val=""/>
      <w:lvlJc w:val="left"/>
      <w:pPr>
        <w:tabs>
          <w:tab w:val="num" w:pos="432"/>
        </w:tabs>
        <w:ind w:left="432" w:hanging="432"/>
      </w:pPr>
    </w:lvl>
    <w:lvl w:ilvl="1">
      <w:start w:val="1"/>
      <w:numFmt w:val="none"/>
      <w:suff w:val="nothing"/>
      <w:lvlText w:val=""/>
      <w:lvlJc w:val="left"/>
      <w:pPr>
        <w:tabs>
          <w:tab w:val="num" w:pos="576"/>
        </w:tabs>
        <w:ind w:left="576" w:hanging="576"/>
      </w:pPr>
    </w:lvl>
    <w:lvl w:ilvl="2">
      <w:start w:val="1"/>
      <w:numFmt w:val="none"/>
      <w:suff w:val="nothing"/>
      <w:lvlText w:val=""/>
      <w:lvlJc w:val="left"/>
      <w:pPr>
        <w:tabs>
          <w:tab w:val="num" w:pos="720"/>
        </w:tabs>
        <w:ind w:left="720" w:hanging="720"/>
      </w:pPr>
    </w:lvl>
    <w:lvl w:ilvl="3">
      <w:start w:val="1"/>
      <w:numFmt w:val="none"/>
      <w:suff w:val="nothing"/>
      <w:lvlText w:val="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1008"/>
        </w:tabs>
        <w:ind w:left="1008" w:hanging="1008"/>
      </w:pPr>
    </w:lvl>
    <w:lvl w:ilvl="5">
      <w:start w:val="1"/>
      <w:numFmt w:val="none"/>
      <w:suff w:val="nothing"/>
      <w:lvlText w:val=""/>
      <w:lvlJc w:val="left"/>
      <w:pPr>
        <w:tabs>
          <w:tab w:val="num" w:pos="1152"/>
        </w:tabs>
        <w:ind w:left="1152" w:hanging="1152"/>
      </w:pPr>
    </w:lvl>
    <w:lvl w:ilvl="6">
      <w:start w:val="1"/>
      <w:numFmt w:val="none"/>
      <w:suff w:val="nothing"/>
      <w:lvlText w:val=""/>
      <w:lvlJc w:val="left"/>
      <w:pPr>
        <w:tabs>
          <w:tab w:val="num" w:pos="1296"/>
        </w:tabs>
        <w:ind w:left="1296" w:hanging="1296"/>
      </w:pPr>
    </w:lvl>
    <w:lvl w:ilvl="7">
      <w:start w:val="1"/>
      <w:numFmt w:val="none"/>
      <w:suff w:val="nothing"/>
      <w:lvlText w:val=""/>
      <w:lvlJc w:val="left"/>
      <w:pPr>
        <w:tabs>
          <w:tab w:val="num" w:pos="1440"/>
        </w:tabs>
        <w:ind w:left="1440" w:hanging="1440"/>
      </w:pPr>
    </w:lvl>
    <w:lvl w:ilvl="8">
      <w:start w:val="1"/>
      <w:numFmt w:val="none"/>
      <w:suff w:val="nothing"/>
      <w:lvlText w:val=""/>
      <w:lvlJc w:val="left"/>
      <w:pPr>
        <w:tabs>
          <w:tab w:val="num" w:pos="1584"/>
        </w:tabs>
        <w:ind w:left="1584" w:hanging="1584"/>
      </w:pPr>
    </w:lvl>
  </w:abstractNum>
  <w:abstractNum w:abstractNumId="1">
    <w:nsid w:val="080B2F9A"/>
    <w:multiLevelType w:val="hybridMultilevel"/>
    <w:tmpl w:val="A4CCC7F8"/>
    <w:lvl w:ilvl="0" w:tplc="2A66CED0">
      <w:start w:val="1"/>
      <w:numFmt w:val="decimal"/>
      <w:lvlText w:val="%1."/>
      <w:lvlJc w:val="left"/>
      <w:pPr>
        <w:tabs>
          <w:tab w:val="num" w:pos="567"/>
        </w:tabs>
        <w:ind w:left="493" w:hanging="493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>
    <w:nsid w:val="0DBB76FA"/>
    <w:multiLevelType w:val="hybridMultilevel"/>
    <w:tmpl w:val="48C4F02A"/>
    <w:lvl w:ilvl="0" w:tplc="59BC0666">
      <w:start w:val="1"/>
      <w:numFmt w:val="bullet"/>
      <w:lvlText w:val=""/>
      <w:lvlJc w:val="left"/>
      <w:pPr>
        <w:tabs>
          <w:tab w:val="num" w:pos="777"/>
        </w:tabs>
        <w:ind w:left="777" w:hanging="284"/>
      </w:pPr>
      <w:rPr>
        <w:rFonts w:ascii="Symbol" w:hAnsi="Symbol" w:hint="default"/>
      </w:rPr>
    </w:lvl>
    <w:lvl w:ilvl="1" w:tplc="04150003" w:tentative="1">
      <w:start w:val="1"/>
      <w:numFmt w:val="bullet"/>
      <w:lvlText w:val="o"/>
      <w:lvlJc w:val="left"/>
      <w:pPr>
        <w:tabs>
          <w:tab w:val="num" w:pos="1933"/>
        </w:tabs>
        <w:ind w:left="1933" w:hanging="360"/>
      </w:pPr>
      <w:rPr>
        <w:rFonts w:ascii="Courier New" w:hAnsi="Courier New" w:hint="default"/>
      </w:rPr>
    </w:lvl>
    <w:lvl w:ilvl="2" w:tplc="04150005" w:tentative="1">
      <w:start w:val="1"/>
      <w:numFmt w:val="bullet"/>
      <w:lvlText w:val=""/>
      <w:lvlJc w:val="left"/>
      <w:pPr>
        <w:tabs>
          <w:tab w:val="num" w:pos="2653"/>
        </w:tabs>
        <w:ind w:left="2653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tabs>
          <w:tab w:val="num" w:pos="3373"/>
        </w:tabs>
        <w:ind w:left="3373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tabs>
          <w:tab w:val="num" w:pos="4093"/>
        </w:tabs>
        <w:ind w:left="4093" w:hanging="360"/>
      </w:pPr>
      <w:rPr>
        <w:rFonts w:ascii="Courier New" w:hAnsi="Courier New" w:hint="default"/>
      </w:rPr>
    </w:lvl>
    <w:lvl w:ilvl="5" w:tplc="04150005" w:tentative="1">
      <w:start w:val="1"/>
      <w:numFmt w:val="bullet"/>
      <w:lvlText w:val=""/>
      <w:lvlJc w:val="left"/>
      <w:pPr>
        <w:tabs>
          <w:tab w:val="num" w:pos="4813"/>
        </w:tabs>
        <w:ind w:left="4813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tabs>
          <w:tab w:val="num" w:pos="5533"/>
        </w:tabs>
        <w:ind w:left="5533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tabs>
          <w:tab w:val="num" w:pos="6253"/>
        </w:tabs>
        <w:ind w:left="6253" w:hanging="360"/>
      </w:pPr>
      <w:rPr>
        <w:rFonts w:ascii="Courier New" w:hAnsi="Courier New" w:hint="default"/>
      </w:rPr>
    </w:lvl>
    <w:lvl w:ilvl="8" w:tplc="04150005" w:tentative="1">
      <w:start w:val="1"/>
      <w:numFmt w:val="bullet"/>
      <w:lvlText w:val=""/>
      <w:lvlJc w:val="left"/>
      <w:pPr>
        <w:tabs>
          <w:tab w:val="num" w:pos="6973"/>
        </w:tabs>
        <w:ind w:left="6973" w:hanging="360"/>
      </w:pPr>
      <w:rPr>
        <w:rFonts w:ascii="Wingdings" w:hAnsi="Wingdings" w:hint="default"/>
      </w:rPr>
    </w:lvl>
  </w:abstractNum>
  <w:abstractNum w:abstractNumId="3">
    <w:nsid w:val="0EDA7726"/>
    <w:multiLevelType w:val="hybridMultilevel"/>
    <w:tmpl w:val="921222A2"/>
    <w:lvl w:ilvl="0" w:tplc="59BC0666">
      <w:start w:val="1"/>
      <w:numFmt w:val="bullet"/>
      <w:lvlText w:val=""/>
      <w:lvlJc w:val="left"/>
      <w:pPr>
        <w:tabs>
          <w:tab w:val="num" w:pos="1208"/>
        </w:tabs>
        <w:ind w:left="1208" w:hanging="284"/>
      </w:pPr>
      <w:rPr>
        <w:rFonts w:ascii="Symbol" w:hAnsi="Symbol" w:hint="default"/>
        <w:color w:val="auto"/>
      </w:rPr>
    </w:lvl>
    <w:lvl w:ilvl="1" w:tplc="0415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5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5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5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>
    <w:nsid w:val="296C4818"/>
    <w:multiLevelType w:val="hybridMultilevel"/>
    <w:tmpl w:val="26A60FEA"/>
    <w:lvl w:ilvl="0" w:tplc="33BE88F4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>
    <w:nsid w:val="5C0D2E34"/>
    <w:multiLevelType w:val="hybridMultilevel"/>
    <w:tmpl w:val="986A9448"/>
    <w:lvl w:ilvl="0" w:tplc="59BC0666">
      <w:start w:val="1"/>
      <w:numFmt w:val="bullet"/>
      <w:lvlText w:val=""/>
      <w:lvlJc w:val="left"/>
      <w:pPr>
        <w:tabs>
          <w:tab w:val="num" w:pos="837"/>
        </w:tabs>
        <w:ind w:left="837" w:hanging="284"/>
      </w:pPr>
      <w:rPr>
        <w:rFonts w:ascii="Symbol" w:hAnsi="Symbol" w:hint="default"/>
      </w:rPr>
    </w:lvl>
    <w:lvl w:ilvl="1" w:tplc="04150003" w:tentative="1">
      <w:start w:val="1"/>
      <w:numFmt w:val="bullet"/>
      <w:lvlText w:val="o"/>
      <w:lvlJc w:val="left"/>
      <w:pPr>
        <w:tabs>
          <w:tab w:val="num" w:pos="1993"/>
        </w:tabs>
        <w:ind w:left="1993" w:hanging="360"/>
      </w:pPr>
      <w:rPr>
        <w:rFonts w:ascii="Courier New" w:hAnsi="Courier New" w:hint="default"/>
      </w:rPr>
    </w:lvl>
    <w:lvl w:ilvl="2" w:tplc="04150005" w:tentative="1">
      <w:start w:val="1"/>
      <w:numFmt w:val="bullet"/>
      <w:lvlText w:val=""/>
      <w:lvlJc w:val="left"/>
      <w:pPr>
        <w:tabs>
          <w:tab w:val="num" w:pos="2713"/>
        </w:tabs>
        <w:ind w:left="2713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tabs>
          <w:tab w:val="num" w:pos="3433"/>
        </w:tabs>
        <w:ind w:left="3433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tabs>
          <w:tab w:val="num" w:pos="4153"/>
        </w:tabs>
        <w:ind w:left="4153" w:hanging="360"/>
      </w:pPr>
      <w:rPr>
        <w:rFonts w:ascii="Courier New" w:hAnsi="Courier New" w:hint="default"/>
      </w:rPr>
    </w:lvl>
    <w:lvl w:ilvl="5" w:tplc="04150005" w:tentative="1">
      <w:start w:val="1"/>
      <w:numFmt w:val="bullet"/>
      <w:lvlText w:val=""/>
      <w:lvlJc w:val="left"/>
      <w:pPr>
        <w:tabs>
          <w:tab w:val="num" w:pos="4873"/>
        </w:tabs>
        <w:ind w:left="4873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tabs>
          <w:tab w:val="num" w:pos="5593"/>
        </w:tabs>
        <w:ind w:left="5593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tabs>
          <w:tab w:val="num" w:pos="6313"/>
        </w:tabs>
        <w:ind w:left="6313" w:hanging="360"/>
      </w:pPr>
      <w:rPr>
        <w:rFonts w:ascii="Courier New" w:hAnsi="Courier New" w:hint="default"/>
      </w:rPr>
    </w:lvl>
    <w:lvl w:ilvl="8" w:tplc="04150005" w:tentative="1">
      <w:start w:val="1"/>
      <w:numFmt w:val="bullet"/>
      <w:lvlText w:val=""/>
      <w:lvlJc w:val="left"/>
      <w:pPr>
        <w:tabs>
          <w:tab w:val="num" w:pos="7033"/>
        </w:tabs>
        <w:ind w:left="7033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1"/>
  </w:num>
  <w:num w:numId="3">
    <w:abstractNumId w:val="2"/>
  </w:num>
  <w:num w:numId="4">
    <w:abstractNumId w:val="5"/>
  </w:num>
  <w:num w:numId="5">
    <w:abstractNumId w:val="4"/>
  </w:num>
  <w:num w:numId="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mirrorMargins/>
  <w:activeWritingStyle w:appName="MSWord" w:lang="pl-PL" w:vendorID="12" w:dllVersion="512" w:checkStyle="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autoHyphenation/>
  <w:hyphenationZone w:val="425"/>
  <w:drawingGridHorizontalSpacing w:val="120"/>
  <w:displayHorizontalDrawingGridEvery w:val="2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16703"/>
    <w:rsid w:val="000011DA"/>
    <w:rsid w:val="0001019A"/>
    <w:rsid w:val="0001158E"/>
    <w:rsid w:val="00014E5C"/>
    <w:rsid w:val="00016E61"/>
    <w:rsid w:val="000208AB"/>
    <w:rsid w:val="000224CC"/>
    <w:rsid w:val="00024783"/>
    <w:rsid w:val="00024D95"/>
    <w:rsid w:val="00030950"/>
    <w:rsid w:val="0003179A"/>
    <w:rsid w:val="00031E8B"/>
    <w:rsid w:val="000321CB"/>
    <w:rsid w:val="000328A5"/>
    <w:rsid w:val="00042BAA"/>
    <w:rsid w:val="00043FA4"/>
    <w:rsid w:val="00044DCF"/>
    <w:rsid w:val="00051EDD"/>
    <w:rsid w:val="00063918"/>
    <w:rsid w:val="00064509"/>
    <w:rsid w:val="00072F65"/>
    <w:rsid w:val="000919D4"/>
    <w:rsid w:val="00092A1E"/>
    <w:rsid w:val="00093C28"/>
    <w:rsid w:val="00094B25"/>
    <w:rsid w:val="000A2BC3"/>
    <w:rsid w:val="000A3147"/>
    <w:rsid w:val="000A34CC"/>
    <w:rsid w:val="000A5FE6"/>
    <w:rsid w:val="000C2099"/>
    <w:rsid w:val="000C322F"/>
    <w:rsid w:val="000C71F5"/>
    <w:rsid w:val="000D0322"/>
    <w:rsid w:val="001015AD"/>
    <w:rsid w:val="00105F73"/>
    <w:rsid w:val="00107AAD"/>
    <w:rsid w:val="00115650"/>
    <w:rsid w:val="00115B0F"/>
    <w:rsid w:val="00121DD7"/>
    <w:rsid w:val="00127CB5"/>
    <w:rsid w:val="00131D78"/>
    <w:rsid w:val="00133DA1"/>
    <w:rsid w:val="00134E7B"/>
    <w:rsid w:val="00135CB4"/>
    <w:rsid w:val="0014101E"/>
    <w:rsid w:val="001435F9"/>
    <w:rsid w:val="00143EB1"/>
    <w:rsid w:val="001458DE"/>
    <w:rsid w:val="001544EA"/>
    <w:rsid w:val="00157C1B"/>
    <w:rsid w:val="00160322"/>
    <w:rsid w:val="001704A7"/>
    <w:rsid w:val="00177079"/>
    <w:rsid w:val="00180EFD"/>
    <w:rsid w:val="00181472"/>
    <w:rsid w:val="00181BC2"/>
    <w:rsid w:val="0018428C"/>
    <w:rsid w:val="00187752"/>
    <w:rsid w:val="0019280B"/>
    <w:rsid w:val="001931EC"/>
    <w:rsid w:val="001949C0"/>
    <w:rsid w:val="001A1E62"/>
    <w:rsid w:val="001A5822"/>
    <w:rsid w:val="001B24F5"/>
    <w:rsid w:val="001B2F6E"/>
    <w:rsid w:val="001B69CB"/>
    <w:rsid w:val="001C0D93"/>
    <w:rsid w:val="001C2628"/>
    <w:rsid w:val="001C3FAF"/>
    <w:rsid w:val="001D5786"/>
    <w:rsid w:val="001F15BE"/>
    <w:rsid w:val="001F1C19"/>
    <w:rsid w:val="00200DDC"/>
    <w:rsid w:val="00212AC7"/>
    <w:rsid w:val="002138FA"/>
    <w:rsid w:val="00213F84"/>
    <w:rsid w:val="002172A7"/>
    <w:rsid w:val="00225B98"/>
    <w:rsid w:val="00234B5F"/>
    <w:rsid w:val="00237C21"/>
    <w:rsid w:val="002478DB"/>
    <w:rsid w:val="002552F8"/>
    <w:rsid w:val="0025624F"/>
    <w:rsid w:val="00256B22"/>
    <w:rsid w:val="00264FFE"/>
    <w:rsid w:val="00265FA0"/>
    <w:rsid w:val="00275E60"/>
    <w:rsid w:val="002867E3"/>
    <w:rsid w:val="00297433"/>
    <w:rsid w:val="002A217C"/>
    <w:rsid w:val="002A3659"/>
    <w:rsid w:val="002A7032"/>
    <w:rsid w:val="002A7B5B"/>
    <w:rsid w:val="002B3A01"/>
    <w:rsid w:val="002B503D"/>
    <w:rsid w:val="002B67DA"/>
    <w:rsid w:val="002B6893"/>
    <w:rsid w:val="002C4F9F"/>
    <w:rsid w:val="002D4900"/>
    <w:rsid w:val="002D71A2"/>
    <w:rsid w:val="002D7833"/>
    <w:rsid w:val="002E46C8"/>
    <w:rsid w:val="002E7E8E"/>
    <w:rsid w:val="002F04B4"/>
    <w:rsid w:val="002F12A0"/>
    <w:rsid w:val="002F1580"/>
    <w:rsid w:val="002F29D8"/>
    <w:rsid w:val="002F6151"/>
    <w:rsid w:val="003018C5"/>
    <w:rsid w:val="00302A4C"/>
    <w:rsid w:val="0030324E"/>
    <w:rsid w:val="00303B92"/>
    <w:rsid w:val="003109E7"/>
    <w:rsid w:val="003141E5"/>
    <w:rsid w:val="00315BD2"/>
    <w:rsid w:val="00322419"/>
    <w:rsid w:val="00324911"/>
    <w:rsid w:val="00341389"/>
    <w:rsid w:val="00353F35"/>
    <w:rsid w:val="00354A1E"/>
    <w:rsid w:val="00355DCA"/>
    <w:rsid w:val="00356B56"/>
    <w:rsid w:val="003624D0"/>
    <w:rsid w:val="00364F04"/>
    <w:rsid w:val="003804B4"/>
    <w:rsid w:val="00384D48"/>
    <w:rsid w:val="003861A1"/>
    <w:rsid w:val="003865B1"/>
    <w:rsid w:val="003935CE"/>
    <w:rsid w:val="00393DC0"/>
    <w:rsid w:val="003959BE"/>
    <w:rsid w:val="003B0FF2"/>
    <w:rsid w:val="003B13E8"/>
    <w:rsid w:val="003B1B1C"/>
    <w:rsid w:val="003B2D6F"/>
    <w:rsid w:val="003B6F56"/>
    <w:rsid w:val="003B7228"/>
    <w:rsid w:val="003D3437"/>
    <w:rsid w:val="003D383E"/>
    <w:rsid w:val="003D60A8"/>
    <w:rsid w:val="003D67F5"/>
    <w:rsid w:val="003E065D"/>
    <w:rsid w:val="003E0EB3"/>
    <w:rsid w:val="003E48D1"/>
    <w:rsid w:val="003F0E44"/>
    <w:rsid w:val="003F782C"/>
    <w:rsid w:val="004051C6"/>
    <w:rsid w:val="004052E5"/>
    <w:rsid w:val="00412D74"/>
    <w:rsid w:val="00413C2F"/>
    <w:rsid w:val="004150E1"/>
    <w:rsid w:val="004201A0"/>
    <w:rsid w:val="00420CFB"/>
    <w:rsid w:val="004216EB"/>
    <w:rsid w:val="004236ED"/>
    <w:rsid w:val="00436567"/>
    <w:rsid w:val="004409AB"/>
    <w:rsid w:val="0045014D"/>
    <w:rsid w:val="00451617"/>
    <w:rsid w:val="0046141B"/>
    <w:rsid w:val="00462243"/>
    <w:rsid w:val="00465E5E"/>
    <w:rsid w:val="004732B5"/>
    <w:rsid w:val="0047672B"/>
    <w:rsid w:val="0048211A"/>
    <w:rsid w:val="00484BE3"/>
    <w:rsid w:val="004861A7"/>
    <w:rsid w:val="004872E2"/>
    <w:rsid w:val="00487441"/>
    <w:rsid w:val="004A51A3"/>
    <w:rsid w:val="004A5B9B"/>
    <w:rsid w:val="004B305C"/>
    <w:rsid w:val="004B3E29"/>
    <w:rsid w:val="004C28FD"/>
    <w:rsid w:val="004D5254"/>
    <w:rsid w:val="004F3C8E"/>
    <w:rsid w:val="00520D89"/>
    <w:rsid w:val="00524782"/>
    <w:rsid w:val="00525D70"/>
    <w:rsid w:val="00527625"/>
    <w:rsid w:val="005339D1"/>
    <w:rsid w:val="005345DE"/>
    <w:rsid w:val="005362CA"/>
    <w:rsid w:val="00542621"/>
    <w:rsid w:val="005454BF"/>
    <w:rsid w:val="00546EC1"/>
    <w:rsid w:val="005501E4"/>
    <w:rsid w:val="005509FF"/>
    <w:rsid w:val="005515C5"/>
    <w:rsid w:val="0055162D"/>
    <w:rsid w:val="005573DA"/>
    <w:rsid w:val="00561928"/>
    <w:rsid w:val="00562590"/>
    <w:rsid w:val="00563AB1"/>
    <w:rsid w:val="00571EE2"/>
    <w:rsid w:val="0057276B"/>
    <w:rsid w:val="00573B69"/>
    <w:rsid w:val="0057518D"/>
    <w:rsid w:val="00575A2C"/>
    <w:rsid w:val="0057606B"/>
    <w:rsid w:val="00576862"/>
    <w:rsid w:val="00584357"/>
    <w:rsid w:val="0058464B"/>
    <w:rsid w:val="00590426"/>
    <w:rsid w:val="00591019"/>
    <w:rsid w:val="00593CB8"/>
    <w:rsid w:val="0059461D"/>
    <w:rsid w:val="005A006F"/>
    <w:rsid w:val="005A67A7"/>
    <w:rsid w:val="005B2D58"/>
    <w:rsid w:val="005C11F1"/>
    <w:rsid w:val="005C1CC7"/>
    <w:rsid w:val="005D0D93"/>
    <w:rsid w:val="005D11E4"/>
    <w:rsid w:val="005D164C"/>
    <w:rsid w:val="005D1DFE"/>
    <w:rsid w:val="005D5C33"/>
    <w:rsid w:val="005D6BF3"/>
    <w:rsid w:val="005E23AF"/>
    <w:rsid w:val="005E325A"/>
    <w:rsid w:val="005E549B"/>
    <w:rsid w:val="005E77A4"/>
    <w:rsid w:val="006004D4"/>
    <w:rsid w:val="00601828"/>
    <w:rsid w:val="00602113"/>
    <w:rsid w:val="00602C06"/>
    <w:rsid w:val="00636F65"/>
    <w:rsid w:val="0064074A"/>
    <w:rsid w:val="006426EB"/>
    <w:rsid w:val="00650F5C"/>
    <w:rsid w:val="00650F8B"/>
    <w:rsid w:val="00650FF7"/>
    <w:rsid w:val="006513C7"/>
    <w:rsid w:val="00651BC0"/>
    <w:rsid w:val="00656164"/>
    <w:rsid w:val="00661700"/>
    <w:rsid w:val="006619D0"/>
    <w:rsid w:val="006622F2"/>
    <w:rsid w:val="00662D9E"/>
    <w:rsid w:val="00674818"/>
    <w:rsid w:val="00677125"/>
    <w:rsid w:val="00694796"/>
    <w:rsid w:val="006957F2"/>
    <w:rsid w:val="006A2FD4"/>
    <w:rsid w:val="006C1E69"/>
    <w:rsid w:val="006C5742"/>
    <w:rsid w:val="006C6FB4"/>
    <w:rsid w:val="006C73A3"/>
    <w:rsid w:val="006D6A6A"/>
    <w:rsid w:val="006D6D8F"/>
    <w:rsid w:val="006E21AA"/>
    <w:rsid w:val="006E5B73"/>
    <w:rsid w:val="007020CE"/>
    <w:rsid w:val="007024D1"/>
    <w:rsid w:val="007051DA"/>
    <w:rsid w:val="0071066B"/>
    <w:rsid w:val="0071121C"/>
    <w:rsid w:val="00712129"/>
    <w:rsid w:val="00713717"/>
    <w:rsid w:val="00714184"/>
    <w:rsid w:val="00716703"/>
    <w:rsid w:val="007225FF"/>
    <w:rsid w:val="00722F3A"/>
    <w:rsid w:val="00724942"/>
    <w:rsid w:val="00735B5B"/>
    <w:rsid w:val="00737914"/>
    <w:rsid w:val="00750E98"/>
    <w:rsid w:val="00755A5B"/>
    <w:rsid w:val="0076533A"/>
    <w:rsid w:val="00774294"/>
    <w:rsid w:val="007746E3"/>
    <w:rsid w:val="00774FE2"/>
    <w:rsid w:val="0077620E"/>
    <w:rsid w:val="007822B0"/>
    <w:rsid w:val="00783598"/>
    <w:rsid w:val="0078439D"/>
    <w:rsid w:val="00784F95"/>
    <w:rsid w:val="00786467"/>
    <w:rsid w:val="007866B1"/>
    <w:rsid w:val="00786D6A"/>
    <w:rsid w:val="007878EF"/>
    <w:rsid w:val="007A041D"/>
    <w:rsid w:val="007A314F"/>
    <w:rsid w:val="007A3839"/>
    <w:rsid w:val="007A3C23"/>
    <w:rsid w:val="007A4DBE"/>
    <w:rsid w:val="007C2332"/>
    <w:rsid w:val="007C4E2C"/>
    <w:rsid w:val="007C650A"/>
    <w:rsid w:val="007D0F50"/>
    <w:rsid w:val="007D4497"/>
    <w:rsid w:val="007D44C1"/>
    <w:rsid w:val="007D5963"/>
    <w:rsid w:val="007E0E63"/>
    <w:rsid w:val="007E25CA"/>
    <w:rsid w:val="007E2BA8"/>
    <w:rsid w:val="007E7AD6"/>
    <w:rsid w:val="007F5D48"/>
    <w:rsid w:val="007F7362"/>
    <w:rsid w:val="00801203"/>
    <w:rsid w:val="008015DB"/>
    <w:rsid w:val="00803B25"/>
    <w:rsid w:val="00803DCB"/>
    <w:rsid w:val="00817781"/>
    <w:rsid w:val="008261DC"/>
    <w:rsid w:val="00841C50"/>
    <w:rsid w:val="00844341"/>
    <w:rsid w:val="00846008"/>
    <w:rsid w:val="00847A47"/>
    <w:rsid w:val="008516EC"/>
    <w:rsid w:val="008535C1"/>
    <w:rsid w:val="00862E3A"/>
    <w:rsid w:val="00863960"/>
    <w:rsid w:val="0087186F"/>
    <w:rsid w:val="00872FB8"/>
    <w:rsid w:val="00873DCA"/>
    <w:rsid w:val="00876303"/>
    <w:rsid w:val="0087636E"/>
    <w:rsid w:val="0087697E"/>
    <w:rsid w:val="00876B6C"/>
    <w:rsid w:val="00881527"/>
    <w:rsid w:val="00882A17"/>
    <w:rsid w:val="00893551"/>
    <w:rsid w:val="00895AC0"/>
    <w:rsid w:val="00896B6E"/>
    <w:rsid w:val="008B3504"/>
    <w:rsid w:val="008C1855"/>
    <w:rsid w:val="008C33A5"/>
    <w:rsid w:val="008C561D"/>
    <w:rsid w:val="008C56D6"/>
    <w:rsid w:val="008D2FA0"/>
    <w:rsid w:val="008D33D6"/>
    <w:rsid w:val="008D4848"/>
    <w:rsid w:val="008E543B"/>
    <w:rsid w:val="008E5EF5"/>
    <w:rsid w:val="008F0B2B"/>
    <w:rsid w:val="00900730"/>
    <w:rsid w:val="00906321"/>
    <w:rsid w:val="00910193"/>
    <w:rsid w:val="00914B2D"/>
    <w:rsid w:val="0092098F"/>
    <w:rsid w:val="0092450A"/>
    <w:rsid w:val="00925B8A"/>
    <w:rsid w:val="00931E9D"/>
    <w:rsid w:val="00955293"/>
    <w:rsid w:val="009552A2"/>
    <w:rsid w:val="00960A4F"/>
    <w:rsid w:val="00962B36"/>
    <w:rsid w:val="009667D3"/>
    <w:rsid w:val="009747FB"/>
    <w:rsid w:val="00975898"/>
    <w:rsid w:val="0098365F"/>
    <w:rsid w:val="009970F5"/>
    <w:rsid w:val="009A6F0A"/>
    <w:rsid w:val="009B57F1"/>
    <w:rsid w:val="009B6D98"/>
    <w:rsid w:val="009C34EB"/>
    <w:rsid w:val="009C73DA"/>
    <w:rsid w:val="009D39F1"/>
    <w:rsid w:val="009E3487"/>
    <w:rsid w:val="009E59BD"/>
    <w:rsid w:val="009F003F"/>
    <w:rsid w:val="009F1057"/>
    <w:rsid w:val="009F12E3"/>
    <w:rsid w:val="009F2651"/>
    <w:rsid w:val="00A05D0A"/>
    <w:rsid w:val="00A16948"/>
    <w:rsid w:val="00A247CA"/>
    <w:rsid w:val="00A2655D"/>
    <w:rsid w:val="00A5484F"/>
    <w:rsid w:val="00A55319"/>
    <w:rsid w:val="00A55448"/>
    <w:rsid w:val="00A55A5A"/>
    <w:rsid w:val="00A577A1"/>
    <w:rsid w:val="00A65F4A"/>
    <w:rsid w:val="00A7196F"/>
    <w:rsid w:val="00A71C3F"/>
    <w:rsid w:val="00A75836"/>
    <w:rsid w:val="00A80285"/>
    <w:rsid w:val="00A8263B"/>
    <w:rsid w:val="00A85B60"/>
    <w:rsid w:val="00A868EA"/>
    <w:rsid w:val="00A87836"/>
    <w:rsid w:val="00A90F50"/>
    <w:rsid w:val="00A91435"/>
    <w:rsid w:val="00A94F9E"/>
    <w:rsid w:val="00A97144"/>
    <w:rsid w:val="00AA3CD0"/>
    <w:rsid w:val="00AB46BB"/>
    <w:rsid w:val="00AC424E"/>
    <w:rsid w:val="00AC66D6"/>
    <w:rsid w:val="00AC7D54"/>
    <w:rsid w:val="00AD0F9C"/>
    <w:rsid w:val="00AD3507"/>
    <w:rsid w:val="00AD746C"/>
    <w:rsid w:val="00AE0CFA"/>
    <w:rsid w:val="00AE2F6D"/>
    <w:rsid w:val="00AE79BA"/>
    <w:rsid w:val="00AF07CF"/>
    <w:rsid w:val="00AF0EF2"/>
    <w:rsid w:val="00AF4FD9"/>
    <w:rsid w:val="00AF759B"/>
    <w:rsid w:val="00B05433"/>
    <w:rsid w:val="00B13B36"/>
    <w:rsid w:val="00B14272"/>
    <w:rsid w:val="00B162B8"/>
    <w:rsid w:val="00B21ED2"/>
    <w:rsid w:val="00B221D2"/>
    <w:rsid w:val="00B4548F"/>
    <w:rsid w:val="00B51F11"/>
    <w:rsid w:val="00B522E5"/>
    <w:rsid w:val="00B56DE8"/>
    <w:rsid w:val="00B6237B"/>
    <w:rsid w:val="00B62CD1"/>
    <w:rsid w:val="00B659B1"/>
    <w:rsid w:val="00B72E15"/>
    <w:rsid w:val="00B8159C"/>
    <w:rsid w:val="00B934DD"/>
    <w:rsid w:val="00B97C1B"/>
    <w:rsid w:val="00BA0198"/>
    <w:rsid w:val="00BA1AB8"/>
    <w:rsid w:val="00BA45A4"/>
    <w:rsid w:val="00BA6C4C"/>
    <w:rsid w:val="00BB0E27"/>
    <w:rsid w:val="00BB6242"/>
    <w:rsid w:val="00BC6D8D"/>
    <w:rsid w:val="00BC7BEF"/>
    <w:rsid w:val="00BE2F92"/>
    <w:rsid w:val="00BE481A"/>
    <w:rsid w:val="00BF3D20"/>
    <w:rsid w:val="00BF5DC1"/>
    <w:rsid w:val="00C01CC3"/>
    <w:rsid w:val="00C04693"/>
    <w:rsid w:val="00C06DB6"/>
    <w:rsid w:val="00C07535"/>
    <w:rsid w:val="00C0776F"/>
    <w:rsid w:val="00C110AF"/>
    <w:rsid w:val="00C11982"/>
    <w:rsid w:val="00C13009"/>
    <w:rsid w:val="00C25AF1"/>
    <w:rsid w:val="00C410B5"/>
    <w:rsid w:val="00C439DD"/>
    <w:rsid w:val="00C469DB"/>
    <w:rsid w:val="00C5234E"/>
    <w:rsid w:val="00C57EEE"/>
    <w:rsid w:val="00C57FB2"/>
    <w:rsid w:val="00C62921"/>
    <w:rsid w:val="00C85F74"/>
    <w:rsid w:val="00C915C0"/>
    <w:rsid w:val="00C945BF"/>
    <w:rsid w:val="00CA4811"/>
    <w:rsid w:val="00CB2040"/>
    <w:rsid w:val="00CB3B6C"/>
    <w:rsid w:val="00CB5BEA"/>
    <w:rsid w:val="00CB7AA2"/>
    <w:rsid w:val="00CD1F22"/>
    <w:rsid w:val="00CD32CA"/>
    <w:rsid w:val="00CD45D2"/>
    <w:rsid w:val="00CD751C"/>
    <w:rsid w:val="00CE13AF"/>
    <w:rsid w:val="00CE2FE5"/>
    <w:rsid w:val="00CF5563"/>
    <w:rsid w:val="00D104FE"/>
    <w:rsid w:val="00D12F4C"/>
    <w:rsid w:val="00D254B6"/>
    <w:rsid w:val="00D264F8"/>
    <w:rsid w:val="00D30D93"/>
    <w:rsid w:val="00D31196"/>
    <w:rsid w:val="00D3218F"/>
    <w:rsid w:val="00D32437"/>
    <w:rsid w:val="00D336EF"/>
    <w:rsid w:val="00D51465"/>
    <w:rsid w:val="00D555A9"/>
    <w:rsid w:val="00D576F1"/>
    <w:rsid w:val="00D57FAB"/>
    <w:rsid w:val="00D62288"/>
    <w:rsid w:val="00D626A4"/>
    <w:rsid w:val="00D637F4"/>
    <w:rsid w:val="00D67395"/>
    <w:rsid w:val="00D6785D"/>
    <w:rsid w:val="00D71B83"/>
    <w:rsid w:val="00D71F65"/>
    <w:rsid w:val="00D723D1"/>
    <w:rsid w:val="00D73556"/>
    <w:rsid w:val="00D84B3C"/>
    <w:rsid w:val="00D9280E"/>
    <w:rsid w:val="00D9673E"/>
    <w:rsid w:val="00DA00DF"/>
    <w:rsid w:val="00DA2A60"/>
    <w:rsid w:val="00DB4844"/>
    <w:rsid w:val="00DB5BA8"/>
    <w:rsid w:val="00DB619E"/>
    <w:rsid w:val="00DC15BE"/>
    <w:rsid w:val="00DC29A3"/>
    <w:rsid w:val="00DC6F0C"/>
    <w:rsid w:val="00DD2BBE"/>
    <w:rsid w:val="00DD3287"/>
    <w:rsid w:val="00DE6222"/>
    <w:rsid w:val="00DE6785"/>
    <w:rsid w:val="00DF2905"/>
    <w:rsid w:val="00DF3496"/>
    <w:rsid w:val="00DF79E1"/>
    <w:rsid w:val="00E04E17"/>
    <w:rsid w:val="00E070E7"/>
    <w:rsid w:val="00E10AFB"/>
    <w:rsid w:val="00E12AF4"/>
    <w:rsid w:val="00E2773A"/>
    <w:rsid w:val="00E30CF7"/>
    <w:rsid w:val="00E3146F"/>
    <w:rsid w:val="00E32CDE"/>
    <w:rsid w:val="00E434B9"/>
    <w:rsid w:val="00E4484C"/>
    <w:rsid w:val="00E62CCC"/>
    <w:rsid w:val="00E656F6"/>
    <w:rsid w:val="00E66588"/>
    <w:rsid w:val="00E67F6F"/>
    <w:rsid w:val="00E73418"/>
    <w:rsid w:val="00E77560"/>
    <w:rsid w:val="00E776B5"/>
    <w:rsid w:val="00E82820"/>
    <w:rsid w:val="00E8695B"/>
    <w:rsid w:val="00E94970"/>
    <w:rsid w:val="00EA2809"/>
    <w:rsid w:val="00EA57BB"/>
    <w:rsid w:val="00EB5BBB"/>
    <w:rsid w:val="00EC106A"/>
    <w:rsid w:val="00EC5547"/>
    <w:rsid w:val="00EC7812"/>
    <w:rsid w:val="00ED17BD"/>
    <w:rsid w:val="00ED72B0"/>
    <w:rsid w:val="00EE3709"/>
    <w:rsid w:val="00EE5654"/>
    <w:rsid w:val="00EE6AF0"/>
    <w:rsid w:val="00EF0B49"/>
    <w:rsid w:val="00EF60E5"/>
    <w:rsid w:val="00EF6B30"/>
    <w:rsid w:val="00EF6B99"/>
    <w:rsid w:val="00F026B8"/>
    <w:rsid w:val="00F06D79"/>
    <w:rsid w:val="00F1234E"/>
    <w:rsid w:val="00F13146"/>
    <w:rsid w:val="00F14B4C"/>
    <w:rsid w:val="00F17475"/>
    <w:rsid w:val="00F17C50"/>
    <w:rsid w:val="00F23763"/>
    <w:rsid w:val="00F32DD2"/>
    <w:rsid w:val="00F33924"/>
    <w:rsid w:val="00F36725"/>
    <w:rsid w:val="00F45C86"/>
    <w:rsid w:val="00F56DD3"/>
    <w:rsid w:val="00F56FEE"/>
    <w:rsid w:val="00F611C0"/>
    <w:rsid w:val="00F656F7"/>
    <w:rsid w:val="00F669AA"/>
    <w:rsid w:val="00F67FBF"/>
    <w:rsid w:val="00F72C80"/>
    <w:rsid w:val="00F733B0"/>
    <w:rsid w:val="00F73625"/>
    <w:rsid w:val="00F86E8A"/>
    <w:rsid w:val="00F93818"/>
    <w:rsid w:val="00F9738A"/>
    <w:rsid w:val="00FB1EF4"/>
    <w:rsid w:val="00FC11CA"/>
    <w:rsid w:val="00FD6ED1"/>
    <w:rsid w:val="00FE046D"/>
    <w:rsid w:val="00FE24BA"/>
    <w:rsid w:val="00FE3D19"/>
    <w:rsid w:val="00FF0266"/>
    <w:rsid w:val="00FF14E4"/>
    <w:rsid w:val="00FF1EBA"/>
    <w:rsid w:val="00FF3D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5:docId w15:val="{011BC61E-EEA6-4495-9524-434BEFCABE8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l-PL" w:eastAsia="pl-PL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liases w:val="Standardowy1"/>
    <w:qFormat/>
    <w:rsid w:val="00525D70"/>
    <w:pPr>
      <w:spacing w:line="360" w:lineRule="auto"/>
      <w:jc w:val="both"/>
    </w:pPr>
    <w:rPr>
      <w:sz w:val="24"/>
    </w:rPr>
  </w:style>
  <w:style w:type="paragraph" w:styleId="Heading1">
    <w:name w:val="heading 1"/>
    <w:basedOn w:val="Normal"/>
    <w:next w:val="Normal"/>
    <w:qFormat/>
    <w:rsid w:val="000C322F"/>
    <w:pPr>
      <w:keepNext/>
      <w:spacing w:before="280" w:after="280"/>
      <w:outlineLvl w:val="0"/>
    </w:pPr>
    <w:rPr>
      <w:rFonts w:ascii="Arial" w:hAnsi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qFormat/>
    <w:rsid w:val="00E94970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qFormat/>
    <w:rsid w:val="00525D70"/>
    <w:pPr>
      <w:keepNext/>
      <w:suppressAutoHyphens/>
      <w:spacing w:before="240" w:after="60"/>
      <w:ind w:left="3969"/>
      <w:outlineLvl w:val="2"/>
    </w:pPr>
    <w:rPr>
      <w:rFonts w:ascii="Arial" w:hAnsi="Arial"/>
      <w:b/>
      <w:sz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E6785"/>
    <w:pPr>
      <w:spacing w:before="240" w:after="60"/>
      <w:outlineLvl w:val="4"/>
    </w:pPr>
    <w:rPr>
      <w:rFonts w:ascii="Calibri" w:hAnsi="Calibri"/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DE6785"/>
    <w:pPr>
      <w:spacing w:before="240" w:after="60"/>
      <w:outlineLvl w:val="5"/>
    </w:pPr>
    <w:rPr>
      <w:rFonts w:ascii="Calibri" w:hAnsi="Calibri"/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DE6785"/>
    <w:pPr>
      <w:spacing w:before="240" w:after="60"/>
      <w:outlineLvl w:val="6"/>
    </w:pPr>
    <w:rPr>
      <w:rFonts w:ascii="Calibri" w:hAnsi="Calibri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aliases w:val="Nagłówek strony"/>
    <w:basedOn w:val="Normal"/>
    <w:rsid w:val="000C322F"/>
    <w:pPr>
      <w:tabs>
        <w:tab w:val="center" w:pos="4536"/>
        <w:tab w:val="right" w:pos="9072"/>
      </w:tabs>
    </w:pPr>
  </w:style>
  <w:style w:type="paragraph" w:styleId="Title">
    <w:name w:val="Title"/>
    <w:basedOn w:val="Normal"/>
    <w:qFormat/>
    <w:rsid w:val="000C322F"/>
    <w:pPr>
      <w:jc w:val="center"/>
    </w:pPr>
    <w:rPr>
      <w:b/>
      <w:bCs/>
      <w:sz w:val="32"/>
      <w:szCs w:val="24"/>
    </w:rPr>
  </w:style>
  <w:style w:type="paragraph" w:styleId="EndnoteText">
    <w:name w:val="endnote text"/>
    <w:basedOn w:val="Normal"/>
    <w:semiHidden/>
    <w:rsid w:val="000C322F"/>
    <w:rPr>
      <w:sz w:val="20"/>
    </w:rPr>
  </w:style>
  <w:style w:type="character" w:customStyle="1" w:styleId="Znak">
    <w:name w:val="Znak"/>
    <w:rsid w:val="000C322F"/>
    <w:rPr>
      <w:sz w:val="24"/>
      <w:lang w:val="pl-PL" w:eastAsia="pl-PL" w:bidi="ar-SA"/>
    </w:rPr>
  </w:style>
  <w:style w:type="paragraph" w:styleId="Footer">
    <w:name w:val="footer"/>
    <w:basedOn w:val="Normal"/>
    <w:rsid w:val="000C322F"/>
    <w:pPr>
      <w:tabs>
        <w:tab w:val="center" w:pos="4536"/>
        <w:tab w:val="right" w:pos="9072"/>
      </w:tabs>
    </w:pPr>
  </w:style>
  <w:style w:type="character" w:customStyle="1" w:styleId="ZnakZnak">
    <w:name w:val="Znak Znak"/>
    <w:rsid w:val="000C322F"/>
    <w:rPr>
      <w:sz w:val="24"/>
      <w:lang w:val="pl-PL" w:eastAsia="pl-PL" w:bidi="ar-SA"/>
    </w:rPr>
  </w:style>
  <w:style w:type="character" w:styleId="PageNumber">
    <w:name w:val="page number"/>
    <w:basedOn w:val="DefaultParagraphFont"/>
    <w:rsid w:val="000C322F"/>
  </w:style>
  <w:style w:type="character" w:styleId="EndnoteReference">
    <w:name w:val="endnote reference"/>
    <w:semiHidden/>
    <w:rsid w:val="000C322F"/>
    <w:rPr>
      <w:vertAlign w:val="superscript"/>
    </w:rPr>
  </w:style>
  <w:style w:type="character" w:styleId="CommentReference">
    <w:name w:val="annotation reference"/>
    <w:semiHidden/>
    <w:rsid w:val="000C322F"/>
    <w:rPr>
      <w:sz w:val="16"/>
      <w:szCs w:val="16"/>
    </w:rPr>
  </w:style>
  <w:style w:type="paragraph" w:styleId="CommentText">
    <w:name w:val="annotation text"/>
    <w:basedOn w:val="Normal"/>
    <w:semiHidden/>
    <w:rsid w:val="000C322F"/>
    <w:rPr>
      <w:sz w:val="20"/>
    </w:rPr>
  </w:style>
  <w:style w:type="paragraph" w:styleId="CommentSubject">
    <w:name w:val="annotation subject"/>
    <w:basedOn w:val="CommentText"/>
    <w:next w:val="CommentText"/>
    <w:semiHidden/>
    <w:rsid w:val="000C322F"/>
    <w:rPr>
      <w:b/>
      <w:bCs/>
    </w:rPr>
  </w:style>
  <w:style w:type="paragraph" w:styleId="BalloonText">
    <w:name w:val="Balloon Text"/>
    <w:basedOn w:val="Normal"/>
    <w:semiHidden/>
    <w:rsid w:val="000C322F"/>
    <w:rPr>
      <w:rFonts w:ascii="Tahoma" w:hAnsi="Tahoma" w:cs="Tahoma"/>
      <w:sz w:val="16"/>
      <w:szCs w:val="16"/>
    </w:rPr>
  </w:style>
  <w:style w:type="paragraph" w:styleId="BodyTextIndent">
    <w:name w:val="Body Text Indent"/>
    <w:basedOn w:val="Normal"/>
    <w:rsid w:val="00E94970"/>
    <w:pPr>
      <w:ind w:firstLine="493"/>
    </w:pPr>
  </w:style>
  <w:style w:type="paragraph" w:styleId="FootnoteText">
    <w:name w:val="footnote text"/>
    <w:aliases w:val="Tekst przypisu"/>
    <w:basedOn w:val="Normal"/>
    <w:semiHidden/>
    <w:rsid w:val="000C322F"/>
    <w:rPr>
      <w:sz w:val="20"/>
    </w:rPr>
  </w:style>
  <w:style w:type="character" w:styleId="FootnoteReference">
    <w:name w:val="footnote reference"/>
    <w:aliases w:val="Odwołanie przypisu"/>
    <w:semiHidden/>
    <w:rsid w:val="000C322F"/>
    <w:rPr>
      <w:vertAlign w:val="superscript"/>
    </w:rPr>
  </w:style>
  <w:style w:type="paragraph" w:customStyle="1" w:styleId="Strtytgrnyprawyrg">
    <w:name w:val="Str tyt górny prawy róg"/>
    <w:basedOn w:val="Normal"/>
    <w:autoRedefine/>
    <w:rsid w:val="000C322F"/>
    <w:pPr>
      <w:spacing w:after="60"/>
      <w:jc w:val="left"/>
    </w:pPr>
    <w:rPr>
      <w:rFonts w:ascii="Arial" w:hAnsi="Arial"/>
      <w:b/>
      <w:sz w:val="28"/>
      <w:szCs w:val="24"/>
    </w:rPr>
  </w:style>
  <w:style w:type="paragraph" w:customStyle="1" w:styleId="Strty-TYTU">
    <w:name w:val="Str ty - TYTUŁ"/>
    <w:basedOn w:val="Strtytgrnyprawyrg"/>
    <w:autoRedefine/>
    <w:rsid w:val="000C322F"/>
    <w:pPr>
      <w:spacing w:after="0"/>
      <w:ind w:left="567" w:right="567"/>
      <w:jc w:val="center"/>
    </w:pPr>
    <w:rPr>
      <w:caps/>
      <w:sz w:val="40"/>
    </w:rPr>
  </w:style>
  <w:style w:type="paragraph" w:customStyle="1" w:styleId="Strtyt-rodek">
    <w:name w:val="Str tyt - środek"/>
    <w:basedOn w:val="Strty-TYTU"/>
    <w:autoRedefine/>
    <w:rsid w:val="000C322F"/>
    <w:pPr>
      <w:spacing w:before="400" w:line="240" w:lineRule="auto"/>
    </w:pPr>
    <w:rPr>
      <w:sz w:val="28"/>
    </w:rPr>
  </w:style>
  <w:style w:type="paragraph" w:customStyle="1" w:styleId="Strtyt-d1">
    <w:name w:val="Str tyt - dół1"/>
    <w:basedOn w:val="Strtytgrnyprawyrg"/>
    <w:autoRedefine/>
    <w:rsid w:val="000C322F"/>
  </w:style>
  <w:style w:type="paragraph" w:customStyle="1" w:styleId="Strtytd2">
    <w:name w:val="Str tyt dół2"/>
    <w:basedOn w:val="Strtyt-d1"/>
    <w:autoRedefine/>
    <w:rsid w:val="000C322F"/>
    <w:pPr>
      <w:spacing w:before="600" w:after="0"/>
      <w:jc w:val="center"/>
    </w:pPr>
    <w:rPr>
      <w:b w:val="0"/>
      <w:sz w:val="24"/>
    </w:rPr>
  </w:style>
  <w:style w:type="paragraph" w:styleId="TOC1">
    <w:name w:val="toc 1"/>
    <w:basedOn w:val="Normal"/>
    <w:next w:val="Normal"/>
    <w:autoRedefine/>
    <w:uiPriority w:val="39"/>
    <w:rsid w:val="000C322F"/>
    <w:pPr>
      <w:spacing w:before="120" w:after="120"/>
    </w:pPr>
  </w:style>
  <w:style w:type="character" w:styleId="Hyperlink">
    <w:name w:val="Hyperlink"/>
    <w:uiPriority w:val="99"/>
    <w:rsid w:val="000C322F"/>
    <w:rPr>
      <w:color w:val="0000FF"/>
      <w:u w:val="single"/>
    </w:rPr>
  </w:style>
  <w:style w:type="paragraph" w:customStyle="1" w:styleId="Imiinazwisko">
    <w:name w:val="Imię i nazwisko"/>
    <w:basedOn w:val="Strtytgrnyprawyrg"/>
    <w:rsid w:val="000C322F"/>
    <w:pPr>
      <w:ind w:firstLine="493"/>
      <w:jc w:val="center"/>
    </w:pPr>
    <w:rPr>
      <w:sz w:val="36"/>
    </w:rPr>
  </w:style>
  <w:style w:type="paragraph" w:styleId="Index1">
    <w:name w:val="index 1"/>
    <w:basedOn w:val="Normal"/>
    <w:next w:val="Normal"/>
    <w:autoRedefine/>
    <w:semiHidden/>
    <w:rsid w:val="000C322F"/>
    <w:pPr>
      <w:ind w:left="240" w:hanging="240"/>
    </w:pPr>
  </w:style>
  <w:style w:type="paragraph" w:styleId="TOC2">
    <w:name w:val="toc 2"/>
    <w:basedOn w:val="Normal"/>
    <w:next w:val="Normal"/>
    <w:autoRedefine/>
    <w:uiPriority w:val="39"/>
    <w:rsid w:val="00E94970"/>
    <w:pPr>
      <w:ind w:left="240" w:firstLine="493"/>
    </w:pPr>
  </w:style>
  <w:style w:type="paragraph" w:customStyle="1" w:styleId="Spistreci">
    <w:name w:val="Spis treści"/>
    <w:rsid w:val="00E94970"/>
    <w:pPr>
      <w:spacing w:before="280" w:after="280" w:line="360" w:lineRule="auto"/>
    </w:pPr>
    <w:rPr>
      <w:rFonts w:ascii="Arial" w:hAnsi="Arial"/>
      <w:b/>
      <w:sz w:val="32"/>
    </w:rPr>
  </w:style>
  <w:style w:type="paragraph" w:styleId="TOC3">
    <w:name w:val="toc 3"/>
    <w:basedOn w:val="Normal"/>
    <w:next w:val="Normal"/>
    <w:autoRedefine/>
    <w:uiPriority w:val="39"/>
    <w:rsid w:val="00E94970"/>
    <w:pPr>
      <w:ind w:left="480" w:firstLine="493"/>
    </w:pPr>
  </w:style>
  <w:style w:type="paragraph" w:styleId="Caption">
    <w:name w:val="caption"/>
    <w:basedOn w:val="Normal"/>
    <w:next w:val="Normal"/>
    <w:qFormat/>
    <w:rsid w:val="00E94970"/>
    <w:pPr>
      <w:ind w:firstLine="493"/>
    </w:pPr>
    <w:rPr>
      <w:b/>
      <w:bCs/>
      <w:sz w:val="20"/>
    </w:rPr>
  </w:style>
  <w:style w:type="paragraph" w:styleId="TOCHeading">
    <w:name w:val="TOC Heading"/>
    <w:basedOn w:val="Heading1"/>
    <w:next w:val="Normal"/>
    <w:uiPriority w:val="39"/>
    <w:unhideWhenUsed/>
    <w:qFormat/>
    <w:rsid w:val="007A3839"/>
    <w:pPr>
      <w:keepLines/>
      <w:spacing w:before="240" w:after="0" w:line="259" w:lineRule="auto"/>
      <w:jc w:val="left"/>
      <w:outlineLvl w:val="9"/>
    </w:pPr>
    <w:rPr>
      <w:rFonts w:ascii="Calibri Light" w:hAnsi="Calibri Light"/>
      <w:b w:val="0"/>
      <w:bCs w:val="0"/>
      <w:color w:val="2E74B5"/>
      <w:kern w:val="0"/>
      <w:lang w:val="en-US" w:eastAsia="en-US"/>
    </w:rPr>
  </w:style>
  <w:style w:type="character" w:customStyle="1" w:styleId="Heading5Char">
    <w:name w:val="Heading 5 Char"/>
    <w:link w:val="Heading5"/>
    <w:uiPriority w:val="9"/>
    <w:semiHidden/>
    <w:rsid w:val="00DE6785"/>
    <w:rPr>
      <w:rFonts w:ascii="Calibri" w:eastAsia="Times New Roman" w:hAnsi="Calibri" w:cs="Times New Roman"/>
      <w:b/>
      <w:bCs/>
      <w:i/>
      <w:iCs/>
      <w:sz w:val="26"/>
      <w:szCs w:val="26"/>
    </w:rPr>
  </w:style>
  <w:style w:type="character" w:customStyle="1" w:styleId="Heading6Char">
    <w:name w:val="Heading 6 Char"/>
    <w:link w:val="Heading6"/>
    <w:uiPriority w:val="9"/>
    <w:rsid w:val="00DE6785"/>
    <w:rPr>
      <w:rFonts w:ascii="Calibri" w:eastAsia="Times New Roman" w:hAnsi="Calibri" w:cs="Times New Roman"/>
      <w:b/>
      <w:bCs/>
      <w:sz w:val="22"/>
      <w:szCs w:val="22"/>
    </w:rPr>
  </w:style>
  <w:style w:type="character" w:customStyle="1" w:styleId="Heading7Char">
    <w:name w:val="Heading 7 Char"/>
    <w:link w:val="Heading7"/>
    <w:uiPriority w:val="9"/>
    <w:rsid w:val="00DE6785"/>
    <w:rPr>
      <w:rFonts w:ascii="Calibri" w:eastAsia="Times New Roman" w:hAnsi="Calibri" w:cs="Times New Roman"/>
      <w:sz w:val="24"/>
      <w:szCs w:val="24"/>
    </w:rPr>
  </w:style>
  <w:style w:type="character" w:styleId="PlaceholderText">
    <w:name w:val="Placeholder Text"/>
    <w:basedOn w:val="DefaultParagraphFont"/>
    <w:uiPriority w:val="99"/>
    <w:semiHidden/>
    <w:rsid w:val="00181BC2"/>
    <w:rPr>
      <w:color w:val="808080"/>
    </w:rPr>
  </w:style>
  <w:style w:type="character" w:styleId="Strong">
    <w:name w:val="Strong"/>
    <w:basedOn w:val="DefaultParagraphFont"/>
    <w:uiPriority w:val="22"/>
    <w:qFormat/>
    <w:rsid w:val="00906321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14971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660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8134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3043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187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7832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039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478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2.xml"/><Relationship Id="rId18" Type="http://schemas.openxmlformats.org/officeDocument/2006/relationships/oleObject" Target="embeddings/oleObject2.bin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17" Type="http://schemas.openxmlformats.org/officeDocument/2006/relationships/image" Target="media/image4.wmf"/><Relationship Id="rId2" Type="http://schemas.openxmlformats.org/officeDocument/2006/relationships/customXml" Target="../customXml/item2.xml"/><Relationship Id="rId16" Type="http://schemas.openxmlformats.org/officeDocument/2006/relationships/oleObject" Target="embeddings/oleObject1.bin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image" Target="media/image3.wmf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kiet 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>
  <documentManagement>
    <PublishingExpirationDate xmlns="http://schemas.microsoft.com/sharepoint/v3" xsi:nil="true"/>
    <PublishingStartDate xmlns="http://schemas.microsoft.com/sharepoint/v3" xsi:nil="true"/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F4030C0A50CED54A93B75331F639F92D" ma:contentTypeVersion="1" ma:contentTypeDescription="Utwórz nowy dokument." ma:contentTypeScope="" ma:versionID="c2e8e8769345ce97fdff3f97b6b45fc1">
  <xsd:schema xmlns:xsd="http://www.w3.org/2001/XMLSchema" xmlns:p="http://schemas.microsoft.com/office/2006/metadata/properties" xmlns:ns1="http://schemas.microsoft.com/sharepoint/v3" targetNamespace="http://schemas.microsoft.com/office/2006/metadata/properties" ma:root="true" ma:fieldsID="74c9a9df04abc7fbdb97ce22349bc730" ns1:_="">
    <xsd:import namespace="http://schemas.microsoft.com/sharepoint/v3"/>
    <xsd:element name="properties">
      <xsd:complexType>
        <xsd:sequence>
          <xsd:element name="documentManagement">
            <xsd:complexType>
              <xsd:all>
                <xsd:element ref="ns1:PublishingStartDate" minOccurs="0"/>
                <xsd:element ref="ns1:PublishingExpirationDate" minOccurs="0"/>
              </xsd:all>
            </xsd:complexType>
          </xsd:element>
        </xsd:sequence>
      </xsd:complexType>
    </xsd:element>
  </xsd:schema>
  <xsd:schema xmlns:xsd="http://www.w3.org/2001/XMLSchema" xmlns:dms="http://schemas.microsoft.com/office/2006/documentManagement/types" targetNamespace="http://schemas.microsoft.com/sharepoint/v3" elementFormDefault="qualified">
    <xsd:import namespace="http://schemas.microsoft.com/office/2006/documentManagement/types"/>
    <xsd:element name="PublishingStartDate" ma:index="8" nillable="true" ma:displayName="Planowana data rozpoczęcia" ma:description="" ma:hidden="true" ma:internalName="PublishingStartDate">
      <xsd:simpleType>
        <xsd:restriction base="dms:Unknown"/>
      </xsd:simpleType>
    </xsd:element>
    <xsd:element name="PublishingExpirationDate" ma:index="9" nillable="true" ma:displayName="Planowana data zakończenia" ma:description="" ma:hidden="true" ma:internalName="PublishingExpirationDat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office/internal/2005/internalDocumentation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 zawartości" ma:readOnly="true"/>
        <xsd:element ref="dc:title" minOccurs="0" maxOccurs="1" ma:index="4" ma:displayName="Tytuł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lastPrinted" minOccurs="0" maxOccurs="1" type="xsd:dateTime"/>
        <xsd:element name="contentStatus" minOccurs="0" maxOccurs="1" type="xsd:string"/>
      </xsd:all>
    </xsd:complexType>
  </xsd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AC700D7-5D49-49DE-8A40-90E89286CBD2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FD081FFA-365A-41D1-8FAA-ED90A7BB3556}">
  <ds:schemaRefs>
    <ds:schemaRef ds:uri="http://schemas.microsoft.com/office/2006/metadata/properties"/>
    <ds:schemaRef ds:uri="http://schemas.microsoft.com/sharepoint/v3"/>
  </ds:schemaRefs>
</ds:datastoreItem>
</file>

<file path=customXml/itemProps3.xml><?xml version="1.0" encoding="utf-8"?>
<ds:datastoreItem xmlns:ds="http://schemas.openxmlformats.org/officeDocument/2006/customXml" ds:itemID="{44EC4162-9002-403E-B22D-6E9E1AE6D65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http://schemas.microsoft.com/office/2006/documentManagement/types"/>
    <ds:schemaRef ds:uri="http://schemas.openxmlformats.org/package/2006/metadata/core-properties"/>
    <ds:schemaRef ds:uri="http://purl.org/dc/elements/1.1/"/>
    <ds:schemaRef ds:uri="http://purl.org/dc/terms/"/>
    <ds:schemaRef ds:uri="http://schemas.microsoft.com/office/internal/2005/internalDocumentation"/>
  </ds:schemaRefs>
</ds:datastoreItem>
</file>

<file path=customXml/itemProps4.xml><?xml version="1.0" encoding="utf-8"?>
<ds:datastoreItem xmlns:ds="http://schemas.openxmlformats.org/officeDocument/2006/customXml" ds:itemID="{9B68B812-EA7C-4A22-99C7-1C001B96DC8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889</TotalTime>
  <Pages>24</Pages>
  <Words>4354</Words>
  <Characters>26126</Characters>
  <Application>Microsoft Office Word</Application>
  <DocSecurity>0</DocSecurity>
  <Lines>217</Lines>
  <Paragraphs>60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Tytuł</vt:lpstr>
      </vt:variant>
      <vt:variant>
        <vt:i4>1</vt:i4>
      </vt:variant>
    </vt:vector>
  </HeadingPairs>
  <TitlesOfParts>
    <vt:vector size="2" baseType="lpstr">
      <vt:lpstr>Z3-P-RG-3_Wzór projektu inżynierskiego</vt:lpstr>
      <vt:lpstr>Z3-P-RG-3_Wzór projektu inżynierskiego</vt:lpstr>
    </vt:vector>
  </TitlesOfParts>
  <Company/>
  <LinksUpToDate>false</LinksUpToDate>
  <CharactersWithSpaces>30420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Z3-P-RG-3_Wzór projektu inżynierskiego</dc:title>
  <dc:creator>ZKS</dc:creator>
  <cp:lastModifiedBy>Windows User</cp:lastModifiedBy>
  <cp:revision>370</cp:revision>
  <cp:lastPrinted>2012-10-18T10:19:00Z</cp:lastPrinted>
  <dcterms:created xsi:type="dcterms:W3CDTF">2017-01-02T20:34:00Z</dcterms:created>
  <dcterms:modified xsi:type="dcterms:W3CDTF">2017-01-07T19:53:00Z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ublishingExpirationDate">
    <vt:lpwstr/>
  </property>
  <property fmtid="{D5CDD505-2E9C-101B-9397-08002B2CF9AE}" pid="3" name="PublishingStartDate">
    <vt:lpwstr/>
  </property>
  <property fmtid="{D5CDD505-2E9C-101B-9397-08002B2CF9AE}" pid="4" name="ContentTypeId">
    <vt:lpwstr>0x010100F4030C0A50CED54A93B75331F639F92D</vt:lpwstr>
  </property>
</Properties>
</file>