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F93818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>
        <w:rPr>
          <w:rFonts w:ascii="Arial" w:hAnsi="Arial" w:cs="Arial"/>
          <w:noProof/>
          <w:szCs w:val="24"/>
        </w:rPr>
        <w:drawing>
          <wp:inline distT="0" distB="0" distL="0" distR="0">
            <wp:extent cx="1009650" cy="10096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100965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Politechnika Śląska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Wydział Automatyki, Elektroniki i Informatyki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 xml:space="preserve">Kierunek </w:t>
      </w:r>
      <w:r w:rsidR="005C11F1">
        <w:rPr>
          <w:rFonts w:ascii="Arial" w:hAnsi="Arial" w:cs="Arial"/>
          <w:b/>
          <w:bCs/>
          <w:smallCaps/>
          <w:sz w:val="36"/>
          <w:szCs w:val="24"/>
          <w:lang w:eastAsia="zh-CN"/>
        </w:rPr>
        <w:t>Biotechnologia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keepNext/>
        <w:numPr>
          <w:ilvl w:val="4"/>
          <w:numId w:val="6"/>
        </w:numPr>
        <w:suppressAutoHyphens/>
        <w:spacing w:line="240" w:lineRule="auto"/>
        <w:jc w:val="center"/>
        <w:outlineLvl w:val="4"/>
        <w:rPr>
          <w:rFonts w:ascii="Arial" w:hAnsi="Arial" w:cs="Arial"/>
          <w:sz w:val="36"/>
          <w:szCs w:val="24"/>
          <w:lang w:eastAsia="zh-CN"/>
        </w:rPr>
      </w:pPr>
      <w:r w:rsidRPr="00571EE2">
        <w:rPr>
          <w:rFonts w:ascii="Arial" w:hAnsi="Arial" w:cs="Arial"/>
          <w:sz w:val="36"/>
          <w:szCs w:val="24"/>
          <w:lang w:eastAsia="zh-CN"/>
        </w:rPr>
        <w:t>Projekt inżynierski</w:t>
      </w:r>
      <w:r w:rsidRPr="00571EE2">
        <w:rPr>
          <w:rFonts w:ascii="Arial" w:hAnsi="Arial" w:cs="Arial"/>
          <w:sz w:val="16"/>
          <w:szCs w:val="24"/>
          <w:lang w:eastAsia="zh-CN"/>
        </w:rPr>
        <w:t xml:space="preserve"> 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D254B6" w:rsidP="00EF6B30">
      <w:pPr>
        <w:keepNext/>
        <w:numPr>
          <w:ilvl w:val="5"/>
          <w:numId w:val="6"/>
        </w:numPr>
        <w:tabs>
          <w:tab w:val="clear" w:pos="1152"/>
          <w:tab w:val="num" w:pos="0"/>
        </w:tabs>
        <w:suppressAutoHyphens/>
        <w:ind w:left="0" w:firstLine="0"/>
        <w:jc w:val="center"/>
        <w:outlineLvl w:val="5"/>
        <w:rPr>
          <w:rFonts w:ascii="Arial" w:hAnsi="Arial" w:cs="Arial"/>
          <w:sz w:val="28"/>
          <w:szCs w:val="24"/>
          <w:lang w:eastAsia="zh-CN"/>
        </w:rPr>
      </w:pPr>
      <w:r>
        <w:rPr>
          <w:rFonts w:ascii="Arial" w:hAnsi="Arial" w:cs="Arial"/>
          <w:sz w:val="28"/>
          <w:szCs w:val="24"/>
          <w:lang w:eastAsia="zh-CN"/>
        </w:rPr>
        <w:t>Aplikacja internetowa do analizy danych z eksperymentów Real-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time </w:t>
      </w:r>
      <w:r>
        <w:rPr>
          <w:rFonts w:ascii="Arial" w:hAnsi="Arial" w:cs="Arial"/>
          <w:sz w:val="28"/>
          <w:szCs w:val="24"/>
          <w:lang w:eastAsia="zh-CN"/>
        </w:rPr>
        <w:t>PCR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714184" w:rsidRDefault="00571EE2" w:rsidP="00EF6B30">
      <w:pPr>
        <w:suppressAutoHyphens/>
        <w:rPr>
          <w:rFonts w:ascii="Arial" w:hAnsi="Arial" w:cs="Arial"/>
          <w:sz w:val="14"/>
          <w:szCs w:val="1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Autor: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Jakub Porc</w:t>
      </w:r>
    </w:p>
    <w:p w:rsidR="00571EE2" w:rsidRPr="00571EE2" w:rsidRDefault="00571EE2" w:rsidP="00571EE2">
      <w:pPr>
        <w:keepNext/>
        <w:numPr>
          <w:ilvl w:val="6"/>
          <w:numId w:val="6"/>
        </w:numPr>
        <w:suppressAutoHyphens/>
        <w:spacing w:line="240" w:lineRule="auto"/>
        <w:jc w:val="left"/>
        <w:outlineLvl w:val="6"/>
        <w:rPr>
          <w:rFonts w:ascii="Arial" w:hAnsi="Arial" w:cs="Arial"/>
          <w:sz w:val="28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Kierujący pracą: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Dr inż. Sebastian </w:t>
      </w:r>
    </w:p>
    <w:p w:rsidR="00571EE2" w:rsidRDefault="00571EE2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Default="00D57FAB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Pr="00571EE2" w:rsidRDefault="00D57FAB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4B305C" w:rsidRDefault="00571EE2" w:rsidP="00D254B6">
      <w:pPr>
        <w:suppressAutoHyphens/>
        <w:jc w:val="center"/>
      </w:pPr>
      <w:r w:rsidRPr="00571EE2">
        <w:rPr>
          <w:rFonts w:ascii="Arial" w:hAnsi="Arial" w:cs="Arial"/>
          <w:szCs w:val="24"/>
          <w:lang w:eastAsia="zh-CN"/>
        </w:rPr>
        <w:t xml:space="preserve">Gliwice, </w:t>
      </w:r>
      <w:r>
        <w:rPr>
          <w:rFonts w:ascii="Arial" w:hAnsi="Arial" w:cs="Arial"/>
          <w:szCs w:val="24"/>
          <w:lang w:eastAsia="zh-CN"/>
        </w:rPr>
        <w:t>styczeń 2016</w:t>
      </w:r>
    </w:p>
    <w:p w:rsidR="00E94970" w:rsidRDefault="00E94970" w:rsidP="00E94970">
      <w:pPr>
        <w:sectPr w:rsidR="00E94970" w:rsidSect="00571EE2">
          <w:footerReference w:type="even" r:id="rId12"/>
          <w:footerReference w:type="default" r:id="rId13"/>
          <w:pgSz w:w="11906" w:h="16838" w:code="9"/>
          <w:pgMar w:top="1418" w:right="1418" w:bottom="0" w:left="1418" w:header="709" w:footer="709" w:gutter="567"/>
          <w:cols w:space="708"/>
          <w:titlePg/>
          <w:docGrid w:linePitch="360"/>
        </w:sectPr>
      </w:pPr>
    </w:p>
    <w:p w:rsidR="00E94970" w:rsidRDefault="00E94970" w:rsidP="00E94970"/>
    <w:tbl>
      <w:tblPr>
        <w:tblW w:w="4941" w:type="pct"/>
        <w:tblLook w:val="01E0" w:firstRow="1" w:lastRow="1" w:firstColumn="1" w:lastColumn="1" w:noHBand="0" w:noVBand="0"/>
      </w:tblPr>
      <w:tblGrid>
        <w:gridCol w:w="4116"/>
        <w:gridCol w:w="4287"/>
      </w:tblGrid>
      <w:tr w:rsidR="00E94970">
        <w:trPr>
          <w:cantSplit/>
          <w:trHeight w:val="1701"/>
        </w:trPr>
        <w:tc>
          <w:tcPr>
            <w:tcW w:w="5000" w:type="pct"/>
            <w:gridSpan w:val="2"/>
            <w:vAlign w:val="center"/>
          </w:tcPr>
          <w:p w:rsidR="00302A4C" w:rsidRDefault="00302A4C" w:rsidP="00302A4C">
            <w:pPr>
              <w:jc w:val="center"/>
              <w:rPr>
                <w:szCs w:val="10"/>
              </w:rPr>
            </w:pPr>
            <w:r>
              <w:rPr>
                <w:szCs w:val="10"/>
              </w:rPr>
              <w:t>Aplikacja internetowa do analizy danych z eksperymentów Real-time PCR</w:t>
            </w:r>
          </w:p>
          <w:p w:rsidR="00E94970" w:rsidRDefault="00E94970" w:rsidP="007A041D">
            <w:pPr>
              <w:jc w:val="center"/>
              <w:rPr>
                <w:b/>
                <w:bCs/>
                <w:szCs w:val="10"/>
              </w:rPr>
            </w:pPr>
            <w:r>
              <w:rPr>
                <w:b/>
                <w:bCs/>
                <w:szCs w:val="10"/>
              </w:rPr>
              <w:t>dla p. Imię i NAZWISKO</w:t>
            </w:r>
          </w:p>
        </w:tc>
      </w:tr>
      <w:tr w:rsidR="00E94970">
        <w:trPr>
          <w:cantSplit/>
          <w:trHeight w:val="3969"/>
        </w:trPr>
        <w:tc>
          <w:tcPr>
            <w:tcW w:w="5000" w:type="pct"/>
            <w:gridSpan w:val="2"/>
            <w:vAlign w:val="center"/>
          </w:tcPr>
          <w:p w:rsidR="00E94970" w:rsidRDefault="00302A4C" w:rsidP="007A041D">
            <w:pPr>
              <w:ind w:left="851" w:right="851"/>
              <w:jc w:val="center"/>
              <w:rPr>
                <w:sz w:val="20"/>
              </w:rPr>
            </w:pPr>
            <w:r>
              <w:rPr>
                <w:caps/>
                <w:szCs w:val="24"/>
              </w:rPr>
              <w:t>aplikacja internetowa do analizy danych z eksperymentów real-time PCR</w:t>
            </w:r>
          </w:p>
        </w:tc>
      </w:tr>
      <w:tr w:rsidR="00E94970">
        <w:trPr>
          <w:cantSplit/>
        </w:trPr>
        <w:tc>
          <w:tcPr>
            <w:tcW w:w="5000" w:type="pct"/>
            <w:gridSpan w:val="2"/>
          </w:tcPr>
          <w:p w:rsidR="00E94970" w:rsidRDefault="00E94970" w:rsidP="007A041D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Zakres projektu:</w:t>
            </w:r>
          </w:p>
          <w:p w:rsidR="00E94970" w:rsidRDefault="00C469DB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wprowadzenie do tematyki eksperymentu Real-time PCR</w:t>
            </w:r>
            <w:r w:rsidR="00E94970">
              <w:rPr>
                <w:szCs w:val="24"/>
              </w:rPr>
              <w:t>,</w:t>
            </w:r>
          </w:p>
          <w:p w:rsidR="00E94970" w:rsidRDefault="00C469DB" w:rsidP="00C469DB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s</w:t>
            </w:r>
            <w:r w:rsidR="002A217C">
              <w:rPr>
                <w:szCs w:val="24"/>
              </w:rPr>
              <w:t>t</w:t>
            </w:r>
            <w:r>
              <w:rPr>
                <w:szCs w:val="24"/>
              </w:rPr>
              <w:t>worzenie aplikacji do analizy wyników z eksperymentu Real-time PCR</w:t>
            </w:r>
            <w:r w:rsidR="00E94970">
              <w:rPr>
                <w:szCs w:val="24"/>
              </w:rPr>
              <w:t>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2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inżynierskiego.</w:t>
            </w:r>
          </w:p>
          <w:p w:rsidR="00E94970" w:rsidRDefault="00E94970" w:rsidP="007A041D">
            <w:pPr>
              <w:spacing w:line="480" w:lineRule="auto"/>
              <w:ind w:left="299"/>
              <w:jc w:val="left"/>
              <w:rPr>
                <w:szCs w:val="24"/>
              </w:rPr>
            </w:pPr>
          </w:p>
        </w:tc>
      </w:tr>
      <w:tr w:rsidR="00E94970">
        <w:trPr>
          <w:cantSplit/>
          <w:trHeight w:val="1418"/>
        </w:trPr>
        <w:tc>
          <w:tcPr>
            <w:tcW w:w="2389" w:type="pct"/>
          </w:tcPr>
          <w:p w:rsidR="00E94970" w:rsidRDefault="00E94970" w:rsidP="007A041D">
            <w:pPr>
              <w:spacing w:line="480" w:lineRule="auto"/>
              <w:jc w:val="left"/>
              <w:rPr>
                <w:szCs w:val="24"/>
              </w:rPr>
            </w:pPr>
            <w:r>
              <w:rPr>
                <w:szCs w:val="24"/>
              </w:rPr>
              <w:t>Kierujący projektem:</w:t>
            </w:r>
          </w:p>
          <w:p w:rsidR="00E94970" w:rsidRDefault="00E94970" w:rsidP="007A041D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………………………………………….</w:t>
            </w:r>
          </w:p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(tytuł/stopień naukowy, imię i nazwisko)</w:t>
            </w:r>
          </w:p>
        </w:tc>
        <w:tc>
          <w:tcPr>
            <w:tcW w:w="2611" w:type="pct"/>
          </w:tcPr>
          <w:p w:rsidR="00E94970" w:rsidRDefault="00E94970" w:rsidP="007A041D">
            <w:pPr>
              <w:spacing w:line="480" w:lineRule="auto"/>
              <w:ind w:left="383"/>
              <w:jc w:val="center"/>
              <w:rPr>
                <w:sz w:val="20"/>
              </w:rPr>
            </w:pPr>
          </w:p>
        </w:tc>
      </w:tr>
      <w:tr w:rsidR="00E94970">
        <w:trPr>
          <w:cantSplit/>
          <w:trHeight w:val="1134"/>
        </w:trPr>
        <w:tc>
          <w:tcPr>
            <w:tcW w:w="2389" w:type="pct"/>
          </w:tcPr>
          <w:p w:rsidR="00E94970" w:rsidRDefault="00E94970" w:rsidP="007A041D">
            <w:pPr>
              <w:jc w:val="left"/>
              <w:rPr>
                <w:szCs w:val="24"/>
              </w:rPr>
            </w:pPr>
          </w:p>
          <w:p w:rsidR="00E94970" w:rsidRDefault="00E94970" w:rsidP="007A041D">
            <w:pPr>
              <w:jc w:val="left"/>
              <w:rPr>
                <w:szCs w:val="24"/>
              </w:rPr>
            </w:pPr>
          </w:p>
          <w:p w:rsidR="00E94970" w:rsidRDefault="00E94970" w:rsidP="007A041D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Gliwice, ………………………………..</w:t>
            </w:r>
          </w:p>
        </w:tc>
        <w:tc>
          <w:tcPr>
            <w:tcW w:w="2611" w:type="pct"/>
          </w:tcPr>
          <w:p w:rsidR="00E94970" w:rsidRDefault="00E94970" w:rsidP="007A041D">
            <w:pPr>
              <w:jc w:val="left"/>
              <w:rPr>
                <w:szCs w:val="24"/>
              </w:rPr>
            </w:pPr>
          </w:p>
        </w:tc>
      </w:tr>
    </w:tbl>
    <w:p w:rsidR="00E94970" w:rsidRDefault="00E94970" w:rsidP="00E94970">
      <w:pPr>
        <w:pStyle w:val="Header"/>
        <w:rPr>
          <w:b/>
          <w:bCs/>
          <w:sz w:val="32"/>
          <w:szCs w:val="32"/>
        </w:rPr>
        <w:sectPr w:rsidR="00E94970">
          <w:pgSz w:w="11906" w:h="16838" w:code="9"/>
          <w:pgMar w:top="1418" w:right="1418" w:bottom="1559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Spistreci"/>
      </w:pPr>
      <w:bookmarkStart w:id="0" w:name="_Toc204183449"/>
      <w:r>
        <w:lastRenderedPageBreak/>
        <w:t>Spis treści</w:t>
      </w:r>
      <w:bookmarkEnd w:id="0"/>
    </w:p>
    <w:p w:rsidR="000919D4" w:rsidRPr="004409AB" w:rsidRDefault="00105F73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r>
        <w:rPr>
          <w:sz w:val="32"/>
          <w:szCs w:val="32"/>
        </w:rPr>
        <w:fldChar w:fldCharType="begin"/>
      </w:r>
      <w:r w:rsidR="00E94970">
        <w:rPr>
          <w:sz w:val="32"/>
          <w:szCs w:val="32"/>
        </w:rPr>
        <w:instrText xml:space="preserve"> TOC \o "1-3" \h \z \u </w:instrText>
      </w:r>
      <w:r>
        <w:rPr>
          <w:sz w:val="32"/>
          <w:szCs w:val="32"/>
        </w:rPr>
        <w:fldChar w:fldCharType="separate"/>
      </w:r>
      <w:hyperlink w:anchor="_Toc381701319" w:history="1">
        <w:r w:rsidR="000919D4" w:rsidRPr="00BE70D1">
          <w:rPr>
            <w:rStyle w:val="Hyperlink"/>
            <w:noProof/>
          </w:rPr>
          <w:t>Spis oznaczeń i symboli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_Toc381701319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4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0" w:history="1">
        <w:r w:rsidR="000919D4" w:rsidRPr="00BE70D1">
          <w:rPr>
            <w:rStyle w:val="Hyperlink"/>
            <w:noProof/>
          </w:rPr>
          <w:t>1.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Wstęp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6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1" w:history="1">
        <w:r w:rsidR="000919D4" w:rsidRPr="00BE70D1">
          <w:rPr>
            <w:rStyle w:val="Hyperlink"/>
            <w:noProof/>
          </w:rPr>
          <w:t>2.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F13146">
          <w:rPr>
            <w:rStyle w:val="Hyperlink"/>
            <w:noProof/>
          </w:rPr>
          <w:t>Wstęp teoretyczny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2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2" w:history="1">
        <w:r w:rsidR="000919D4" w:rsidRPr="00BE70D1">
          <w:rPr>
            <w:rStyle w:val="Hyperlink"/>
            <w:noProof/>
          </w:rPr>
          <w:t xml:space="preserve">2.1. </w:t>
        </w:r>
        <w:r w:rsidR="00F13146">
          <w:rPr>
            <w:rStyle w:val="Hyperlink"/>
            <w:noProof/>
          </w:rPr>
          <w:t>Reakcja łańcuchowa polimerazy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3" w:history="1">
        <w:r w:rsidR="000919D4" w:rsidRPr="00BE70D1">
          <w:rPr>
            <w:rStyle w:val="Hyperlink"/>
            <w:noProof/>
          </w:rPr>
          <w:t>2.1.1. Styl podstawowy (normalny)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4" w:history="1">
        <w:r w:rsidR="000919D4" w:rsidRPr="00BE70D1">
          <w:rPr>
            <w:rStyle w:val="Hyperlink"/>
            <w:noProof/>
          </w:rPr>
          <w:t>2.1.2. Tytuły rozdziałów i podrozdziałów projektu inżynierskiego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_Toc381701324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5" w:history="1">
        <w:r w:rsidR="000919D4" w:rsidRPr="00BE70D1">
          <w:rPr>
            <w:rStyle w:val="Hyperlink"/>
            <w:noProof/>
          </w:rPr>
          <w:t>2.1.3. Numeracja stron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_Toc381701325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6" w:history="1">
        <w:r w:rsidR="000919D4" w:rsidRPr="00BE70D1">
          <w:rPr>
            <w:rStyle w:val="Hyperlink"/>
            <w:noProof/>
          </w:rPr>
          <w:t>2.1.4. Przypisy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_Toc381701326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7" w:history="1">
        <w:r w:rsidR="000919D4" w:rsidRPr="00BE70D1">
          <w:rPr>
            <w:rStyle w:val="Hyperlink"/>
            <w:noProof/>
          </w:rPr>
          <w:t>3.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Rysunki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_Toc381701327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9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8" w:history="1">
        <w:r w:rsidR="000919D4" w:rsidRPr="00BE70D1">
          <w:rPr>
            <w:rStyle w:val="Hyperlink"/>
            <w:noProof/>
          </w:rPr>
          <w:t>4.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Tabele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_Toc381701328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11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9" w:history="1">
        <w:r w:rsidR="000919D4" w:rsidRPr="00BE70D1">
          <w:rPr>
            <w:rStyle w:val="Hyperlink"/>
            <w:noProof/>
          </w:rPr>
          <w:t>5.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Równania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12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0" w:history="1">
        <w:r w:rsidR="000919D4" w:rsidRPr="00BE70D1">
          <w:rPr>
            <w:rStyle w:val="Hyperlink"/>
            <w:noProof/>
          </w:rPr>
          <w:t>6.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Sporządzanie spisu literatury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1" w:history="1">
        <w:r w:rsidR="000919D4" w:rsidRPr="00BE70D1">
          <w:rPr>
            <w:rStyle w:val="Hyperlink"/>
            <w:noProof/>
          </w:rPr>
          <w:t>Literatura (Wzór A)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2" w:history="1">
        <w:r w:rsidR="000919D4" w:rsidRPr="00BE70D1">
          <w:rPr>
            <w:rStyle w:val="Hyperlink"/>
            <w:noProof/>
          </w:rPr>
          <w:t>Literatura (Wzór B)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CC3332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3" w:history="1">
        <w:r w:rsidR="000919D4" w:rsidRPr="00BE70D1">
          <w:rPr>
            <w:rStyle w:val="Hyperlink"/>
            <w:noProof/>
          </w:rPr>
          <w:t>Załącznik 1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14</w:t>
        </w:r>
        <w:r w:rsidR="000919D4">
          <w:rPr>
            <w:noProof/>
            <w:webHidden/>
          </w:rPr>
          <w:fldChar w:fldCharType="end"/>
        </w:r>
      </w:hyperlink>
    </w:p>
    <w:p w:rsidR="00E94970" w:rsidRDefault="00105F73" w:rsidP="00E94970">
      <w:pPr>
        <w:pStyle w:val="TOC1"/>
        <w:tabs>
          <w:tab w:val="right" w:leader="dot" w:pos="8493"/>
        </w:tabs>
        <w:rPr>
          <w:noProof/>
          <w:szCs w:val="24"/>
        </w:rPr>
      </w:pPr>
      <w:r>
        <w:rPr>
          <w:sz w:val="32"/>
          <w:szCs w:val="32"/>
        </w:rPr>
        <w:fldChar w:fldCharType="end"/>
      </w:r>
    </w:p>
    <w:p w:rsidR="00E94970" w:rsidRDefault="00E94970" w:rsidP="00E94970">
      <w:pPr>
        <w:pStyle w:val="Heading1"/>
      </w:pPr>
      <w:r>
        <w:br w:type="page"/>
      </w:r>
      <w:bookmarkStart w:id="1" w:name="_Toc381701319"/>
      <w:r>
        <w:lastRenderedPageBreak/>
        <w:t>Spis oznaczeń i symboli</w:t>
      </w:r>
      <w:bookmarkEnd w:id="1"/>
    </w:p>
    <w:p w:rsidR="00E94970" w:rsidRDefault="00E94970" w:rsidP="00E94970"/>
    <w:tbl>
      <w:tblPr>
        <w:tblW w:w="0" w:type="auto"/>
        <w:tblLook w:val="01E0" w:firstRow="1" w:lastRow="1" w:firstColumn="1" w:lastColumn="1" w:noHBand="0" w:noVBand="0"/>
      </w:tblPr>
      <w:tblGrid>
        <w:gridCol w:w="696"/>
        <w:gridCol w:w="540"/>
        <w:gridCol w:w="7567"/>
      </w:tblGrid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4409AB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PCR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9C73DA" w:rsidP="007A041D">
            <w:pPr>
              <w:jc w:val="left"/>
            </w:pPr>
            <w:r>
              <w:t>r</w:t>
            </w:r>
            <w:r w:rsidR="004409AB">
              <w:t>eakcja łańcuchowa polimerazy,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FF14E4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DNA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FF14E4" w:rsidP="007A041D">
            <w:pPr>
              <w:jc w:val="left"/>
            </w:pPr>
            <w:r>
              <w:t>kwas deoksyrybonukleinowy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DF2905" w:rsidP="007A041D">
            <w:pPr>
              <w:jc w:val="left"/>
              <w:rPr>
                <w:i/>
                <w:iCs/>
                <w:vertAlign w:val="subscript"/>
              </w:rPr>
            </w:pPr>
            <w:r>
              <w:rPr>
                <w:i/>
                <w:iCs/>
              </w:rPr>
              <w:t>Ct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135CB4" w:rsidP="007A041D">
            <w:pPr>
              <w:jc w:val="left"/>
            </w:pPr>
            <w:r>
              <w:t>c</w:t>
            </w:r>
            <w:r w:rsidR="00DF2905">
              <w:t>ykl progowy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F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F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I,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k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k,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l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l,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P,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R,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t,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U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U,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br w:type="page"/>
      </w:r>
    </w:p>
    <w:p w:rsidR="00E94970" w:rsidRDefault="00E94970" w:rsidP="00E94970">
      <w:pPr>
        <w:pStyle w:val="Heading1"/>
        <w:numPr>
          <w:ilvl w:val="0"/>
          <w:numId w:val="2"/>
        </w:numPr>
        <w:jc w:val="left"/>
      </w:pPr>
      <w:bookmarkStart w:id="2" w:name="_Toc381701320"/>
      <w:r>
        <w:lastRenderedPageBreak/>
        <w:t>W</w:t>
      </w:r>
      <w:bookmarkEnd w:id="2"/>
      <w:r w:rsidR="00D67395">
        <w:t>prowadzenie</w:t>
      </w:r>
    </w:p>
    <w:p w:rsidR="00DE6785" w:rsidRDefault="00AC7D54" w:rsidP="00E94970">
      <w:r>
        <w:t xml:space="preserve">Wraz z rozwojem wiedzy na temat biologii molekularnej oraz genetyki coraz większa grupa badaczy dąży do poznania mechanizmów działania istniejących chorób o podłożu genetycznym w nadziei na znalezienie sposobu na spowolnienie </w:t>
      </w:r>
      <w:r w:rsidR="00237C21">
        <w:t>ich</w:t>
      </w:r>
      <w:r>
        <w:t xml:space="preserve"> rozwoju, lub całkowite wyleczenie.</w:t>
      </w:r>
      <w:r w:rsidR="00237C21">
        <w:t xml:space="preserve"> </w:t>
      </w:r>
      <w:r w:rsidR="00237C21" w:rsidRPr="00072F65">
        <w:rPr>
          <w:u w:val="single"/>
        </w:rPr>
        <w:t xml:space="preserve">Do chorób tych należą nowotwory, </w:t>
      </w:r>
      <w:r w:rsidR="00A868EA" w:rsidRPr="00072F65">
        <w:rPr>
          <w:u w:val="single"/>
        </w:rPr>
        <w:t>których liczba przypadków</w:t>
      </w:r>
      <w:r w:rsidR="00237C21" w:rsidRPr="00072F65">
        <w:rPr>
          <w:u w:val="single"/>
        </w:rPr>
        <w:t xml:space="preserve"> ciągle wzrasta, mimo intensywnych prac mających na celu ich poznanie i wyleczenie</w:t>
      </w:r>
      <w:r w:rsidR="00237C21">
        <w:t>. Mimo złożoności problemu</w:t>
      </w:r>
      <w:r w:rsidR="001B69CB">
        <w:t xml:space="preserve"> tego schorzenia </w:t>
      </w:r>
      <w:r w:rsidR="00237C21">
        <w:t>do badań nad ni</w:t>
      </w:r>
      <w:r w:rsidR="009F003F">
        <w:t>m</w:t>
      </w:r>
      <w:r w:rsidR="00237C21">
        <w:t xml:space="preserve"> często wykorzystuje się określoną grupę technik i analiz, które dostarczają specjalistom informacji na temat natury </w:t>
      </w:r>
      <w:r w:rsidR="0064074A">
        <w:t>nowotworów</w:t>
      </w:r>
      <w:r w:rsidR="00237C21">
        <w:t>, pozwalają na wyciągnięcie odpowiednich wniosków i</w:t>
      </w:r>
      <w:r w:rsidR="00E656F6">
        <w:t xml:space="preserve"> pozwalają na podjęcie </w:t>
      </w:r>
      <w:r w:rsidR="00735B5B">
        <w:t>badań nad nową metodą leczenia</w:t>
      </w:r>
      <w:r w:rsidR="00E656F6">
        <w:t>.</w:t>
      </w:r>
      <w:r w:rsidR="001B24F5">
        <w:t xml:space="preserve"> Wyniki takich eksperymentów</w:t>
      </w:r>
      <w:r w:rsidR="003D67F5">
        <w:t xml:space="preserve"> często</w:t>
      </w:r>
      <w:r w:rsidR="001B24F5">
        <w:t xml:space="preserve"> są jednak trudne do przeanalizowania bez zastosowania metod komputerowych i specjalnego oprogramowania. </w:t>
      </w:r>
      <w:r w:rsidR="00BC7BEF">
        <w:t xml:space="preserve">Nawet </w:t>
      </w:r>
      <w:r w:rsidR="00817781">
        <w:t>nie wielce skomplikowane</w:t>
      </w:r>
      <w:r w:rsidR="00BC7BEF">
        <w:t xml:space="preserve"> metod</w:t>
      </w:r>
      <w:r w:rsidR="003018C5">
        <w:t>y</w:t>
      </w:r>
      <w:r w:rsidR="00BC7BEF">
        <w:t xml:space="preserve"> przetwarzania otrzymanych danych </w:t>
      </w:r>
      <w:r w:rsidR="003018C5">
        <w:t xml:space="preserve">mogą </w:t>
      </w:r>
      <w:r w:rsidR="003D67F5">
        <w:t>sprawiać trudności</w:t>
      </w:r>
      <w:r w:rsidR="003018C5">
        <w:t xml:space="preserve"> i </w:t>
      </w:r>
      <w:r w:rsidR="003D67F5">
        <w:t xml:space="preserve">być </w:t>
      </w:r>
      <w:r w:rsidR="003018C5">
        <w:t xml:space="preserve">bardzo czasochłonne dla </w:t>
      </w:r>
      <w:r w:rsidR="00E82820">
        <w:t>badaczy nie</w:t>
      </w:r>
      <w:r w:rsidR="007822B0">
        <w:t>posiadających doświadczenia w tej dziedzinie.</w:t>
      </w:r>
      <w:r w:rsidR="00E30CF7">
        <w:t xml:space="preserve"> </w:t>
      </w:r>
      <w:r w:rsidR="00975898">
        <w:t>RT-</w:t>
      </w:r>
      <w:r w:rsidR="00E30CF7">
        <w:t>PCR</w:t>
      </w:r>
      <w:r w:rsidR="007F5D48">
        <w:t>?</w:t>
      </w:r>
      <w:r w:rsidR="00E82820">
        <w:t xml:space="preserve"> </w:t>
      </w:r>
      <w:r w:rsidR="00CB5BEA">
        <w:t xml:space="preserve">Z tego powodu </w:t>
      </w:r>
      <w:r w:rsidR="000A2BC3">
        <w:t xml:space="preserve">istnieje konieczność tworzenia oprogramowania i aplikacji, które pozwoliłyby na </w:t>
      </w:r>
      <w:r w:rsidR="00D51465">
        <w:t>szybką, prostą i wszechstronną analizę wyników powstałych na drodze eksperyment</w:t>
      </w:r>
      <w:r w:rsidR="007225FF">
        <w:t>ów</w:t>
      </w:r>
      <w:r w:rsidR="00D51465">
        <w:t xml:space="preserve">, </w:t>
      </w:r>
      <w:r w:rsidR="007225FF">
        <w:t>w celu zwiększenia</w:t>
      </w:r>
      <w:r w:rsidR="001931EC">
        <w:t xml:space="preserve"> szybkości prac i zapewni</w:t>
      </w:r>
      <w:r w:rsidR="007225FF">
        <w:t>enia</w:t>
      </w:r>
      <w:r w:rsidR="001931EC">
        <w:t xml:space="preserve"> </w:t>
      </w:r>
      <w:r w:rsidR="00520D89">
        <w:t>odpowiedni</w:t>
      </w:r>
      <w:r w:rsidR="007225FF">
        <w:t xml:space="preserve">ch </w:t>
      </w:r>
      <w:r w:rsidR="00520D89">
        <w:t>me</w:t>
      </w:r>
      <w:r w:rsidR="007225FF">
        <w:t>tod analizy zadanych wyników</w:t>
      </w:r>
      <w:r w:rsidR="00520D89">
        <w:t>.</w:t>
      </w:r>
    </w:p>
    <w:p w:rsidR="00561928" w:rsidRDefault="00561928" w:rsidP="00E94970"/>
    <w:p w:rsidR="00237C21" w:rsidRDefault="00F56DD3" w:rsidP="00E94970">
      <w:r>
        <w:t>Z tego powodu podjęto się stworzenia</w:t>
      </w:r>
      <w:r w:rsidR="00561928">
        <w:t xml:space="preserve"> prostej w obsłudze aplikacji internetowej pozwalającej na analizę danych z eksperymentu Real-time PCR. Program ten jest skierowany do biologów i biotechnologów nieposiadających doświadczenia w komputerowej analizie danych, zapewniając szybkie uzyskanie wyników.</w:t>
      </w:r>
    </w:p>
    <w:p w:rsidR="00561928" w:rsidRDefault="00561928" w:rsidP="00E94970"/>
    <w:p w:rsidR="00561928" w:rsidRDefault="00561928" w:rsidP="00E94970">
      <w:r>
        <w:t xml:space="preserve">W pierwszym rozdziale pracy zawarto wstęp merytoryczny oraz informacje potrzebne do zrozumienia założeń eksperymentu </w:t>
      </w:r>
      <w:r w:rsidR="00451617">
        <w:t xml:space="preserve">Real-time PCR oraz jego </w:t>
      </w:r>
      <w:r w:rsidR="00EA57BB">
        <w:t xml:space="preserve">zastosowań </w:t>
      </w:r>
      <w:r w:rsidR="00DB4844">
        <w:t xml:space="preserve">w badaniach nad chorobami. W drugim rozdziale pracy przedstawiono </w:t>
      </w:r>
      <w:r w:rsidR="00092A1E">
        <w:t xml:space="preserve">opis danych wykorzystanych do testowania programu, zastosowane metody obliczeń oraz </w:t>
      </w:r>
      <w:r w:rsidR="009D39F1">
        <w:t>strukturę</w:t>
      </w:r>
      <w:r w:rsidR="00092A1E">
        <w:t xml:space="preserve"> aplikacji.</w:t>
      </w:r>
    </w:p>
    <w:p w:rsidR="00237C21" w:rsidRDefault="00237C21" w:rsidP="00E94970"/>
    <w:p w:rsidR="00E94970" w:rsidRDefault="00E94970" w:rsidP="00E94970">
      <w:r>
        <w:br w:type="page"/>
      </w:r>
    </w:p>
    <w:p w:rsidR="00E94970" w:rsidRDefault="000321CB" w:rsidP="00E94970">
      <w:pPr>
        <w:pStyle w:val="Heading1"/>
        <w:numPr>
          <w:ilvl w:val="0"/>
          <w:numId w:val="2"/>
        </w:numPr>
        <w:jc w:val="left"/>
      </w:pPr>
      <w:r>
        <w:lastRenderedPageBreak/>
        <w:t>Wstęp teoretyczny</w:t>
      </w:r>
    </w:p>
    <w:p w:rsidR="00315BD2" w:rsidRPr="00063918" w:rsidRDefault="00E94970" w:rsidP="00063918">
      <w:pPr>
        <w:pStyle w:val="Heading2"/>
      </w:pPr>
      <w:bookmarkStart w:id="3" w:name="_Toc381701322"/>
      <w:r>
        <w:t>2.1</w:t>
      </w:r>
      <w:r w:rsidR="00525D70">
        <w:t>.</w:t>
      </w:r>
      <w:r>
        <w:t xml:space="preserve"> </w:t>
      </w:r>
      <w:bookmarkEnd w:id="3"/>
      <w:r w:rsidR="000321CB">
        <w:t>Reakcja łańcuchowa polimerazy</w:t>
      </w:r>
    </w:p>
    <w:p w:rsidR="00C410B5" w:rsidRDefault="001F1C19" w:rsidP="00014E5C">
      <w:pPr>
        <w:ind w:firstLine="708"/>
        <w:rPr>
          <w:bCs/>
          <w:szCs w:val="24"/>
        </w:rPr>
      </w:pPr>
      <w:r>
        <w:rPr>
          <w:bCs/>
          <w:szCs w:val="24"/>
        </w:rPr>
        <w:t>Reakcja łańcuchowa polimerazy jest podstawową i zarazem jedną z najczęściej wykorzystywanych technik w labo</w:t>
      </w:r>
      <w:r w:rsidR="0046141B">
        <w:rPr>
          <w:bCs/>
          <w:szCs w:val="24"/>
        </w:rPr>
        <w:t>r</w:t>
      </w:r>
      <w:r>
        <w:rPr>
          <w:bCs/>
          <w:szCs w:val="24"/>
        </w:rPr>
        <w:t>atorium biologii molekularnej.</w:t>
      </w:r>
      <w:r w:rsidR="003B0FF2">
        <w:rPr>
          <w:bCs/>
          <w:szCs w:val="24"/>
        </w:rPr>
        <w:t xml:space="preserve"> Pozwala ona na powielenie wybranego fragmentu </w:t>
      </w:r>
      <w:r w:rsidR="00FF14E4">
        <w:rPr>
          <w:bCs/>
          <w:szCs w:val="24"/>
        </w:rPr>
        <w:t>nici kwasu deoksyrybonukleinowego</w:t>
      </w:r>
      <w:r w:rsidR="00AF07CF">
        <w:rPr>
          <w:bCs/>
          <w:szCs w:val="24"/>
        </w:rPr>
        <w:t xml:space="preserve"> w niewielkim czasie, stosując proste metody oparte na mechanizmie replikacji </w:t>
      </w:r>
      <w:r w:rsidR="006004D4">
        <w:rPr>
          <w:bCs/>
          <w:szCs w:val="24"/>
        </w:rPr>
        <w:t xml:space="preserve">materiału genetycznego </w:t>
      </w:r>
      <w:r w:rsidR="00AF07CF">
        <w:rPr>
          <w:bCs/>
          <w:szCs w:val="24"/>
        </w:rPr>
        <w:t>w żywych komórkach.</w:t>
      </w:r>
      <w:r w:rsidR="006004D4">
        <w:rPr>
          <w:bCs/>
          <w:szCs w:val="24"/>
        </w:rPr>
        <w:t xml:space="preserve"> </w:t>
      </w:r>
    </w:p>
    <w:p w:rsidR="00014E5C" w:rsidRDefault="00014E5C" w:rsidP="00014E5C">
      <w:pPr>
        <w:ind w:firstLine="708"/>
        <w:rPr>
          <w:bCs/>
          <w:szCs w:val="24"/>
        </w:rPr>
      </w:pPr>
    </w:p>
    <w:p w:rsidR="00F73625" w:rsidRDefault="00F73625" w:rsidP="00014E5C">
      <w:pPr>
        <w:ind w:firstLine="708"/>
        <w:rPr>
          <w:bCs/>
          <w:szCs w:val="24"/>
        </w:rPr>
      </w:pPr>
      <w:r>
        <w:rPr>
          <w:bCs/>
          <w:szCs w:val="24"/>
        </w:rPr>
        <w:t>W pierwszej fazie eksperymentu zostają zaprojektowane startery, czyli krótkie jednoniciowe cząsteczki DNA, które są komplementarne do fragmentów matrycowego DNA i wyznaczają granice powielanej sekwencji.</w:t>
      </w:r>
      <w:r w:rsidR="00212AC7">
        <w:rPr>
          <w:bCs/>
          <w:szCs w:val="24"/>
        </w:rPr>
        <w:t xml:space="preserve"> Wyróżniamy startery </w:t>
      </w:r>
      <w:r w:rsidR="00212AC7" w:rsidRPr="0071066B">
        <w:rPr>
          <w:bCs/>
          <w:i/>
          <w:szCs w:val="24"/>
        </w:rPr>
        <w:t>forward</w:t>
      </w:r>
      <w:r w:rsidR="00212AC7">
        <w:rPr>
          <w:bCs/>
          <w:szCs w:val="24"/>
        </w:rPr>
        <w:t xml:space="preserve">, który </w:t>
      </w:r>
      <w:r w:rsidR="005D0D93">
        <w:rPr>
          <w:bCs/>
          <w:szCs w:val="24"/>
        </w:rPr>
        <w:t xml:space="preserve">przyłącza się do początku sekwencji oraz </w:t>
      </w:r>
      <w:r w:rsidR="005D0D93" w:rsidRPr="0071066B">
        <w:rPr>
          <w:bCs/>
          <w:i/>
          <w:szCs w:val="24"/>
        </w:rPr>
        <w:t>reverse</w:t>
      </w:r>
      <w:r w:rsidR="005D0D93">
        <w:rPr>
          <w:bCs/>
          <w:szCs w:val="24"/>
        </w:rPr>
        <w:t xml:space="preserve">, który przyłącza się do końca sekwencji. </w:t>
      </w:r>
      <w:r w:rsidR="00591019">
        <w:rPr>
          <w:bCs/>
          <w:szCs w:val="24"/>
        </w:rPr>
        <w:t xml:space="preserve">Po zaprojektowaniu i syntezie starterów tworzy się mieszaninę reakcyjną, w skład której wchodzą </w:t>
      </w:r>
      <w:r w:rsidR="00591019">
        <w:t xml:space="preserve">matrycowe DNA, trifosforany deoksyrybonukleotydów, startery oraz termostabilna polimeraza DNA. </w:t>
      </w:r>
      <w:r w:rsidR="00265FA0">
        <w:t xml:space="preserve">Tak przygotowaną mieszaninę umieszcza się w termocyklerze – urządzeniu </w:t>
      </w:r>
      <w:r w:rsidR="00131D78">
        <w:t>służącemu</w:t>
      </w:r>
      <w:r w:rsidR="00A7196F">
        <w:t xml:space="preserve"> do</w:t>
      </w:r>
      <w:r w:rsidR="00265FA0">
        <w:t xml:space="preserve"> ustalania i zmiany temperatury mieszaniny. </w:t>
      </w:r>
      <w:r w:rsidR="004051C6">
        <w:t xml:space="preserve">Cała reakcja zachodzi w kilkudziesięciu cyklach, które dzielą się na 3 etapy przebiegające w różnych temperaturach. </w:t>
      </w:r>
      <w:r w:rsidR="000224CC">
        <w:t>W pierwszym etapie</w:t>
      </w:r>
      <w:r w:rsidR="007051DA">
        <w:t xml:space="preserve"> każdego z cykli</w:t>
      </w:r>
      <w:r w:rsidR="000224CC">
        <w:t xml:space="preserve"> mieszaninę podgrzewa się do temperatury ok. 95</w:t>
      </w:r>
      <w:r w:rsidR="000224CC">
        <w:rPr>
          <w:vertAlign w:val="superscript"/>
        </w:rPr>
        <w:t>o</w:t>
      </w:r>
      <w:r w:rsidR="000224CC">
        <w:t xml:space="preserve">C, co skutkuje denaturacją DNA, czyli </w:t>
      </w:r>
      <w:r w:rsidR="00B62CD1">
        <w:t xml:space="preserve">rozdzieleniem dwuniciowej cząsteczki DNA na pojedyncze łańcuchy. </w:t>
      </w:r>
      <w:r w:rsidR="00B221D2">
        <w:t>W kolejnym etapie</w:t>
      </w:r>
      <w:r w:rsidR="00B62CD1">
        <w:t xml:space="preserve"> temperaturę obniża się do wartości odpowiadającym temperaturze topnienia starterów, co skutkuje ich przyłączeniem się do </w:t>
      </w:r>
      <w:r w:rsidR="007051DA">
        <w:t>komplementarnych</w:t>
      </w:r>
      <w:r w:rsidR="00B62CD1">
        <w:t xml:space="preserve"> miejsc </w:t>
      </w:r>
      <w:r w:rsidR="00024D95">
        <w:t xml:space="preserve">na </w:t>
      </w:r>
      <w:r w:rsidR="00B62CD1">
        <w:t>matrycy.</w:t>
      </w:r>
      <w:r w:rsidR="00C410B5">
        <w:t xml:space="preserve"> W ostatnim etapie temperaturę zwiększa się do ok. 72</w:t>
      </w:r>
      <w:r w:rsidR="00C410B5">
        <w:rPr>
          <w:vertAlign w:val="superscript"/>
        </w:rPr>
        <w:t>o</w:t>
      </w:r>
      <w:r w:rsidR="00B221D2">
        <w:t xml:space="preserve">C, co umożliwia związanie się termostabilnej polimerazy DNA ze starterami. Następnie </w:t>
      </w:r>
      <w:r w:rsidR="00ED72B0">
        <w:t xml:space="preserve">za jej pomocą </w:t>
      </w:r>
      <w:r w:rsidR="00355DCA">
        <w:t xml:space="preserve">od startera </w:t>
      </w:r>
      <w:r w:rsidR="00ED72B0">
        <w:t>syntetyzowana jest druga nić, poprzez wydłużanie startera</w:t>
      </w:r>
      <w:r w:rsidR="002B6893">
        <w:t>, poprzez dołączanie</w:t>
      </w:r>
      <w:r w:rsidR="00ED72B0">
        <w:t xml:space="preserve"> do niego </w:t>
      </w:r>
      <w:r w:rsidR="00ED72B0">
        <w:rPr>
          <w:bCs/>
          <w:szCs w:val="24"/>
        </w:rPr>
        <w:t>trifosforan</w:t>
      </w:r>
      <w:r w:rsidR="00393DC0">
        <w:rPr>
          <w:bCs/>
          <w:szCs w:val="24"/>
        </w:rPr>
        <w:t>ów</w:t>
      </w:r>
      <w:r w:rsidR="00ED72B0">
        <w:rPr>
          <w:bCs/>
          <w:szCs w:val="24"/>
        </w:rPr>
        <w:t xml:space="preserve"> deoksyrybonukleotydów.</w:t>
      </w:r>
      <w:r w:rsidR="00384D48">
        <w:rPr>
          <w:bCs/>
          <w:szCs w:val="24"/>
        </w:rPr>
        <w:t xml:space="preserve"> </w:t>
      </w:r>
    </w:p>
    <w:p w:rsidR="00A85B60" w:rsidRDefault="00A85B60" w:rsidP="00014E5C">
      <w:pPr>
        <w:ind w:firstLine="708"/>
        <w:rPr>
          <w:bCs/>
          <w:szCs w:val="24"/>
        </w:rPr>
      </w:pPr>
      <w:r>
        <w:rPr>
          <w:bCs/>
          <w:szCs w:val="24"/>
        </w:rPr>
        <w:t>-coś o fazach powielania</w:t>
      </w: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9A6F0A">
      <w:pPr>
        <w:rPr>
          <w:bCs/>
          <w:szCs w:val="24"/>
        </w:rPr>
      </w:pPr>
    </w:p>
    <w:p w:rsidR="00AF759B" w:rsidRDefault="00181472" w:rsidP="00AF759B">
      <w:pPr>
        <w:pStyle w:val="Heading2"/>
      </w:pPr>
      <w:r>
        <w:lastRenderedPageBreak/>
        <w:t>2.2 Reakcja łańcuchowa polimerazy w czasie rzeczywistym</w:t>
      </w:r>
    </w:p>
    <w:p w:rsidR="00044DCF" w:rsidRDefault="00181472" w:rsidP="00AF759B">
      <w:pPr>
        <w:ind w:firstLine="708"/>
      </w:pPr>
      <w:r>
        <w:t xml:space="preserve">Jednym z wariantów reakcji </w:t>
      </w:r>
      <w:r w:rsidR="00650F8B">
        <w:t>łańcuchowej</w:t>
      </w:r>
      <w:r>
        <w:t xml:space="preserve"> polimerazy </w:t>
      </w:r>
      <w:r w:rsidR="00650F8B">
        <w:t>jest Real-time PCR</w:t>
      </w:r>
      <w:r>
        <w:t xml:space="preserve">. </w:t>
      </w:r>
      <w:r w:rsidR="00A71C3F">
        <w:t>Istotą tej</w:t>
      </w:r>
      <w:r w:rsidR="003B2D6F">
        <w:t xml:space="preserve"> </w:t>
      </w:r>
      <w:r w:rsidR="00A71C3F">
        <w:t>techniki</w:t>
      </w:r>
      <w:r w:rsidR="003B2D6F">
        <w:t xml:space="preserve"> jest wykorzystanie jednej z metod śledzenia przebiegu reakcji w czasie rzeczywistym w celu określenia ilości powstałego produktu po każdym cyklu reakcji.</w:t>
      </w:r>
    </w:p>
    <w:p w:rsidR="00AF759B" w:rsidRDefault="00AF759B" w:rsidP="00AF759B">
      <w:pPr>
        <w:ind w:firstLine="708"/>
      </w:pPr>
    </w:p>
    <w:p w:rsidR="008F0B2B" w:rsidRDefault="00127CB5" w:rsidP="00AC424E">
      <w:pPr>
        <w:ind w:firstLine="708"/>
      </w:pPr>
      <w:r>
        <w:t xml:space="preserve">Aby przeprowadzić Real-time PCR konieczne jest dodanie do mieszaniny reakcyjnej </w:t>
      </w:r>
      <w:r w:rsidR="00AC424E">
        <w:t>interkalującego barwnika, czyli związku zdolnego do wiązania się wewnątrz dw</w:t>
      </w:r>
      <w:r w:rsidR="00157C1B">
        <w:t>u</w:t>
      </w:r>
      <w:r w:rsidR="00AC424E">
        <w:t>niciowej helisy DNA, lub sondy molekularnej.</w:t>
      </w:r>
      <w:r w:rsidR="00DF79E1">
        <w:t xml:space="preserve"> </w:t>
      </w:r>
      <w:r w:rsidR="00115650">
        <w:t xml:space="preserve">Podczas trwania reakcji </w:t>
      </w:r>
      <w:r w:rsidR="007866B1">
        <w:t xml:space="preserve">związki te będą oddziaływać </w:t>
      </w:r>
      <w:r w:rsidR="00E77560">
        <w:br/>
      </w:r>
      <w:r w:rsidR="007866B1">
        <w:t xml:space="preserve">z dwuniciowym DNA obecnym w próbce i emitować </w:t>
      </w:r>
      <w:r w:rsidR="00D9280E">
        <w:t xml:space="preserve">fluorescencję, której poziom będzie zależał </w:t>
      </w:r>
      <w:r w:rsidR="007866B1">
        <w:t>od ilości obecnego DNA.</w:t>
      </w:r>
      <w:r w:rsidR="00A85B60">
        <w:t xml:space="preserve"> W pierwszych cyklach reakcji pow</w:t>
      </w:r>
      <w:r w:rsidR="00E8695B">
        <w:t>ielanie produktu zachodzi wolno, przez co poziom fluorescencji jest rejestrowany jako tło</w:t>
      </w:r>
      <w:r w:rsidR="001704A7">
        <w:t xml:space="preserve">. Dopiero w kolejnych cyklach </w:t>
      </w:r>
      <w:r w:rsidR="00563AB1">
        <w:t>zostaje przekroczona wartość progowa, a cykl, w którym ją przekroczono</w:t>
      </w:r>
      <w:r w:rsidR="00DF2905">
        <w:t>,</w:t>
      </w:r>
      <w:r w:rsidR="00563AB1">
        <w:t xml:space="preserve"> nazywa się cyklem progowym.</w:t>
      </w:r>
      <w:r w:rsidR="000A3147">
        <w:t xml:space="preserve"> </w:t>
      </w:r>
      <w:r w:rsidR="00527625">
        <w:t>Wraz ze wzrostem ilości</w:t>
      </w:r>
      <w:r w:rsidR="00D84B3C">
        <w:t xml:space="preserve"> początkowego materiału w próbce</w:t>
      </w:r>
      <w:r w:rsidR="00AA3CD0">
        <w:t xml:space="preserve"> </w:t>
      </w:r>
      <w:r w:rsidR="00527625">
        <w:t xml:space="preserve">zmniejsza się czas potrzebny do osiągnięcia wartości progowej fluorescencji, z co za tym idzie </w:t>
      </w:r>
      <w:r w:rsidR="00AA3CD0">
        <w:t>numer</w:t>
      </w:r>
      <w:r w:rsidR="00527625">
        <w:t xml:space="preserve"> cyklu progowego jest niższ</w:t>
      </w:r>
      <w:r w:rsidR="00AA3CD0">
        <w:t>y</w:t>
      </w:r>
      <w:r w:rsidR="00527625">
        <w:t>.</w:t>
      </w:r>
      <w:r w:rsidR="00AA3CD0">
        <w:t xml:space="preserve"> </w:t>
      </w:r>
      <w:r w:rsidR="00712129">
        <w:t xml:space="preserve">Wartość Ct może być więc wykorzystywana do porównywania ilości fragmentów </w:t>
      </w:r>
      <w:r w:rsidR="007E25CA">
        <w:t xml:space="preserve">odpowiadających odpowiednim starterom, które są </w:t>
      </w:r>
      <w:r w:rsidR="00712129">
        <w:t>obecn</w:t>
      </w:r>
      <w:r w:rsidR="007E25CA">
        <w:t>e</w:t>
      </w:r>
      <w:r w:rsidR="00712129">
        <w:t xml:space="preserve"> w próbie</w:t>
      </w:r>
      <w:r w:rsidR="007E25CA">
        <w:t>.</w:t>
      </w:r>
      <w:r w:rsidR="008F0B2B">
        <w:t xml:space="preserve"> Aby uzyskać dokładne informacje na temat liczby kopii w próbce wartość Ct porównywana jest </w:t>
      </w:r>
      <w:r w:rsidR="00803DCB">
        <w:br/>
      </w:r>
      <w:r w:rsidR="008F0B2B">
        <w:t>z krzywą wzorcową, którą wyznacz</w:t>
      </w:r>
      <w:r w:rsidR="00602113">
        <w:t>a się dla zestawu prób ze znany</w:t>
      </w:r>
      <w:r w:rsidR="008F0B2B">
        <w:t>mi ilościami początkowego materiału.</w:t>
      </w:r>
    </w:p>
    <w:p w:rsidR="00AC424E" w:rsidRDefault="0058464B" w:rsidP="00AC424E">
      <w:pPr>
        <w:ind w:firstLine="708"/>
      </w:pPr>
      <w:r>
        <w:t xml:space="preserve"> </w:t>
      </w:r>
      <w:r w:rsidR="005454BF">
        <w:t>WYKRES</w:t>
      </w:r>
    </w:p>
    <w:p w:rsidR="005454BF" w:rsidRDefault="00786467" w:rsidP="00AC424E">
      <w:pPr>
        <w:ind w:firstLine="708"/>
      </w:pPr>
      <w:r w:rsidRPr="00662D9E">
        <w:t>-normalizacja fluorescencji?</w:t>
      </w:r>
    </w:p>
    <w:p w:rsidR="001458DE" w:rsidRDefault="001458DE" w:rsidP="00AC424E">
      <w:pPr>
        <w:ind w:firstLine="708"/>
      </w:pPr>
    </w:p>
    <w:p w:rsidR="001458DE" w:rsidRDefault="001458DE" w:rsidP="00AC424E">
      <w:pPr>
        <w:ind w:firstLine="708"/>
      </w:pPr>
    </w:p>
    <w:p w:rsidR="001458DE" w:rsidRDefault="001458DE" w:rsidP="00AC424E">
      <w:pPr>
        <w:ind w:firstLine="708"/>
      </w:pPr>
    </w:p>
    <w:p w:rsidR="001458DE" w:rsidRDefault="001458DE" w:rsidP="00AC424E">
      <w:pPr>
        <w:ind w:firstLine="708"/>
      </w:pPr>
    </w:p>
    <w:p w:rsidR="001458DE" w:rsidRDefault="001458DE" w:rsidP="00AC424E">
      <w:pPr>
        <w:ind w:firstLine="708"/>
      </w:pPr>
    </w:p>
    <w:p w:rsidR="001458DE" w:rsidRDefault="001458DE" w:rsidP="00AC424E">
      <w:pPr>
        <w:ind w:firstLine="708"/>
      </w:pPr>
    </w:p>
    <w:p w:rsidR="00DA2A60" w:rsidRDefault="00DA2A60" w:rsidP="00DA2A60">
      <w:pPr>
        <w:pStyle w:val="Heading2"/>
      </w:pPr>
      <w:r>
        <w:lastRenderedPageBreak/>
        <w:t>2.x Strategie pomiaru poziomu ekspresji genów w eksperymencie Real-time PCR</w:t>
      </w:r>
    </w:p>
    <w:p w:rsidR="00F73625" w:rsidRDefault="007024D1" w:rsidP="007A4DBE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celu określenia poziomu ekspresji genów stosuje się dwa główne podejścia – metodę </w:t>
      </w:r>
      <w:r w:rsidR="00042BAA">
        <w:rPr>
          <w:bCs/>
          <w:szCs w:val="24"/>
        </w:rPr>
        <w:t>ilościową (</w:t>
      </w:r>
      <w:r>
        <w:rPr>
          <w:bCs/>
          <w:szCs w:val="24"/>
        </w:rPr>
        <w:t>absolutną</w:t>
      </w:r>
      <w:r w:rsidR="00042BAA">
        <w:rPr>
          <w:bCs/>
          <w:szCs w:val="24"/>
        </w:rPr>
        <w:t>)</w:t>
      </w:r>
      <w:r>
        <w:rPr>
          <w:bCs/>
          <w:szCs w:val="24"/>
        </w:rPr>
        <w:t xml:space="preserve"> oraz </w:t>
      </w:r>
      <w:r w:rsidR="00042BAA">
        <w:rPr>
          <w:bCs/>
          <w:szCs w:val="24"/>
        </w:rPr>
        <w:t>względną (</w:t>
      </w:r>
      <w:r>
        <w:rPr>
          <w:bCs/>
          <w:szCs w:val="24"/>
        </w:rPr>
        <w:t>relatywną</w:t>
      </w:r>
      <w:r w:rsidR="00042BAA">
        <w:rPr>
          <w:bCs/>
          <w:szCs w:val="24"/>
        </w:rPr>
        <w:t>)</w:t>
      </w:r>
      <w:r>
        <w:rPr>
          <w:bCs/>
          <w:szCs w:val="24"/>
        </w:rPr>
        <w:t>. Ob</w:t>
      </w:r>
      <w:r w:rsidR="007A4DBE">
        <w:rPr>
          <w:bCs/>
          <w:szCs w:val="24"/>
        </w:rPr>
        <w:t>ie</w:t>
      </w:r>
      <w:r>
        <w:rPr>
          <w:bCs/>
          <w:szCs w:val="24"/>
        </w:rPr>
        <w:t xml:space="preserve"> te </w:t>
      </w:r>
      <w:r w:rsidR="007A4DBE">
        <w:rPr>
          <w:bCs/>
          <w:szCs w:val="24"/>
        </w:rPr>
        <w:t>metody</w:t>
      </w:r>
      <w:r>
        <w:rPr>
          <w:bCs/>
          <w:szCs w:val="24"/>
        </w:rPr>
        <w:t xml:space="preserve"> </w:t>
      </w:r>
      <w:r w:rsidR="0030324E">
        <w:rPr>
          <w:bCs/>
          <w:szCs w:val="24"/>
        </w:rPr>
        <w:t xml:space="preserve">wymagają innych procedur laboratoryjnych, mają różne zastosowania oraz wady i zalety. </w:t>
      </w:r>
      <w:r w:rsidR="003E065D">
        <w:rPr>
          <w:bCs/>
          <w:szCs w:val="24"/>
        </w:rPr>
        <w:t>Wybór pomiędzy nimi zależy przede wszystkim od celu eksperymentu.</w:t>
      </w:r>
    </w:p>
    <w:p w:rsidR="00AF759B" w:rsidRDefault="00AF759B" w:rsidP="000208AB">
      <w:pPr>
        <w:ind w:firstLine="708"/>
        <w:rPr>
          <w:bCs/>
          <w:szCs w:val="24"/>
        </w:rPr>
      </w:pPr>
    </w:p>
    <w:p w:rsidR="00F73625" w:rsidRDefault="00F656F7" w:rsidP="000208AB">
      <w:pPr>
        <w:ind w:firstLine="708"/>
        <w:rPr>
          <w:bCs/>
          <w:szCs w:val="24"/>
        </w:rPr>
      </w:pPr>
      <w:r>
        <w:rPr>
          <w:bCs/>
          <w:szCs w:val="24"/>
        </w:rPr>
        <w:t xml:space="preserve">Istotą metody absolutnej </w:t>
      </w:r>
      <w:r w:rsidR="00590426">
        <w:rPr>
          <w:bCs/>
          <w:szCs w:val="24"/>
        </w:rPr>
        <w:t>jest pomiar</w:t>
      </w:r>
      <w:r w:rsidR="00694796">
        <w:rPr>
          <w:bCs/>
          <w:szCs w:val="24"/>
        </w:rPr>
        <w:t xml:space="preserve"> ilości na podstawie interpolacj</w:t>
      </w:r>
      <w:r w:rsidR="007C650A">
        <w:rPr>
          <w:bCs/>
          <w:szCs w:val="24"/>
        </w:rPr>
        <w:t xml:space="preserve">i danych z krzywej standardowej, która przedstawia zależność pomiędzy początkowym stężeniem próbki a wartością cyklu progowego. </w:t>
      </w:r>
      <w:r w:rsidR="00F72C80">
        <w:rPr>
          <w:bCs/>
          <w:szCs w:val="24"/>
        </w:rPr>
        <w:t xml:space="preserve">Krzywa standardową wyznacza się </w:t>
      </w:r>
      <w:r w:rsidR="002B3A01">
        <w:rPr>
          <w:bCs/>
          <w:szCs w:val="24"/>
        </w:rPr>
        <w:t>na podstawie znanych ilości produktu</w:t>
      </w:r>
      <w:r w:rsidR="000208AB">
        <w:rPr>
          <w:bCs/>
          <w:szCs w:val="24"/>
        </w:rPr>
        <w:t>, którego rodzaj zależy od materiału badawczego i spodziewanej ilości próbki.</w:t>
      </w:r>
      <w:r w:rsidR="00BE481A">
        <w:rPr>
          <w:bCs/>
          <w:szCs w:val="24"/>
        </w:rPr>
        <w:t xml:space="preserve"> </w:t>
      </w:r>
      <w:r w:rsidR="000208AB">
        <w:rPr>
          <w:bCs/>
          <w:szCs w:val="24"/>
        </w:rPr>
        <w:t xml:space="preserve">Stosuje się m.in. </w:t>
      </w:r>
      <w:r w:rsidR="00BE481A">
        <w:rPr>
          <w:bCs/>
          <w:szCs w:val="24"/>
        </w:rPr>
        <w:t>rekombinowane plazmidowe DNA, genomowe DNA</w:t>
      </w:r>
      <w:r w:rsidR="000208AB">
        <w:rPr>
          <w:bCs/>
          <w:szCs w:val="24"/>
        </w:rPr>
        <w:t xml:space="preserve"> oraz</w:t>
      </w:r>
      <w:r w:rsidR="00BE481A">
        <w:rPr>
          <w:bCs/>
          <w:szCs w:val="24"/>
        </w:rPr>
        <w:t xml:space="preserve"> produkty RT-PCR</w:t>
      </w:r>
      <w:r w:rsidR="000208AB">
        <w:rPr>
          <w:bCs/>
          <w:szCs w:val="24"/>
        </w:rPr>
        <w:t xml:space="preserve">. </w:t>
      </w:r>
      <w:r w:rsidR="000208AB">
        <w:rPr>
          <w:bCs/>
          <w:szCs w:val="24"/>
        </w:rPr>
        <w:br/>
        <w:t>W celu wykrycia możliwych inhibitorów reakcji PCR w próbie, związki te dodaje się również w określonej ilości do próby badanej w celu sprawdzenia, czy reakcja zachodzi prawidłowo.</w:t>
      </w:r>
      <w:r w:rsidR="005339D1">
        <w:rPr>
          <w:bCs/>
          <w:szCs w:val="24"/>
        </w:rPr>
        <w:t xml:space="preserve"> </w:t>
      </w:r>
      <w:r w:rsidR="00656164">
        <w:rPr>
          <w:bCs/>
          <w:szCs w:val="24"/>
        </w:rPr>
        <w:t>Zaletą tej metody jest możliwość dokładnego określenia ilości badanego materiału w określonych jednostkach (np. ng/</w:t>
      </w:r>
      <w:r w:rsidR="00656164" w:rsidRPr="00656164">
        <w:rPr>
          <w:rFonts w:ascii="Arial" w:hAnsi="Arial" w:cs="Arial"/>
          <w:sz w:val="21"/>
          <w:szCs w:val="21"/>
          <w:shd w:val="clear" w:color="auto" w:fill="FFFFFF"/>
        </w:rPr>
        <w:t>μ</w:t>
      </w:r>
      <w:r w:rsidR="00656164">
        <w:rPr>
          <w:bCs/>
          <w:szCs w:val="24"/>
        </w:rPr>
        <w:t>l, liczba kopii)</w:t>
      </w:r>
      <w:r w:rsidR="005E549B">
        <w:rPr>
          <w:bCs/>
          <w:szCs w:val="24"/>
        </w:rPr>
        <w:t xml:space="preserve">, natomiast wadą konieczność stworzenia krzywych kalibracyjnych, </w:t>
      </w:r>
      <w:r w:rsidR="0003179A">
        <w:rPr>
          <w:bCs/>
          <w:szCs w:val="24"/>
        </w:rPr>
        <w:t>których jakość zależy od poprawności procedury laboratoryjnej oraz stosowanych związków.</w:t>
      </w:r>
    </w:p>
    <w:p w:rsidR="006957F2" w:rsidRDefault="006957F2" w:rsidP="000208AB">
      <w:pPr>
        <w:ind w:firstLine="708"/>
        <w:rPr>
          <w:bCs/>
          <w:szCs w:val="24"/>
        </w:rPr>
      </w:pPr>
    </w:p>
    <w:p w:rsidR="00044DCF" w:rsidRDefault="002F12A0" w:rsidP="000208AB">
      <w:pPr>
        <w:ind w:firstLine="708"/>
        <w:rPr>
          <w:bCs/>
          <w:szCs w:val="24"/>
        </w:rPr>
      </w:pPr>
      <w:r>
        <w:rPr>
          <w:bCs/>
          <w:szCs w:val="24"/>
        </w:rPr>
        <w:t xml:space="preserve">Metoda względna </w:t>
      </w:r>
      <w:r w:rsidR="007A3C23">
        <w:rPr>
          <w:bCs/>
          <w:szCs w:val="24"/>
        </w:rPr>
        <w:t>opiera się na porównaniu ilości p</w:t>
      </w:r>
      <w:r w:rsidR="00573B69">
        <w:rPr>
          <w:bCs/>
          <w:szCs w:val="24"/>
        </w:rPr>
        <w:t>roduktu pomiędzy dwoma próbkami – dla genu testowego oraz genu referencyjnego.</w:t>
      </w:r>
      <w:r w:rsidR="0047672B">
        <w:rPr>
          <w:bCs/>
          <w:szCs w:val="24"/>
        </w:rPr>
        <w:t xml:space="preserve"> Jako gen referencyjny stosuje się przede wszystkim geny </w:t>
      </w:r>
      <w:r w:rsidR="0047672B">
        <w:rPr>
          <w:bCs/>
          <w:i/>
          <w:szCs w:val="24"/>
        </w:rPr>
        <w:t>house-keeping</w:t>
      </w:r>
      <w:r w:rsidR="0047672B">
        <w:rPr>
          <w:bCs/>
          <w:szCs w:val="24"/>
        </w:rPr>
        <w:t xml:space="preserve"> (geny podstawowego metabolizmu), których ekspresja jest </w:t>
      </w:r>
      <w:r w:rsidR="00FD6ED1">
        <w:rPr>
          <w:bCs/>
          <w:szCs w:val="24"/>
        </w:rPr>
        <w:t>względnie</w:t>
      </w:r>
      <w:r w:rsidR="0047672B">
        <w:rPr>
          <w:bCs/>
          <w:szCs w:val="24"/>
        </w:rPr>
        <w:t xml:space="preserve"> stała w komórce</w:t>
      </w:r>
      <w:r w:rsidR="0092450A">
        <w:rPr>
          <w:bCs/>
          <w:szCs w:val="24"/>
        </w:rPr>
        <w:t>*</w:t>
      </w:r>
      <w:r w:rsidR="0047672B">
        <w:rPr>
          <w:bCs/>
          <w:szCs w:val="24"/>
        </w:rPr>
        <w:t>.</w:t>
      </w:r>
      <w:r w:rsidR="00573B69">
        <w:rPr>
          <w:bCs/>
          <w:szCs w:val="24"/>
        </w:rPr>
        <w:t xml:space="preserve"> </w:t>
      </w:r>
      <w:r w:rsidR="00B21ED2">
        <w:rPr>
          <w:bCs/>
          <w:szCs w:val="24"/>
        </w:rPr>
        <w:t xml:space="preserve">Pozwala to na określenie zmian ekspresji w komórce oraz zmian fizjologicznych. </w:t>
      </w:r>
      <w:r w:rsidR="00CB2040">
        <w:rPr>
          <w:bCs/>
          <w:szCs w:val="24"/>
        </w:rPr>
        <w:t>Istnieje kilka modeli matematycznych wykorzystywanych do obliczeń zmian ekspresji, które można podzielić na te, które zakładają wydajność przyłączania starterów oraz te, które wykorzystują rzeczywistą wartość wydajności z eksperymentu.</w:t>
      </w:r>
      <w:r w:rsidR="00FD6ED1">
        <w:rPr>
          <w:bCs/>
          <w:szCs w:val="24"/>
        </w:rPr>
        <w:t xml:space="preserve"> Zaletą tej metody jest brak konieczności sporządzania krzywych standardowych, jednakże </w:t>
      </w:r>
      <w:r w:rsidR="00484BE3">
        <w:rPr>
          <w:bCs/>
          <w:szCs w:val="24"/>
        </w:rPr>
        <w:t xml:space="preserve">ekspresja genów </w:t>
      </w:r>
      <w:r w:rsidR="00484BE3">
        <w:rPr>
          <w:bCs/>
          <w:i/>
          <w:szCs w:val="24"/>
        </w:rPr>
        <w:t xml:space="preserve">house-keeping </w:t>
      </w:r>
      <w:r w:rsidR="00484BE3">
        <w:rPr>
          <w:bCs/>
          <w:szCs w:val="24"/>
        </w:rPr>
        <w:t xml:space="preserve">może się różnić znacząco pomiędzy eksperymentami </w:t>
      </w:r>
      <w:r w:rsidR="00674818">
        <w:rPr>
          <w:bCs/>
          <w:szCs w:val="24"/>
        </w:rPr>
        <w:t>w zależności od warunków.</w:t>
      </w: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6C6FB4">
      <w:pPr>
        <w:pStyle w:val="Heading2"/>
      </w:pPr>
      <w:r>
        <w:lastRenderedPageBreak/>
        <w:t xml:space="preserve">2.x </w:t>
      </w:r>
      <w:r>
        <w:t>Pakiet Shiny</w:t>
      </w:r>
      <w:r w:rsidR="00AD3507">
        <w:t xml:space="preserve"> i struktura aplikacji</w:t>
      </w:r>
    </w:p>
    <w:p w:rsidR="006C6FB4" w:rsidRDefault="00D12F4C" w:rsidP="00962B36">
      <w:pPr>
        <w:ind w:firstLine="708"/>
        <w:rPr>
          <w:bCs/>
          <w:szCs w:val="24"/>
        </w:rPr>
      </w:pPr>
      <w:r>
        <w:rPr>
          <w:bCs/>
          <w:szCs w:val="24"/>
        </w:rPr>
        <w:t xml:space="preserve">Shiny jest pakietem dla środowiska R, który w prosty sposób umożliwia tworzenie aplikacji internetowych, które pozwalają na interaktywną analizę danych. </w:t>
      </w:r>
      <w:r w:rsidR="00962B36">
        <w:rPr>
          <w:bCs/>
          <w:szCs w:val="24"/>
        </w:rPr>
        <w:t xml:space="preserve">Dostępnych jest wiele widżetów oraz </w:t>
      </w:r>
      <w:r w:rsidR="00962B36">
        <w:rPr>
          <w:bCs/>
          <w:szCs w:val="24"/>
        </w:rPr>
        <w:t>gotowych</w:t>
      </w:r>
      <w:r w:rsidR="00962B36">
        <w:rPr>
          <w:bCs/>
          <w:szCs w:val="24"/>
        </w:rPr>
        <w:t xml:space="preserve"> elementów do interfejsu </w:t>
      </w:r>
      <w:r w:rsidR="00962B36">
        <w:rPr>
          <w:bCs/>
          <w:szCs w:val="24"/>
        </w:rPr>
        <w:t>użytkownika</w:t>
      </w:r>
      <w:r w:rsidR="00962B36">
        <w:rPr>
          <w:bCs/>
          <w:szCs w:val="24"/>
        </w:rPr>
        <w:t xml:space="preserve">, co umożliwia proste </w:t>
      </w:r>
      <w:r w:rsidR="00962B36">
        <w:rPr>
          <w:bCs/>
          <w:szCs w:val="24"/>
        </w:rPr>
        <w:br/>
        <w:t xml:space="preserve">i wszechstronne jego tworzenie. </w:t>
      </w:r>
    </w:p>
    <w:p w:rsidR="0048211A" w:rsidRPr="00484BE3" w:rsidRDefault="004236ED" w:rsidP="0048211A">
      <w:pPr>
        <w:ind w:firstLine="708"/>
        <w:rPr>
          <w:bCs/>
          <w:szCs w:val="24"/>
        </w:rPr>
      </w:pPr>
      <w:r>
        <w:rPr>
          <w:bCs/>
          <w:szCs w:val="24"/>
        </w:rPr>
        <w:t xml:space="preserve">Aplikacja tworzona w Shiny składa się z 2 głównych skryptów: serwera oraz ui. </w:t>
      </w:r>
      <w:r w:rsidR="003141E5">
        <w:rPr>
          <w:bCs/>
          <w:szCs w:val="24"/>
        </w:rPr>
        <w:t xml:space="preserve">UI reprezentuje interfejs użytkownika oraz pozwala na wprowadzanie danych, natomiast serwer przyjmuje dane wyjściowe i w nim wykonywane są </w:t>
      </w:r>
      <w:r w:rsidR="001015AD">
        <w:rPr>
          <w:bCs/>
          <w:szCs w:val="24"/>
        </w:rPr>
        <w:t>wszystkie zadania i obliczenia, których wyniki następnie przedstawiane są w interfejsie.</w:t>
      </w:r>
      <w:r w:rsidR="003F782C">
        <w:rPr>
          <w:bCs/>
          <w:szCs w:val="24"/>
        </w:rPr>
        <w:t xml:space="preserve"> </w:t>
      </w:r>
      <w:r w:rsidR="0048211A">
        <w:rPr>
          <w:bCs/>
          <w:szCs w:val="24"/>
        </w:rPr>
        <w:t>Jedną z głównych cech Shiny jest reaktywność – istnieje możliwość zmiany wartości danych wejściowych w czasie rzeczywistym, które są przez program na nowo wykorzystywane do wykonania określonych czynności.</w:t>
      </w:r>
      <w:r w:rsidR="000A34CC">
        <w:rPr>
          <w:bCs/>
          <w:szCs w:val="24"/>
        </w:rPr>
        <w:t xml:space="preserve"> Mechanizm działania programu opiera się na wejściach (</w:t>
      </w:r>
      <w:r w:rsidR="000A34CC" w:rsidRPr="000A34CC">
        <w:rPr>
          <w:bCs/>
          <w:i/>
          <w:szCs w:val="24"/>
        </w:rPr>
        <w:t>inputs</w:t>
      </w:r>
      <w:r w:rsidR="000A34CC">
        <w:rPr>
          <w:bCs/>
          <w:szCs w:val="24"/>
        </w:rPr>
        <w:t>), funkcji renderowania oraz wyjściach (</w:t>
      </w:r>
      <w:r w:rsidR="000A34CC" w:rsidRPr="000A34CC">
        <w:rPr>
          <w:bCs/>
          <w:i/>
          <w:szCs w:val="24"/>
        </w:rPr>
        <w:t>outputs</w:t>
      </w:r>
      <w:r w:rsidR="000A34CC">
        <w:rPr>
          <w:bCs/>
          <w:szCs w:val="24"/>
        </w:rPr>
        <w:t xml:space="preserve">). W pierwszym etapie użytkownik dokonuje wyboru danych, </w:t>
      </w:r>
      <w:r w:rsidR="005A006F">
        <w:rPr>
          <w:bCs/>
          <w:szCs w:val="24"/>
        </w:rPr>
        <w:t>które są</w:t>
      </w:r>
      <w:r w:rsidR="000A34CC">
        <w:rPr>
          <w:bCs/>
          <w:szCs w:val="24"/>
        </w:rPr>
        <w:t xml:space="preserve"> </w:t>
      </w:r>
      <w:r w:rsidR="005A006F">
        <w:rPr>
          <w:bCs/>
          <w:szCs w:val="24"/>
        </w:rPr>
        <w:t>zapisywane jako</w:t>
      </w:r>
      <w:r w:rsidR="000A34CC">
        <w:rPr>
          <w:bCs/>
          <w:szCs w:val="24"/>
        </w:rPr>
        <w:t xml:space="preserve"> wartości wejściowe. </w:t>
      </w:r>
      <w:r w:rsidR="00094B25">
        <w:rPr>
          <w:bCs/>
          <w:szCs w:val="24"/>
        </w:rPr>
        <w:t xml:space="preserve">Następnie wykonywane są określone czynności </w:t>
      </w:r>
      <w:r w:rsidR="005A006F">
        <w:rPr>
          <w:bCs/>
          <w:szCs w:val="24"/>
        </w:rPr>
        <w:t>i</w:t>
      </w:r>
      <w:r w:rsidR="00094B25">
        <w:rPr>
          <w:bCs/>
          <w:szCs w:val="24"/>
        </w:rPr>
        <w:t xml:space="preserve"> tworzone są wartości wyjściowe, które następnie wyświetlane są w interfejsie użytkownika. Aby stworzyć wartość wyjściową konieczne jest zastosowanie funkcji renderowania, które tworzą elementy interfejsu użytkownika bazując na wartościach wejściowych.</w:t>
      </w:r>
      <w:r w:rsidR="009C34EB">
        <w:rPr>
          <w:bCs/>
          <w:szCs w:val="24"/>
        </w:rPr>
        <w:t xml:space="preserve"> Funkcje te </w:t>
      </w:r>
      <w:r w:rsidR="003959BE">
        <w:rPr>
          <w:bCs/>
          <w:szCs w:val="24"/>
        </w:rPr>
        <w:t>mają wiele zastosowań</w:t>
      </w:r>
      <w:r w:rsidR="00F33924">
        <w:rPr>
          <w:bCs/>
          <w:szCs w:val="24"/>
        </w:rPr>
        <w:t xml:space="preserve">, </w:t>
      </w:r>
      <w:r w:rsidR="003959BE">
        <w:rPr>
          <w:bCs/>
          <w:szCs w:val="24"/>
        </w:rPr>
        <w:t xml:space="preserve">służą m.in. do tworzenia wykresów, tabel, </w:t>
      </w:r>
      <w:r w:rsidR="00B13B36">
        <w:rPr>
          <w:bCs/>
          <w:szCs w:val="24"/>
        </w:rPr>
        <w:t>diagramów</w:t>
      </w:r>
      <w:r w:rsidR="00F33924">
        <w:rPr>
          <w:bCs/>
          <w:szCs w:val="24"/>
        </w:rPr>
        <w:t xml:space="preserve"> itp.</w:t>
      </w:r>
      <w:r w:rsidR="00A90F50">
        <w:rPr>
          <w:bCs/>
          <w:szCs w:val="24"/>
        </w:rPr>
        <w:t xml:space="preserve"> </w:t>
      </w:r>
      <w:bookmarkStart w:id="4" w:name="_GoBack"/>
      <w:bookmarkEnd w:id="4"/>
    </w:p>
    <w:p w:rsidR="00F73625" w:rsidRDefault="00F73625" w:rsidP="00E94970">
      <w:pPr>
        <w:rPr>
          <w:bCs/>
          <w:szCs w:val="24"/>
        </w:rPr>
      </w:pPr>
    </w:p>
    <w:p w:rsidR="00F73625" w:rsidRDefault="00F73625" w:rsidP="00E94970">
      <w:pPr>
        <w:rPr>
          <w:bCs/>
          <w:szCs w:val="24"/>
        </w:rPr>
      </w:pPr>
    </w:p>
    <w:p w:rsidR="00F73625" w:rsidRDefault="00F73625" w:rsidP="00E94970">
      <w:pPr>
        <w:rPr>
          <w:bCs/>
          <w:szCs w:val="24"/>
        </w:rPr>
      </w:pPr>
    </w:p>
    <w:p w:rsidR="00E94970" w:rsidRDefault="00E94970" w:rsidP="00DB619E">
      <w:pPr>
        <w:pStyle w:val="Heading3"/>
        <w:ind w:left="0"/>
      </w:pPr>
      <w:bookmarkStart w:id="5" w:name="_Toc381701323"/>
      <w:r>
        <w:t>2.1.1</w:t>
      </w:r>
      <w:r w:rsidR="00525D70">
        <w:t>.</w:t>
      </w:r>
      <w:r>
        <w:t xml:space="preserve"> Styl podstawowy (normalny)</w:t>
      </w:r>
      <w:bookmarkEnd w:id="5"/>
    </w:p>
    <w:p w:rsidR="00E94970" w:rsidRDefault="00E94970" w:rsidP="00E94970">
      <w:r>
        <w:t>Należy wprowadzić automatyczne dzielenie wyrazów!</w:t>
      </w:r>
    </w:p>
    <w:p w:rsidR="00E94970" w:rsidRDefault="00E94970" w:rsidP="00E94970">
      <w:r>
        <w:t>Tekst podstawowy pracy powinien być pisany czcionką Times New Roman 12 pkt. ze zdefiniowanym odstępem między wierszami,  tzw. interlinia, 1,5 wiersza. Tekst powinien być wyjustowany (do lewej i prawej).</w:t>
      </w:r>
    </w:p>
    <w:p w:rsidR="00E94970" w:rsidRDefault="00E94970" w:rsidP="00DB619E">
      <w:pPr>
        <w:pStyle w:val="Heading3"/>
        <w:ind w:left="0"/>
      </w:pPr>
      <w:bookmarkStart w:id="6" w:name="_Toc381701324"/>
      <w:r>
        <w:t>2.1.2</w:t>
      </w:r>
      <w:r w:rsidR="00525D70">
        <w:t>.</w:t>
      </w:r>
      <w:r>
        <w:t xml:space="preserve"> Tytuły rozdziałów i podrozdziałów projektu inżynierskiego</w:t>
      </w:r>
      <w:bookmarkEnd w:id="6"/>
    </w:p>
    <w:p w:rsidR="00E94970" w:rsidRDefault="00E94970" w:rsidP="00E94970">
      <w:r>
        <w:t>Tytuły rozdziałów powinny być pisane jako nagłówki:</w:t>
      </w:r>
    </w:p>
    <w:p w:rsidR="00E94970" w:rsidRDefault="00E94970" w:rsidP="00E94970">
      <w:pPr>
        <w:numPr>
          <w:ilvl w:val="0"/>
          <w:numId w:val="5"/>
        </w:numPr>
      </w:pPr>
      <w:r>
        <w:t>Nagłówek 1 – czcionka Arial 16 pkt., pogrubiona (</w:t>
      </w:r>
      <w:r>
        <w:rPr>
          <w:i/>
          <w:iCs/>
        </w:rPr>
        <w:t>bold</w:t>
      </w:r>
      <w:r>
        <w:t>), zdefiniowane odstępy przed 14 pkt i po 14 pkt.,</w:t>
      </w:r>
    </w:p>
    <w:p w:rsidR="00E94970" w:rsidRDefault="00E94970" w:rsidP="00E94970">
      <w:pPr>
        <w:numPr>
          <w:ilvl w:val="0"/>
          <w:numId w:val="5"/>
        </w:numPr>
      </w:pPr>
      <w:r>
        <w:lastRenderedPageBreak/>
        <w:t>Nagłówek 2 – czcionka Arial 14 pkt., kursywa (</w:t>
      </w:r>
      <w:r>
        <w:rPr>
          <w:i/>
          <w:iCs/>
        </w:rPr>
        <w:t>italic</w:t>
      </w:r>
      <w:r>
        <w:t>) pogrubiona (</w:t>
      </w:r>
      <w:r>
        <w:rPr>
          <w:i/>
          <w:iCs/>
        </w:rPr>
        <w:t>bold</w:t>
      </w:r>
      <w:r>
        <w:t>), zdefiniowane odstępy przed 12 pkt i po 12 pkt.,</w:t>
      </w:r>
    </w:p>
    <w:p w:rsidR="00E94970" w:rsidRDefault="00E94970" w:rsidP="00E94970">
      <w:pPr>
        <w:numPr>
          <w:ilvl w:val="0"/>
          <w:numId w:val="5"/>
        </w:numPr>
      </w:pPr>
      <w:r>
        <w:t>Nagłówek 3 – czcionka Arial 13 pkt., pogrubiona (</w:t>
      </w:r>
      <w:r>
        <w:rPr>
          <w:i/>
          <w:iCs/>
        </w:rPr>
        <w:t>bold</w:t>
      </w:r>
      <w:r>
        <w:t>), zdefiniowane odstępy przed 12 pkt i po 3 pkt.</w:t>
      </w:r>
    </w:p>
    <w:p w:rsidR="00E94970" w:rsidRDefault="00E94970" w:rsidP="00E94970">
      <w:pPr>
        <w:numPr>
          <w:ilvl w:val="0"/>
          <w:numId w:val="5"/>
        </w:numPr>
      </w:pPr>
      <w:r>
        <w:t>Styl tytułów kolejnych podrozdziałów (jeśli takie występują w projekcie inżynierskim) według uznania Kierującego projektem.</w:t>
      </w:r>
    </w:p>
    <w:p w:rsidR="00E94970" w:rsidRDefault="00E94970" w:rsidP="00DB619E">
      <w:pPr>
        <w:pStyle w:val="Heading3"/>
        <w:ind w:left="0"/>
      </w:pPr>
      <w:bookmarkStart w:id="7" w:name="_Toc381701325"/>
      <w:r>
        <w:t>2.1.3</w:t>
      </w:r>
      <w:r w:rsidR="00525D70">
        <w:t>.</w:t>
      </w:r>
      <w:r>
        <w:t xml:space="preserve"> Numeracja stron</w:t>
      </w:r>
      <w:bookmarkEnd w:id="7"/>
    </w:p>
    <w:p w:rsidR="00E94970" w:rsidRDefault="00E94970" w:rsidP="00E94970">
      <w:r>
        <w:t>Numeracja stron powinna być wyświetlana począwszy od strony następującej po stronie zatytułowanej „Spis treści”. Numeracja stron powinna być sporządzona czcionką Times New Roman (12 pkt.) i usytuowane na środku tzw. stopki.</w:t>
      </w:r>
    </w:p>
    <w:p w:rsidR="00E94970" w:rsidRDefault="00E94970" w:rsidP="00DB619E">
      <w:pPr>
        <w:pStyle w:val="Heading3"/>
        <w:ind w:left="0"/>
      </w:pPr>
      <w:bookmarkStart w:id="8" w:name="_Toc381701326"/>
      <w:r>
        <w:t>2.1.4</w:t>
      </w:r>
      <w:r w:rsidR="00525D70">
        <w:t>.</w:t>
      </w:r>
      <w:r>
        <w:t xml:space="preserve"> Przypisy</w:t>
      </w:r>
      <w:bookmarkEnd w:id="8"/>
    </w:p>
    <w:p w:rsidR="00E94970" w:rsidRDefault="00E94970" w:rsidP="00E94970">
      <w:r>
        <w:t>Dopuszcza się tworzenie przypisów, które powinny być sporządzane na dole strony zgodnie podanym przykładem</w:t>
      </w:r>
      <w:r>
        <w:rPr>
          <w:rStyle w:val="FootnoteReference"/>
        </w:rPr>
        <w:footnoteReference w:id="1"/>
      </w:r>
      <w:r>
        <w:t>.</w:t>
      </w:r>
    </w:p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 w:rsidR="00C25AF1">
        <w:lastRenderedPageBreak/>
        <w:t>Metodyka</w:t>
      </w:r>
    </w:p>
    <w:p w:rsidR="00C25AF1" w:rsidRPr="00C25AF1" w:rsidRDefault="00C25AF1" w:rsidP="00C25AF1">
      <w:pPr>
        <w:pStyle w:val="Heading2"/>
      </w:pPr>
      <w:r>
        <w:t>3.1 Metoda Pfaffl</w:t>
      </w:r>
    </w:p>
    <w:p w:rsidR="00F17475" w:rsidRDefault="00C25AF1" w:rsidP="00E94970">
      <w:r>
        <w:t xml:space="preserve">Jedną z metod obliczeniowych wykorzystywanych we względnej analizie ekspresji genów jest metoda Pfaffl. </w:t>
      </w:r>
      <w:r w:rsidR="0018428C">
        <w:t xml:space="preserve">Jej zastosowanie wykorzystuje efektywność przyłączania starterów w obliczeniach, przez co nie ma konieczności </w:t>
      </w:r>
      <w:r w:rsidR="00CD45D2">
        <w:t>osiągnięcia</w:t>
      </w:r>
      <w:r w:rsidR="0018428C">
        <w:t xml:space="preserve"> wysokich wartości wydajności w rzeczywistym eksperymencie.</w:t>
      </w:r>
      <w:r w:rsidR="000D0322">
        <w:t xml:space="preserve"> Część etapów obliczeń tej metody powtarza się w innych sposobach obliczeń, jednakże główną różnicą jest właśnie wykorzystanie wartości wydajności.</w:t>
      </w:r>
      <w:r w:rsidR="007D44C1">
        <w:t xml:space="preserve"> </w:t>
      </w:r>
      <w:r w:rsidR="00E66588">
        <w:t>Aby wyznaczyć zmiany w ekspresji genów potrzebne są 4 wartości Ct</w:t>
      </w:r>
      <w:r w:rsidR="00AE0CFA">
        <w:t>, a mianowicie</w:t>
      </w:r>
      <w:r w:rsidR="00E66588">
        <w:t xml:space="preserve"> wartości testowe i kontrolne dla genu będącego obiektem badań i genu referencyjnego. </w:t>
      </w:r>
      <w:r w:rsidR="00AE0CFA">
        <w:t xml:space="preserve">W pierwszej części obliczeń dochodzi do normalizacji wartości Ct </w:t>
      </w:r>
      <w:r w:rsidR="00AE79BA">
        <w:t>kalibratora</w:t>
      </w:r>
      <w:r w:rsidR="00AE0CFA">
        <w:t xml:space="preserve"> względem wartości Ct </w:t>
      </w:r>
      <w:r w:rsidR="00AE79BA">
        <w:t>próby testowej</w:t>
      </w:r>
      <w:r w:rsidR="007E0E63">
        <w:t xml:space="preserve"> zgodnie z poniższym wzorem:</w:t>
      </w:r>
    </w:p>
    <w:p w:rsidR="00E94970" w:rsidRDefault="00844341" w:rsidP="00E94970">
      <w:r>
        <w:t xml:space="preserve"> </w:t>
      </w:r>
    </w:p>
    <w:p w:rsidR="00181BC2" w:rsidRPr="00181BC2" w:rsidRDefault="00181BC2" w:rsidP="00E94970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cal</m:t>
              </m:r>
            </m:e>
          </m:d>
          <m:r>
            <w:rPr>
              <w:rFonts w:ascii="Cambria Math" w:hAnsi="Cambria Math"/>
            </w:rPr>
            <m:t>-Ct(test)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181BC2" w:rsidTr="00181BC2">
        <w:tc>
          <w:tcPr>
            <w:tcW w:w="8798" w:type="dxa"/>
            <w:gridSpan w:val="3"/>
            <w:vAlign w:val="center"/>
          </w:tcPr>
          <w:p w:rsidR="00181BC2" w:rsidRDefault="00181BC2" w:rsidP="00643081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181BC2" w:rsidTr="00181BC2">
        <w:tc>
          <w:tcPr>
            <w:tcW w:w="1169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181BC2" w:rsidRDefault="00181BC2" w:rsidP="00AE79BA">
            <w:pPr>
              <w:jc w:val="left"/>
            </w:pPr>
            <w:r>
              <w:rPr>
                <w:i/>
                <w:iCs/>
              </w:rPr>
              <w:t xml:space="preserve">znormalizowana wartość dla </w:t>
            </w:r>
            <w:r w:rsidR="00AE79BA">
              <w:rPr>
                <w:i/>
                <w:iCs/>
              </w:rPr>
              <w:t>genu docelowego lub referencyjnego</w:t>
            </w:r>
            <w:r>
              <w:rPr>
                <w:i/>
                <w:iCs/>
              </w:rPr>
              <w:t>,</w:t>
            </w:r>
          </w:p>
        </w:tc>
      </w:tr>
      <w:tr w:rsidR="00181BC2" w:rsidTr="00181BC2">
        <w:tc>
          <w:tcPr>
            <w:tcW w:w="1169" w:type="dxa"/>
            <w:vAlign w:val="center"/>
          </w:tcPr>
          <w:p w:rsidR="00181BC2" w:rsidRDefault="00181BC2" w:rsidP="00AE79B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181BC2" w:rsidRDefault="00181BC2" w:rsidP="00AE79B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Ct dla </w:t>
            </w:r>
            <w:r w:rsidR="00AE79BA">
              <w:rPr>
                <w:i/>
                <w:iCs/>
              </w:rPr>
              <w:t>kalibratora</w:t>
            </w:r>
            <w:r>
              <w:rPr>
                <w:i/>
                <w:iCs/>
              </w:rPr>
              <w:t>,</w:t>
            </w:r>
          </w:p>
        </w:tc>
      </w:tr>
      <w:tr w:rsidR="00181BC2" w:rsidTr="00181BC2">
        <w:tc>
          <w:tcPr>
            <w:tcW w:w="1169" w:type="dxa"/>
            <w:vAlign w:val="center"/>
          </w:tcPr>
          <w:p w:rsidR="00181BC2" w:rsidRDefault="00181BC2" w:rsidP="00AE79B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181BC2" w:rsidRDefault="00181BC2" w:rsidP="00181BC2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genu referencyjnego.</w:t>
            </w:r>
          </w:p>
        </w:tc>
      </w:tr>
    </w:tbl>
    <w:p w:rsidR="00181BC2" w:rsidRDefault="00181BC2" w:rsidP="00E94970"/>
    <w:p w:rsidR="00213F84" w:rsidRDefault="00F17475" w:rsidP="00213F84">
      <w:r>
        <w:t xml:space="preserve">W </w:t>
      </w:r>
      <w:r w:rsidR="00213F84">
        <w:t>drugim etapie wyznacza się różnicę w ekspresji genów wykorzystując poniższą formułę:</w:t>
      </w:r>
    </w:p>
    <w:p w:rsidR="00AE79BA" w:rsidRDefault="00AE79BA" w:rsidP="00213F84"/>
    <w:p w:rsidR="00213F84" w:rsidRDefault="00213F84" w:rsidP="00213F84">
      <m:oMathPara>
        <m:oMath>
          <m:r>
            <w:rPr>
              <w:rFonts w:ascii="Cambria Math" w:hAnsi="Cambria Math"/>
            </w:rPr>
            <m:t xml:space="preserve">Różnica=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E(gen)</m:t>
                  </m:r>
                </m:e>
                <m:sup>
                  <m:r>
                    <w:rPr>
                      <w:rFonts w:ascii="Cambria Math" w:hAnsi="Cambria Math"/>
                    </w:rPr>
                    <m:t>∆Ct(gen)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E(ref)</m:t>
                  </m:r>
                </m:e>
                <m:sup>
                  <m:r>
                    <w:rPr>
                      <w:rFonts w:ascii="Cambria Math" w:hAnsi="Cambria Math"/>
                    </w:rPr>
                    <m:t>∆Ct(ref)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213F84" w:rsidTr="00643081">
        <w:tc>
          <w:tcPr>
            <w:tcW w:w="8798" w:type="dxa"/>
            <w:gridSpan w:val="3"/>
            <w:vAlign w:val="center"/>
          </w:tcPr>
          <w:p w:rsidR="00213F84" w:rsidRDefault="00213F84" w:rsidP="00643081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213F84" w:rsidP="00643081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E(gen)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213F84" w:rsidRDefault="00213F84" w:rsidP="00643081">
            <w:pPr>
              <w:jc w:val="left"/>
            </w:pPr>
            <w:r>
              <w:rPr>
                <w:i/>
                <w:iCs/>
              </w:rPr>
              <w:t>wydajność przyłączania starterów dla genu będącego obiektem badań,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213F84" w:rsidP="00213F84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</w:p>
        </w:tc>
        <w:tc>
          <w:tcPr>
            <w:tcW w:w="7271" w:type="dxa"/>
            <w:vAlign w:val="center"/>
          </w:tcPr>
          <w:p w:rsidR="00213F84" w:rsidRDefault="00213F84" w:rsidP="00213F84">
            <w:pPr>
              <w:jc w:val="left"/>
            </w:pPr>
            <w:r>
              <w:rPr>
                <w:i/>
                <w:iCs/>
              </w:rPr>
              <w:t>wydajność przyłączania starterów dla genu referencyjnego,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gen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genu będącego obiektem badań,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213F84" w:rsidP="00213F84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genu referencyjnego.</w:t>
            </w:r>
          </w:p>
        </w:tc>
      </w:tr>
    </w:tbl>
    <w:p w:rsidR="00BA6C4C" w:rsidRDefault="00BA6C4C" w:rsidP="00E94970"/>
    <w:p w:rsidR="005D5C33" w:rsidRPr="00BA1AB8" w:rsidRDefault="00354A1E" w:rsidP="00E94970">
      <w:pPr>
        <w:rPr>
          <w:u w:val="single"/>
        </w:rPr>
      </w:pPr>
      <w:r w:rsidRPr="00BA1AB8">
        <w:rPr>
          <w:u w:val="single"/>
        </w:rPr>
        <w:t xml:space="preserve">Wynik przedstawia </w:t>
      </w:r>
      <w:r w:rsidR="003109E7" w:rsidRPr="00BA1AB8">
        <w:rPr>
          <w:u w:val="single"/>
        </w:rPr>
        <w:t xml:space="preserve">ilu-krotnie </w:t>
      </w:r>
      <w:r w:rsidRPr="00BA1AB8">
        <w:rPr>
          <w:u w:val="single"/>
        </w:rPr>
        <w:t xml:space="preserve">zmieniła się </w:t>
      </w:r>
      <w:r w:rsidR="003109E7" w:rsidRPr="00BA1AB8">
        <w:rPr>
          <w:u w:val="single"/>
        </w:rPr>
        <w:t>ekspresja genu testowego względem genu referencyjnego.</w:t>
      </w:r>
    </w:p>
    <w:tbl>
      <w:tblPr>
        <w:tblW w:w="8823" w:type="dxa"/>
        <w:tblLook w:val="01E0" w:firstRow="1" w:lastRow="1" w:firstColumn="1" w:lastColumn="1" w:noHBand="0" w:noVBand="0"/>
      </w:tblPr>
      <w:tblGrid>
        <w:gridCol w:w="578"/>
        <w:gridCol w:w="8245"/>
      </w:tblGrid>
      <w:tr w:rsidR="00E94970">
        <w:trPr>
          <w:cantSplit/>
          <w:trHeight w:val="13179"/>
        </w:trPr>
        <w:tc>
          <w:tcPr>
            <w:tcW w:w="0" w:type="auto"/>
            <w:textDirection w:val="tbRl"/>
          </w:tcPr>
          <w:p w:rsidR="00E94970" w:rsidRDefault="00E94970" w:rsidP="00525D70">
            <w:pPr>
              <w:pStyle w:val="Caption"/>
              <w:ind w:firstLine="0"/>
              <w:jc w:val="center"/>
            </w:pPr>
            <w:r>
              <w:lastRenderedPageBreak/>
              <w:t>Rys. 3.</w:t>
            </w:r>
            <w:r w:rsidR="00CC3332">
              <w:fldChar w:fldCharType="begin"/>
            </w:r>
            <w:r w:rsidR="00CC3332">
              <w:instrText xml:space="preserve"> SEQ Rysunek \* ARABIC </w:instrText>
            </w:r>
            <w:r w:rsidR="00CC3332">
              <w:fldChar w:fldCharType="separate"/>
            </w:r>
            <w:r w:rsidR="00525D70">
              <w:rPr>
                <w:noProof/>
              </w:rPr>
              <w:t>2</w:t>
            </w:r>
            <w:r w:rsidR="00CC3332">
              <w:rPr>
                <w:noProof/>
              </w:rPr>
              <w:fldChar w:fldCharType="end"/>
            </w:r>
            <w:r>
              <w:t>. Przykład nr 2 rysunku umieszczonego w tekście</w:t>
            </w:r>
          </w:p>
          <w:p w:rsidR="00E94970" w:rsidRDefault="00E94970" w:rsidP="00525D70">
            <w:pPr>
              <w:keepNext/>
              <w:jc w:val="center"/>
            </w:pPr>
          </w:p>
        </w:tc>
        <w:tc>
          <w:tcPr>
            <w:tcW w:w="0" w:type="auto"/>
            <w:textDirection w:val="tbRl"/>
          </w:tcPr>
          <w:p w:rsidR="00E94970" w:rsidRDefault="00F93818" w:rsidP="007A041D">
            <w:pPr>
              <w:pStyle w:val="Caption"/>
              <w:ind w:right="113"/>
            </w:pPr>
            <w:r>
              <w:rPr>
                <w:noProof/>
              </w:rPr>
              <w:drawing>
                <wp:inline distT="0" distB="0" distL="0" distR="0">
                  <wp:extent cx="5000625" cy="8315325"/>
                  <wp:effectExtent l="0" t="0" r="9525" b="9525"/>
                  <wp:docPr id="3" name="Picture 3" descr="Dyplomowanie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Dyplomowanie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00625" cy="8315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9" w:name="_Toc381701328"/>
      <w:r>
        <w:t>Tabele</w:t>
      </w:r>
      <w:bookmarkEnd w:id="9"/>
    </w:p>
    <w:p w:rsidR="00E94970" w:rsidRDefault="00E94970" w:rsidP="00E94970">
      <w:r>
        <w:t>Tabele mogą być różne i dostosowane do specyfiki zagadnień poruszanych w  projekcie inżynierskim. Przykładową tabelę pokazano poniżej.</w:t>
      </w:r>
    </w:p>
    <w:p w:rsidR="00E94970" w:rsidRDefault="00E94970" w:rsidP="00E94970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70"/>
        <w:gridCol w:w="1076"/>
        <w:gridCol w:w="1041"/>
        <w:gridCol w:w="858"/>
        <w:gridCol w:w="859"/>
        <w:gridCol w:w="859"/>
        <w:gridCol w:w="859"/>
        <w:gridCol w:w="862"/>
        <w:gridCol w:w="860"/>
        <w:gridCol w:w="856"/>
      </w:tblGrid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right"/>
            </w:pPr>
            <w:r>
              <w:t>Tabela 4.</w:t>
            </w:r>
            <w:r w:rsidR="00CC3332">
              <w:fldChar w:fldCharType="begin"/>
            </w:r>
            <w:r w:rsidR="00CC3332">
              <w:instrText xml:space="preserve"> SEQ Tabela \* ARABIC </w:instrText>
            </w:r>
            <w:r w:rsidR="00CC3332">
              <w:fldChar w:fldCharType="separate"/>
            </w:r>
            <w:r w:rsidR="00525D70">
              <w:rPr>
                <w:noProof/>
              </w:rPr>
              <w:t>1</w:t>
            </w:r>
            <w:r w:rsidR="00CC3332">
              <w:rPr>
                <w:noProof/>
              </w:rPr>
              <w:fldChar w:fldCharType="end"/>
            </w:r>
          </w:p>
        </w:tc>
      </w:tr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center"/>
            </w:pPr>
            <w:r>
              <w:t xml:space="preserve">Tytuł tabeli </w:t>
            </w:r>
          </w:p>
        </w:tc>
      </w:tr>
      <w:tr w:rsidR="00E94970" w:rsidTr="00525D70">
        <w:trPr>
          <w:cantSplit/>
        </w:trPr>
        <w:tc>
          <w:tcPr>
            <w:tcW w:w="57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Lp.</w:t>
            </w:r>
          </w:p>
        </w:tc>
        <w:tc>
          <w:tcPr>
            <w:tcW w:w="2117" w:type="dxa"/>
            <w:gridSpan w:val="2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Parametry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równania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8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T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U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</w:t>
            </w:r>
          </w:p>
        </w:tc>
        <w:tc>
          <w:tcPr>
            <w:tcW w:w="862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</w:t>
            </w:r>
          </w:p>
        </w:tc>
        <w:tc>
          <w:tcPr>
            <w:tcW w:w="86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</w:t>
            </w:r>
          </w:p>
        </w:tc>
        <w:tc>
          <w:tcPr>
            <w:tcW w:w="856" w:type="dxa"/>
            <w:vMerge w:val="restart"/>
          </w:tcPr>
          <w:p w:rsidR="00E94970" w:rsidRDefault="00E94970" w:rsidP="007A041D">
            <w:pPr>
              <w:jc w:val="center"/>
            </w:pPr>
            <w:r>
              <w:t>Uwagi</w:t>
            </w:r>
          </w:p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  <w:vertAlign w:val="subscript"/>
              </w:rPr>
            </w:pPr>
            <w:r>
              <w:rPr>
                <w:b/>
                <w:bCs/>
              </w:rPr>
              <w:sym w:font="Symbol" w:char="F061"/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rFonts w:ascii="Symbol" w:hAnsi="Symbol"/>
                <w:b/>
                <w:bCs/>
                <w:vertAlign w:val="subscript"/>
              </w:rPr>
            </w:pPr>
            <w:r>
              <w:rPr>
                <w:rFonts w:ascii="Symbol" w:hAnsi="Symbol"/>
                <w:b/>
                <w:bCs/>
              </w:rPr>
              <w:t></w:t>
            </w:r>
          </w:p>
        </w:tc>
        <w:tc>
          <w:tcPr>
            <w:tcW w:w="858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2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V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kW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</w:t>
            </w: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</w:t>
            </w: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2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3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4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5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6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7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8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9</w:t>
            </w: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10</w:t>
            </w: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10" w:name="_Toc381701329"/>
      <w:r>
        <w:t>Równania</w:t>
      </w:r>
      <w:bookmarkEnd w:id="10"/>
    </w:p>
    <w:p w:rsidR="00E94970" w:rsidRDefault="00E94970" w:rsidP="00E94970">
      <w:r>
        <w:t>Równania piszemy zgodnie z założeniami podanymi prz</w:t>
      </w:r>
      <w:r w:rsidR="00525D70">
        <w:t>ez Kierującego projektem lub wg </w:t>
      </w:r>
      <w:r>
        <w:t>uznania Autora projektu. Przykład zapisu równań przedstawiono poniżej.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24"/>
              </w:rPr>
              <w:object w:dxaOrig="639" w:dyaOrig="62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3pt;height:30.75pt" o:ole="">
                  <v:imagedata r:id="rId15" o:title=""/>
                </v:shape>
                <o:OLEObject Type="Embed" ProgID="Equation.3" ShapeID="_x0000_i1025" DrawAspect="Content" ObjectID="_1545071964" r:id="rId16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(5.1)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t>Równania w całym tekście projektu inżynierskiego powinny być ujednolicone.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4"/>
              </w:rPr>
              <w:object w:dxaOrig="1020" w:dyaOrig="300">
                <v:shape id="_x0000_i1026" type="#_x0000_t75" style="width:51pt;height:15pt" o:ole="">
                  <v:imagedata r:id="rId17" o:title=""/>
                </v:shape>
                <o:OLEObject Type="Embed" ProgID="Equation.3" ShapeID="_x0000_i1026" DrawAspect="Content" ObjectID="_1545071965" r:id="rId18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(5.2)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R.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11" w:name="_Toc381701330"/>
      <w:r>
        <w:t>Sporządzanie spisu literatury</w:t>
      </w:r>
      <w:bookmarkEnd w:id="11"/>
    </w:p>
    <w:p w:rsidR="00E94970" w:rsidRDefault="00E94970" w:rsidP="00E94970">
      <w:r>
        <w:t>Spis literatury można wykonać w następujących formach:</w:t>
      </w:r>
    </w:p>
    <w:p w:rsidR="00E94970" w:rsidRDefault="00E94970" w:rsidP="00E94970"/>
    <w:p w:rsidR="00E94970" w:rsidRDefault="00E94970" w:rsidP="00525D70">
      <w:pPr>
        <w:pStyle w:val="Heading1"/>
      </w:pPr>
      <w:bookmarkStart w:id="12" w:name="_Toc381701331"/>
      <w:r>
        <w:t>Literatura (Wzór A)</w:t>
      </w:r>
      <w:bookmarkEnd w:id="12"/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709"/>
        <w:gridCol w:w="7938"/>
      </w:tblGrid>
      <w:tr w:rsidR="00E94970" w:rsidTr="00525D70">
        <w:tc>
          <w:tcPr>
            <w:tcW w:w="709" w:type="dxa"/>
          </w:tcPr>
          <w:p w:rsidR="00E94970" w:rsidRDefault="00E94970" w:rsidP="007A041D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E94970" w:rsidRDefault="00E94970" w:rsidP="007A041D">
            <w:pPr>
              <w:spacing w:before="140"/>
            </w:pPr>
            <w:r>
              <w:t xml:space="preserve">Nazwisko I.: (lub nazwiska autorów z inicjałami imion poszczególnych współautorów), </w:t>
            </w:r>
            <w:r>
              <w:rPr>
                <w:i/>
                <w:iCs/>
              </w:rPr>
              <w:t>Tytuł artykułu lub książki</w:t>
            </w:r>
            <w:r>
              <w:t>, Wydawnictwo lub nazwa periodyku, Miejscowość wydania i rok, str. xx-xx (numery stron podaje się wyłącznie w przypadku artykułów publikowanych w periodykach lub materiałach konferencyjnych).</w:t>
            </w:r>
          </w:p>
        </w:tc>
      </w:tr>
      <w:tr w:rsidR="00E94970" w:rsidTr="00525D70">
        <w:tc>
          <w:tcPr>
            <w:tcW w:w="709" w:type="dxa"/>
          </w:tcPr>
          <w:p w:rsidR="00E94970" w:rsidRDefault="00E94970" w:rsidP="007A041D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E94970" w:rsidRDefault="00E94970" w:rsidP="007A041D">
            <w:pPr>
              <w:spacing w:before="140"/>
              <w:jc w:val="left"/>
            </w:pPr>
            <w:r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bookmarkStart w:id="13" w:name="_Toc262680025"/>
      <w:bookmarkStart w:id="14" w:name="_Toc381701332"/>
      <w:r>
        <w:t>Literatura (Wzór B)</w:t>
      </w:r>
      <w:bookmarkEnd w:id="13"/>
      <w:bookmarkEnd w:id="14"/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8647"/>
      </w:tblGrid>
      <w:tr w:rsidR="00E94970" w:rsidTr="00525D70">
        <w:tc>
          <w:tcPr>
            <w:tcW w:w="8647" w:type="dxa"/>
          </w:tcPr>
          <w:p w:rsidR="00E94970" w:rsidRDefault="00E94970" w:rsidP="007A041D">
            <w:pPr>
              <w:spacing w:before="140"/>
            </w:pPr>
            <w:r>
              <w:t xml:space="preserve">Nazwisko I. (Rok), </w:t>
            </w:r>
            <w:r>
              <w:rPr>
                <w:i/>
                <w:iCs/>
              </w:rPr>
              <w:t>Tytuł artykułu lub książki</w:t>
            </w:r>
            <w:r>
              <w:t>, Miejscowość wydania, Wydawnictwo lub nazwa periodyku. Miejscowość wydania i rok, str. xx-xx (numery stron podaje się wyłącznie w przypadku artykułów publikowanych w periodykach lub materiałach konferencyjnych).</w:t>
            </w:r>
          </w:p>
        </w:tc>
      </w:tr>
      <w:tr w:rsidR="00E94970" w:rsidTr="00525D70">
        <w:tc>
          <w:tcPr>
            <w:tcW w:w="8647" w:type="dxa"/>
          </w:tcPr>
          <w:p w:rsidR="00E94970" w:rsidRDefault="00E94970" w:rsidP="007A041D">
            <w:pPr>
              <w:spacing w:before="140"/>
            </w:pPr>
            <w:r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r>
        <w:br w:type="page"/>
      </w:r>
      <w:bookmarkStart w:id="15" w:name="_Toc381701333"/>
      <w:r>
        <w:lastRenderedPageBreak/>
        <w:t>Załącznik 1</w:t>
      </w:r>
      <w:bookmarkEnd w:id="15"/>
    </w:p>
    <w:p w:rsidR="00E94970" w:rsidRDefault="00E94970" w:rsidP="00E94970">
      <w:pPr>
        <w:pStyle w:val="BodyTextIndent"/>
      </w:pPr>
      <w:r>
        <w:t xml:space="preserve">W załączniku/załącznikach umieszcza się informacje, dane pomiarowe etc., które są ważne dla wykonania projektu inżynierskiego, ale których zamieszczenie w tekście głównym opracowania mogłoby znacząco zmniejszyć czytelność projektu inżynierskiego. </w:t>
      </w:r>
    </w:p>
    <w:p w:rsidR="003B13E8" w:rsidRDefault="003B13E8"/>
    <w:sectPr w:rsidR="003B13E8" w:rsidSect="00A55319">
      <w:pgSz w:w="11906" w:h="16838" w:code="9"/>
      <w:pgMar w:top="1440" w:right="1440" w:bottom="1440" w:left="156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C3332" w:rsidRDefault="00CC3332">
      <w:r>
        <w:separator/>
      </w:r>
    </w:p>
  </w:endnote>
  <w:endnote w:type="continuationSeparator" w:id="0">
    <w:p w:rsidR="00CC3332" w:rsidRDefault="00CC33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mbria Math">
    <w:panose1 w:val="02040503050406030204"/>
    <w:charset w:val="EE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94970" w:rsidRDefault="00105F73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 w:rsidR="00E94970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94970" w:rsidRDefault="00E9497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94970" w:rsidRDefault="00105F73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 w:rsidR="00E94970"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A90F50">
      <w:rPr>
        <w:rStyle w:val="PageNumber"/>
        <w:noProof/>
      </w:rPr>
      <w:t>16</w:t>
    </w:r>
    <w:r>
      <w:rPr>
        <w:rStyle w:val="PageNumber"/>
      </w:rPr>
      <w:fldChar w:fldCharType="end"/>
    </w:r>
  </w:p>
  <w:p w:rsidR="00E94970" w:rsidRDefault="00E9497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C3332" w:rsidRDefault="00CC3332">
      <w:r>
        <w:separator/>
      </w:r>
    </w:p>
  </w:footnote>
  <w:footnote w:type="continuationSeparator" w:id="0">
    <w:p w:rsidR="00CC3332" w:rsidRDefault="00CC3332">
      <w:r>
        <w:continuationSeparator/>
      </w:r>
    </w:p>
  </w:footnote>
  <w:footnote w:id="1">
    <w:p w:rsidR="00E94970" w:rsidRDefault="00E94970" w:rsidP="00E94970">
      <w:pPr>
        <w:pStyle w:val="FootnoteText"/>
      </w:pPr>
      <w:r>
        <w:rPr>
          <w:rStyle w:val="FootnoteReference"/>
        </w:rPr>
        <w:footnoteRef/>
      </w:r>
      <w:r>
        <w:t xml:space="preserve"> Przykładowy przypis.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80B2F9A"/>
    <w:multiLevelType w:val="hybridMultilevel"/>
    <w:tmpl w:val="A4CCC7F8"/>
    <w:lvl w:ilvl="0" w:tplc="2A66CED0">
      <w:start w:val="1"/>
      <w:numFmt w:val="decimal"/>
      <w:lvlText w:val="%1."/>
      <w:lvlJc w:val="left"/>
      <w:pPr>
        <w:tabs>
          <w:tab w:val="num" w:pos="567"/>
        </w:tabs>
        <w:ind w:left="493" w:hanging="493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BB76FA"/>
    <w:multiLevelType w:val="hybridMultilevel"/>
    <w:tmpl w:val="48C4F02A"/>
    <w:lvl w:ilvl="0" w:tplc="59BC0666">
      <w:start w:val="1"/>
      <w:numFmt w:val="bullet"/>
      <w:lvlText w:val=""/>
      <w:lvlJc w:val="left"/>
      <w:pPr>
        <w:tabs>
          <w:tab w:val="num" w:pos="777"/>
        </w:tabs>
        <w:ind w:left="77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33"/>
        </w:tabs>
        <w:ind w:left="193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653"/>
        </w:tabs>
        <w:ind w:left="265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373"/>
        </w:tabs>
        <w:ind w:left="337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093"/>
        </w:tabs>
        <w:ind w:left="409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13"/>
        </w:tabs>
        <w:ind w:left="481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33"/>
        </w:tabs>
        <w:ind w:left="553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253"/>
        </w:tabs>
        <w:ind w:left="625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973"/>
        </w:tabs>
        <w:ind w:left="6973" w:hanging="360"/>
      </w:pPr>
      <w:rPr>
        <w:rFonts w:ascii="Wingdings" w:hAnsi="Wingdings" w:hint="default"/>
      </w:rPr>
    </w:lvl>
  </w:abstractNum>
  <w:abstractNum w:abstractNumId="3">
    <w:nsid w:val="0EDA7726"/>
    <w:multiLevelType w:val="hybridMultilevel"/>
    <w:tmpl w:val="921222A2"/>
    <w:lvl w:ilvl="0" w:tplc="59BC0666">
      <w:start w:val="1"/>
      <w:numFmt w:val="bullet"/>
      <w:lvlText w:val=""/>
      <w:lvlJc w:val="left"/>
      <w:pPr>
        <w:tabs>
          <w:tab w:val="num" w:pos="1208"/>
        </w:tabs>
        <w:ind w:left="1208" w:hanging="284"/>
      </w:pPr>
      <w:rPr>
        <w:rFonts w:ascii="Symbol" w:hAnsi="Symbol" w:hint="default"/>
        <w:color w:val="auto"/>
      </w:rPr>
    </w:lvl>
    <w:lvl w:ilvl="1" w:tplc="041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96C4818"/>
    <w:multiLevelType w:val="hybridMultilevel"/>
    <w:tmpl w:val="26A60FEA"/>
    <w:lvl w:ilvl="0" w:tplc="33BE88F4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5C0D2E34"/>
    <w:multiLevelType w:val="hybridMultilevel"/>
    <w:tmpl w:val="986A9448"/>
    <w:lvl w:ilvl="0" w:tplc="59BC0666">
      <w:start w:val="1"/>
      <w:numFmt w:val="bullet"/>
      <w:lvlText w:val=""/>
      <w:lvlJc w:val="left"/>
      <w:pPr>
        <w:tabs>
          <w:tab w:val="num" w:pos="837"/>
        </w:tabs>
        <w:ind w:left="83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93"/>
        </w:tabs>
        <w:ind w:left="199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713"/>
        </w:tabs>
        <w:ind w:left="271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433"/>
        </w:tabs>
        <w:ind w:left="343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153"/>
        </w:tabs>
        <w:ind w:left="415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73"/>
        </w:tabs>
        <w:ind w:left="487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93"/>
        </w:tabs>
        <w:ind w:left="559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313"/>
        </w:tabs>
        <w:ind w:left="631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7033"/>
        </w:tabs>
        <w:ind w:left="7033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l-PL" w:vendorID="12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3"/>
    <w:rsid w:val="00014E5C"/>
    <w:rsid w:val="000208AB"/>
    <w:rsid w:val="000224CC"/>
    <w:rsid w:val="00024D95"/>
    <w:rsid w:val="00030950"/>
    <w:rsid w:val="0003179A"/>
    <w:rsid w:val="000321CB"/>
    <w:rsid w:val="000328A5"/>
    <w:rsid w:val="00042BAA"/>
    <w:rsid w:val="00043FA4"/>
    <w:rsid w:val="00044DCF"/>
    <w:rsid w:val="00063918"/>
    <w:rsid w:val="00072F65"/>
    <w:rsid w:val="000919D4"/>
    <w:rsid w:val="00092A1E"/>
    <w:rsid w:val="00094B25"/>
    <w:rsid w:val="000A2BC3"/>
    <w:rsid w:val="000A3147"/>
    <w:rsid w:val="000A34CC"/>
    <w:rsid w:val="000C322F"/>
    <w:rsid w:val="000D0322"/>
    <w:rsid w:val="001015AD"/>
    <w:rsid w:val="00105F73"/>
    <w:rsid w:val="00107AAD"/>
    <w:rsid w:val="00115650"/>
    <w:rsid w:val="00115B0F"/>
    <w:rsid w:val="00127CB5"/>
    <w:rsid w:val="00131D78"/>
    <w:rsid w:val="00133DA1"/>
    <w:rsid w:val="00134E7B"/>
    <w:rsid w:val="00135CB4"/>
    <w:rsid w:val="001458DE"/>
    <w:rsid w:val="00157C1B"/>
    <w:rsid w:val="00160322"/>
    <w:rsid w:val="001704A7"/>
    <w:rsid w:val="00181472"/>
    <w:rsid w:val="00181BC2"/>
    <w:rsid w:val="0018428C"/>
    <w:rsid w:val="001931EC"/>
    <w:rsid w:val="001949C0"/>
    <w:rsid w:val="001B24F5"/>
    <w:rsid w:val="001B69CB"/>
    <w:rsid w:val="001C3FAF"/>
    <w:rsid w:val="001D5786"/>
    <w:rsid w:val="001F1C19"/>
    <w:rsid w:val="00212AC7"/>
    <w:rsid w:val="00213F84"/>
    <w:rsid w:val="00225B98"/>
    <w:rsid w:val="00234B5F"/>
    <w:rsid w:val="00237C21"/>
    <w:rsid w:val="00265FA0"/>
    <w:rsid w:val="00275E60"/>
    <w:rsid w:val="002A217C"/>
    <w:rsid w:val="002A3659"/>
    <w:rsid w:val="002A7032"/>
    <w:rsid w:val="002B3A01"/>
    <w:rsid w:val="002B6893"/>
    <w:rsid w:val="002E46C8"/>
    <w:rsid w:val="002F12A0"/>
    <w:rsid w:val="002F29D8"/>
    <w:rsid w:val="003018C5"/>
    <w:rsid w:val="00302A4C"/>
    <w:rsid w:val="0030324E"/>
    <w:rsid w:val="003109E7"/>
    <w:rsid w:val="003141E5"/>
    <w:rsid w:val="00315BD2"/>
    <w:rsid w:val="00354A1E"/>
    <w:rsid w:val="00355DCA"/>
    <w:rsid w:val="00384D48"/>
    <w:rsid w:val="00393DC0"/>
    <w:rsid w:val="003959BE"/>
    <w:rsid w:val="003B0FF2"/>
    <w:rsid w:val="003B13E8"/>
    <w:rsid w:val="003B2D6F"/>
    <w:rsid w:val="003D3437"/>
    <w:rsid w:val="003D67F5"/>
    <w:rsid w:val="003E065D"/>
    <w:rsid w:val="003F782C"/>
    <w:rsid w:val="004051C6"/>
    <w:rsid w:val="004216EB"/>
    <w:rsid w:val="004236ED"/>
    <w:rsid w:val="004409AB"/>
    <w:rsid w:val="00451617"/>
    <w:rsid w:val="0046141B"/>
    <w:rsid w:val="0047672B"/>
    <w:rsid w:val="0048211A"/>
    <w:rsid w:val="00484BE3"/>
    <w:rsid w:val="004B305C"/>
    <w:rsid w:val="00520D89"/>
    <w:rsid w:val="00525D70"/>
    <w:rsid w:val="00527625"/>
    <w:rsid w:val="005339D1"/>
    <w:rsid w:val="00542621"/>
    <w:rsid w:val="005454BF"/>
    <w:rsid w:val="005509FF"/>
    <w:rsid w:val="0055162D"/>
    <w:rsid w:val="00561928"/>
    <w:rsid w:val="00563AB1"/>
    <w:rsid w:val="00571EE2"/>
    <w:rsid w:val="00573B69"/>
    <w:rsid w:val="0058464B"/>
    <w:rsid w:val="00590426"/>
    <w:rsid w:val="00591019"/>
    <w:rsid w:val="005A006F"/>
    <w:rsid w:val="005C11F1"/>
    <w:rsid w:val="005D0D93"/>
    <w:rsid w:val="005D11E4"/>
    <w:rsid w:val="005D5C33"/>
    <w:rsid w:val="005E23AF"/>
    <w:rsid w:val="005E549B"/>
    <w:rsid w:val="006004D4"/>
    <w:rsid w:val="00602113"/>
    <w:rsid w:val="0064074A"/>
    <w:rsid w:val="00650F8B"/>
    <w:rsid w:val="006513C7"/>
    <w:rsid w:val="00656164"/>
    <w:rsid w:val="006619D0"/>
    <w:rsid w:val="00662D9E"/>
    <w:rsid w:val="00674818"/>
    <w:rsid w:val="00694796"/>
    <w:rsid w:val="006957F2"/>
    <w:rsid w:val="006C5742"/>
    <w:rsid w:val="006C6FB4"/>
    <w:rsid w:val="006C73A3"/>
    <w:rsid w:val="006D6D8F"/>
    <w:rsid w:val="007024D1"/>
    <w:rsid w:val="007051DA"/>
    <w:rsid w:val="0071066B"/>
    <w:rsid w:val="0071121C"/>
    <w:rsid w:val="00712129"/>
    <w:rsid w:val="00714184"/>
    <w:rsid w:val="00716703"/>
    <w:rsid w:val="007225FF"/>
    <w:rsid w:val="00735B5B"/>
    <w:rsid w:val="0076533A"/>
    <w:rsid w:val="00774294"/>
    <w:rsid w:val="007746E3"/>
    <w:rsid w:val="0077620E"/>
    <w:rsid w:val="007822B0"/>
    <w:rsid w:val="0078439D"/>
    <w:rsid w:val="00786467"/>
    <w:rsid w:val="007866B1"/>
    <w:rsid w:val="007A041D"/>
    <w:rsid w:val="007A314F"/>
    <w:rsid w:val="007A3839"/>
    <w:rsid w:val="007A3C23"/>
    <w:rsid w:val="007A4DBE"/>
    <w:rsid w:val="007C650A"/>
    <w:rsid w:val="007D0F50"/>
    <w:rsid w:val="007D44C1"/>
    <w:rsid w:val="007D5963"/>
    <w:rsid w:val="007E0E63"/>
    <w:rsid w:val="007E25CA"/>
    <w:rsid w:val="007F5D48"/>
    <w:rsid w:val="007F7362"/>
    <w:rsid w:val="008015DB"/>
    <w:rsid w:val="00803DCB"/>
    <w:rsid w:val="00817781"/>
    <w:rsid w:val="00844341"/>
    <w:rsid w:val="00847A47"/>
    <w:rsid w:val="00872FB8"/>
    <w:rsid w:val="008C56D6"/>
    <w:rsid w:val="008D33D6"/>
    <w:rsid w:val="008E5EF5"/>
    <w:rsid w:val="008F0B2B"/>
    <w:rsid w:val="0092450A"/>
    <w:rsid w:val="00962B36"/>
    <w:rsid w:val="00975898"/>
    <w:rsid w:val="009970F5"/>
    <w:rsid w:val="009A6F0A"/>
    <w:rsid w:val="009C34EB"/>
    <w:rsid w:val="009C73DA"/>
    <w:rsid w:val="009D39F1"/>
    <w:rsid w:val="009F003F"/>
    <w:rsid w:val="00A55319"/>
    <w:rsid w:val="00A577A1"/>
    <w:rsid w:val="00A65F4A"/>
    <w:rsid w:val="00A7196F"/>
    <w:rsid w:val="00A71C3F"/>
    <w:rsid w:val="00A85B60"/>
    <w:rsid w:val="00A868EA"/>
    <w:rsid w:val="00A90F50"/>
    <w:rsid w:val="00AA3CD0"/>
    <w:rsid w:val="00AC424E"/>
    <w:rsid w:val="00AC7D54"/>
    <w:rsid w:val="00AD3507"/>
    <w:rsid w:val="00AD746C"/>
    <w:rsid w:val="00AE0CFA"/>
    <w:rsid w:val="00AE79BA"/>
    <w:rsid w:val="00AF07CF"/>
    <w:rsid w:val="00AF4FD9"/>
    <w:rsid w:val="00AF759B"/>
    <w:rsid w:val="00B13B36"/>
    <w:rsid w:val="00B14272"/>
    <w:rsid w:val="00B21ED2"/>
    <w:rsid w:val="00B221D2"/>
    <w:rsid w:val="00B51F11"/>
    <w:rsid w:val="00B62CD1"/>
    <w:rsid w:val="00B659B1"/>
    <w:rsid w:val="00B934DD"/>
    <w:rsid w:val="00BA1AB8"/>
    <w:rsid w:val="00BA45A4"/>
    <w:rsid w:val="00BA6C4C"/>
    <w:rsid w:val="00BB0E27"/>
    <w:rsid w:val="00BC7BEF"/>
    <w:rsid w:val="00BE2F92"/>
    <w:rsid w:val="00BE481A"/>
    <w:rsid w:val="00BF3D20"/>
    <w:rsid w:val="00C13009"/>
    <w:rsid w:val="00C25AF1"/>
    <w:rsid w:val="00C410B5"/>
    <w:rsid w:val="00C469DB"/>
    <w:rsid w:val="00C62921"/>
    <w:rsid w:val="00C915C0"/>
    <w:rsid w:val="00CB2040"/>
    <w:rsid w:val="00CB5BEA"/>
    <w:rsid w:val="00CC3332"/>
    <w:rsid w:val="00CD1F22"/>
    <w:rsid w:val="00CD45D2"/>
    <w:rsid w:val="00D12F4C"/>
    <w:rsid w:val="00D254B6"/>
    <w:rsid w:val="00D264F8"/>
    <w:rsid w:val="00D51465"/>
    <w:rsid w:val="00D57FAB"/>
    <w:rsid w:val="00D62288"/>
    <w:rsid w:val="00D67395"/>
    <w:rsid w:val="00D84B3C"/>
    <w:rsid w:val="00D9280E"/>
    <w:rsid w:val="00DA2A60"/>
    <w:rsid w:val="00DB4844"/>
    <w:rsid w:val="00DB619E"/>
    <w:rsid w:val="00DD2BBE"/>
    <w:rsid w:val="00DE6785"/>
    <w:rsid w:val="00DF2905"/>
    <w:rsid w:val="00DF79E1"/>
    <w:rsid w:val="00E10AFB"/>
    <w:rsid w:val="00E12AF4"/>
    <w:rsid w:val="00E30CF7"/>
    <w:rsid w:val="00E32CDE"/>
    <w:rsid w:val="00E62CCC"/>
    <w:rsid w:val="00E656F6"/>
    <w:rsid w:val="00E66588"/>
    <w:rsid w:val="00E77560"/>
    <w:rsid w:val="00E82820"/>
    <w:rsid w:val="00E8695B"/>
    <w:rsid w:val="00E94970"/>
    <w:rsid w:val="00EA2809"/>
    <w:rsid w:val="00EA57BB"/>
    <w:rsid w:val="00EC5547"/>
    <w:rsid w:val="00ED17BD"/>
    <w:rsid w:val="00ED72B0"/>
    <w:rsid w:val="00EE6AF0"/>
    <w:rsid w:val="00EF60E5"/>
    <w:rsid w:val="00EF6B30"/>
    <w:rsid w:val="00EF6B99"/>
    <w:rsid w:val="00F13146"/>
    <w:rsid w:val="00F17475"/>
    <w:rsid w:val="00F33924"/>
    <w:rsid w:val="00F56DD3"/>
    <w:rsid w:val="00F656F7"/>
    <w:rsid w:val="00F72C80"/>
    <w:rsid w:val="00F733B0"/>
    <w:rsid w:val="00F73625"/>
    <w:rsid w:val="00F93818"/>
    <w:rsid w:val="00F9738A"/>
    <w:rsid w:val="00FD6ED1"/>
    <w:rsid w:val="00FF14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011BC61E-EEA6-4495-9524-434BEFCABE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Standardowy1"/>
    <w:qFormat/>
    <w:rsid w:val="00525D70"/>
    <w:pPr>
      <w:spacing w:line="360" w:lineRule="auto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0C322F"/>
    <w:pPr>
      <w:keepNext/>
      <w:spacing w:before="280" w:after="28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E94970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25D70"/>
    <w:pPr>
      <w:keepNext/>
      <w:suppressAutoHyphens/>
      <w:spacing w:before="240" w:after="60"/>
      <w:ind w:left="3969"/>
      <w:outlineLvl w:val="2"/>
    </w:pPr>
    <w:rPr>
      <w:rFonts w:ascii="Arial" w:hAnsi="Arial"/>
      <w:b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6785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E6785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E6785"/>
    <w:pPr>
      <w:spacing w:before="240" w:after="60"/>
      <w:outlineLvl w:val="6"/>
    </w:pPr>
    <w:rPr>
      <w:rFonts w:ascii="Calibri" w:hAnsi="Calibri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Nagłówek strony"/>
    <w:basedOn w:val="Normal"/>
    <w:rsid w:val="000C322F"/>
    <w:pPr>
      <w:tabs>
        <w:tab w:val="center" w:pos="4536"/>
        <w:tab w:val="right" w:pos="9072"/>
      </w:tabs>
    </w:pPr>
  </w:style>
  <w:style w:type="paragraph" w:styleId="Title">
    <w:name w:val="Title"/>
    <w:basedOn w:val="Normal"/>
    <w:qFormat/>
    <w:rsid w:val="000C322F"/>
    <w:pPr>
      <w:jc w:val="center"/>
    </w:pPr>
    <w:rPr>
      <w:b/>
      <w:bCs/>
      <w:sz w:val="32"/>
      <w:szCs w:val="24"/>
    </w:rPr>
  </w:style>
  <w:style w:type="paragraph" w:styleId="EndnoteText">
    <w:name w:val="endnote text"/>
    <w:basedOn w:val="Normal"/>
    <w:semiHidden/>
    <w:rsid w:val="000C322F"/>
    <w:rPr>
      <w:sz w:val="20"/>
    </w:rPr>
  </w:style>
  <w:style w:type="character" w:customStyle="1" w:styleId="Znak">
    <w:name w:val="Znak"/>
    <w:rsid w:val="000C322F"/>
    <w:rPr>
      <w:sz w:val="24"/>
      <w:lang w:val="pl-PL" w:eastAsia="pl-PL" w:bidi="ar-SA"/>
    </w:rPr>
  </w:style>
  <w:style w:type="paragraph" w:styleId="Footer">
    <w:name w:val="footer"/>
    <w:basedOn w:val="Normal"/>
    <w:rsid w:val="000C322F"/>
    <w:pPr>
      <w:tabs>
        <w:tab w:val="center" w:pos="4536"/>
        <w:tab w:val="right" w:pos="9072"/>
      </w:tabs>
    </w:pPr>
  </w:style>
  <w:style w:type="character" w:customStyle="1" w:styleId="ZnakZnak">
    <w:name w:val="Znak Znak"/>
    <w:rsid w:val="000C322F"/>
    <w:rPr>
      <w:sz w:val="24"/>
      <w:lang w:val="pl-PL" w:eastAsia="pl-PL" w:bidi="ar-SA"/>
    </w:rPr>
  </w:style>
  <w:style w:type="character" w:styleId="PageNumber">
    <w:name w:val="page number"/>
    <w:basedOn w:val="DefaultParagraphFont"/>
    <w:rsid w:val="000C322F"/>
  </w:style>
  <w:style w:type="character" w:styleId="EndnoteReference">
    <w:name w:val="endnote reference"/>
    <w:semiHidden/>
    <w:rsid w:val="000C322F"/>
    <w:rPr>
      <w:vertAlign w:val="superscript"/>
    </w:rPr>
  </w:style>
  <w:style w:type="character" w:styleId="CommentReference">
    <w:name w:val="annotation reference"/>
    <w:semiHidden/>
    <w:rsid w:val="000C322F"/>
    <w:rPr>
      <w:sz w:val="16"/>
      <w:szCs w:val="16"/>
    </w:rPr>
  </w:style>
  <w:style w:type="paragraph" w:styleId="CommentText">
    <w:name w:val="annotation text"/>
    <w:basedOn w:val="Normal"/>
    <w:semiHidden/>
    <w:rsid w:val="000C322F"/>
    <w:rPr>
      <w:sz w:val="20"/>
    </w:rPr>
  </w:style>
  <w:style w:type="paragraph" w:styleId="CommentSubject">
    <w:name w:val="annotation subject"/>
    <w:basedOn w:val="CommentText"/>
    <w:next w:val="CommentText"/>
    <w:semiHidden/>
    <w:rsid w:val="000C322F"/>
    <w:rPr>
      <w:b/>
      <w:bCs/>
    </w:rPr>
  </w:style>
  <w:style w:type="paragraph" w:styleId="BalloonText">
    <w:name w:val="Balloon Text"/>
    <w:basedOn w:val="Normal"/>
    <w:semiHidden/>
    <w:rsid w:val="000C322F"/>
    <w:rPr>
      <w:rFonts w:ascii="Tahoma" w:hAnsi="Tahoma" w:cs="Tahoma"/>
      <w:sz w:val="16"/>
      <w:szCs w:val="16"/>
    </w:rPr>
  </w:style>
  <w:style w:type="paragraph" w:styleId="BodyTextIndent">
    <w:name w:val="Body Text Indent"/>
    <w:basedOn w:val="Normal"/>
    <w:rsid w:val="00E94970"/>
    <w:pPr>
      <w:ind w:firstLine="493"/>
    </w:pPr>
  </w:style>
  <w:style w:type="paragraph" w:styleId="FootnoteText">
    <w:name w:val="footnote text"/>
    <w:aliases w:val="Tekst przypisu"/>
    <w:basedOn w:val="Normal"/>
    <w:semiHidden/>
    <w:rsid w:val="000C322F"/>
    <w:rPr>
      <w:sz w:val="20"/>
    </w:rPr>
  </w:style>
  <w:style w:type="character" w:styleId="FootnoteReference">
    <w:name w:val="footnote reference"/>
    <w:aliases w:val="Odwołanie przypisu"/>
    <w:semiHidden/>
    <w:rsid w:val="000C322F"/>
    <w:rPr>
      <w:vertAlign w:val="superscript"/>
    </w:rPr>
  </w:style>
  <w:style w:type="paragraph" w:customStyle="1" w:styleId="Strtytgrnyprawyrg">
    <w:name w:val="Str tyt górny prawy róg"/>
    <w:basedOn w:val="Normal"/>
    <w:autoRedefine/>
    <w:rsid w:val="000C322F"/>
    <w:pPr>
      <w:spacing w:after="60"/>
      <w:jc w:val="left"/>
    </w:pPr>
    <w:rPr>
      <w:rFonts w:ascii="Arial" w:hAnsi="Arial"/>
      <w:b/>
      <w:sz w:val="28"/>
      <w:szCs w:val="24"/>
    </w:rPr>
  </w:style>
  <w:style w:type="paragraph" w:customStyle="1" w:styleId="Strty-TYTU">
    <w:name w:val="Str ty - TYTUŁ"/>
    <w:basedOn w:val="Strtytgrnyprawyrg"/>
    <w:autoRedefine/>
    <w:rsid w:val="000C322F"/>
    <w:pPr>
      <w:spacing w:after="0"/>
      <w:ind w:left="567" w:right="567"/>
      <w:jc w:val="center"/>
    </w:pPr>
    <w:rPr>
      <w:caps/>
      <w:sz w:val="40"/>
    </w:rPr>
  </w:style>
  <w:style w:type="paragraph" w:customStyle="1" w:styleId="Strtyt-rodek">
    <w:name w:val="Str tyt - środek"/>
    <w:basedOn w:val="Strty-TYTU"/>
    <w:autoRedefine/>
    <w:rsid w:val="000C322F"/>
    <w:pPr>
      <w:spacing w:before="400" w:line="240" w:lineRule="auto"/>
    </w:pPr>
    <w:rPr>
      <w:sz w:val="28"/>
    </w:rPr>
  </w:style>
  <w:style w:type="paragraph" w:customStyle="1" w:styleId="Strtyt-d1">
    <w:name w:val="Str tyt - dół1"/>
    <w:basedOn w:val="Strtytgrnyprawyrg"/>
    <w:autoRedefine/>
    <w:rsid w:val="000C322F"/>
  </w:style>
  <w:style w:type="paragraph" w:customStyle="1" w:styleId="Strtytd2">
    <w:name w:val="Str tyt dół2"/>
    <w:basedOn w:val="Strtyt-d1"/>
    <w:autoRedefine/>
    <w:rsid w:val="000C322F"/>
    <w:pPr>
      <w:spacing w:before="600" w:after="0"/>
      <w:jc w:val="center"/>
    </w:pPr>
    <w:rPr>
      <w:b w:val="0"/>
      <w:sz w:val="24"/>
    </w:rPr>
  </w:style>
  <w:style w:type="paragraph" w:styleId="TOC1">
    <w:name w:val="toc 1"/>
    <w:basedOn w:val="Normal"/>
    <w:next w:val="Normal"/>
    <w:autoRedefine/>
    <w:uiPriority w:val="39"/>
    <w:rsid w:val="000C322F"/>
    <w:pPr>
      <w:spacing w:before="120" w:after="120"/>
    </w:pPr>
  </w:style>
  <w:style w:type="character" w:styleId="Hyperlink">
    <w:name w:val="Hyperlink"/>
    <w:uiPriority w:val="99"/>
    <w:rsid w:val="000C322F"/>
    <w:rPr>
      <w:color w:val="0000FF"/>
      <w:u w:val="single"/>
    </w:rPr>
  </w:style>
  <w:style w:type="paragraph" w:customStyle="1" w:styleId="Imiinazwisko">
    <w:name w:val="Imię i nazwisko"/>
    <w:basedOn w:val="Strtytgrnyprawyrg"/>
    <w:rsid w:val="000C322F"/>
    <w:pPr>
      <w:ind w:firstLine="493"/>
      <w:jc w:val="center"/>
    </w:pPr>
    <w:rPr>
      <w:sz w:val="36"/>
    </w:rPr>
  </w:style>
  <w:style w:type="paragraph" w:styleId="Index1">
    <w:name w:val="index 1"/>
    <w:basedOn w:val="Normal"/>
    <w:next w:val="Normal"/>
    <w:autoRedefine/>
    <w:semiHidden/>
    <w:rsid w:val="000C322F"/>
    <w:pPr>
      <w:ind w:left="240" w:hanging="240"/>
    </w:pPr>
  </w:style>
  <w:style w:type="paragraph" w:styleId="TOC2">
    <w:name w:val="toc 2"/>
    <w:basedOn w:val="Normal"/>
    <w:next w:val="Normal"/>
    <w:autoRedefine/>
    <w:uiPriority w:val="39"/>
    <w:rsid w:val="00E94970"/>
    <w:pPr>
      <w:ind w:left="240" w:firstLine="493"/>
    </w:pPr>
  </w:style>
  <w:style w:type="paragraph" w:customStyle="1" w:styleId="Spistreci">
    <w:name w:val="Spis treści"/>
    <w:rsid w:val="00E94970"/>
    <w:pPr>
      <w:spacing w:before="280" w:after="280" w:line="360" w:lineRule="auto"/>
    </w:pPr>
    <w:rPr>
      <w:rFonts w:ascii="Arial" w:hAnsi="Arial"/>
      <w:b/>
      <w:sz w:val="32"/>
    </w:rPr>
  </w:style>
  <w:style w:type="paragraph" w:styleId="TOC3">
    <w:name w:val="toc 3"/>
    <w:basedOn w:val="Normal"/>
    <w:next w:val="Normal"/>
    <w:autoRedefine/>
    <w:uiPriority w:val="39"/>
    <w:rsid w:val="00E94970"/>
    <w:pPr>
      <w:ind w:left="480" w:firstLine="493"/>
    </w:pPr>
  </w:style>
  <w:style w:type="paragraph" w:styleId="Caption">
    <w:name w:val="caption"/>
    <w:basedOn w:val="Normal"/>
    <w:next w:val="Normal"/>
    <w:qFormat/>
    <w:rsid w:val="00E94970"/>
    <w:pPr>
      <w:ind w:firstLine="493"/>
    </w:pPr>
    <w:rPr>
      <w:b/>
      <w:bCs/>
      <w:sz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7A3839"/>
    <w:pPr>
      <w:keepLines/>
      <w:spacing w:before="240" w:after="0" w:line="259" w:lineRule="auto"/>
      <w:jc w:val="left"/>
      <w:outlineLvl w:val="9"/>
    </w:pPr>
    <w:rPr>
      <w:rFonts w:ascii="Calibri Light" w:hAnsi="Calibri Light"/>
      <w:b w:val="0"/>
      <w:bCs w:val="0"/>
      <w:color w:val="2E74B5"/>
      <w:kern w:val="0"/>
      <w:lang w:val="en-US" w:eastAsia="en-US"/>
    </w:rPr>
  </w:style>
  <w:style w:type="character" w:customStyle="1" w:styleId="Heading5Char">
    <w:name w:val="Heading 5 Char"/>
    <w:link w:val="Heading5"/>
    <w:uiPriority w:val="9"/>
    <w:semiHidden/>
    <w:rsid w:val="00DE678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rsid w:val="00DE6785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rsid w:val="00DE6785"/>
    <w:rPr>
      <w:rFonts w:ascii="Calibri" w:eastAsia="Times New Roman" w:hAnsi="Calibri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81BC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18" Type="http://schemas.openxmlformats.org/officeDocument/2006/relationships/oleObject" Target="embeddings/oleObject2.bin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image" Target="media/image4.wmf"/><Relationship Id="rId2" Type="http://schemas.openxmlformats.org/officeDocument/2006/relationships/customXml" Target="../customXml/item2.xml"/><Relationship Id="rId16" Type="http://schemas.openxmlformats.org/officeDocument/2006/relationships/oleObject" Target="embeddings/oleObject1.bin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4030C0A50CED54A93B75331F639F92D" ma:contentTypeVersion="1" ma:contentTypeDescription="Utwórz nowy dokument." ma:contentTypeScope="" ma:versionID="c2e8e8769345ce97fdff3f97b6b45fc1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74c9a9df04abc7fbdb97ce22349bc730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Planowana data rozpoczęcia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Planowana data zakończenia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 ma:readOnly="true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p:properties xmlns:p="http://schemas.microsoft.com/office/2006/metadata/properties" xmlns:xsi="http://www.w3.org/2001/XMLSchema-instance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EC4162-9002-403E-B22D-6E9E1AE6D6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2.xml><?xml version="1.0" encoding="utf-8"?>
<ds:datastoreItem xmlns:ds="http://schemas.openxmlformats.org/officeDocument/2006/customXml" ds:itemID="{FD081FFA-365A-41D1-8FAA-ED90A7BB3556}">
  <ds:schemaRefs>
    <ds:schemaRef ds:uri="http://schemas.microsoft.com/office/2006/metadata/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6AC700D7-5D49-49DE-8A40-90E89286CBD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E408E64-CCB9-4B42-BF24-6C2E11E6A4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179</TotalTime>
  <Pages>16</Pages>
  <Words>2293</Words>
  <Characters>13758</Characters>
  <Application>Microsoft Office Word</Application>
  <DocSecurity>0</DocSecurity>
  <Lines>114</Lines>
  <Paragraphs>32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Z3-P-RG-3_Wzór projektu inżynierskiego</vt:lpstr>
      <vt:lpstr>Z3-P-RG-3_Wzór projektu inżynierskiego</vt:lpstr>
    </vt:vector>
  </TitlesOfParts>
  <Company/>
  <LinksUpToDate>false</LinksUpToDate>
  <CharactersWithSpaces>16019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Z3-P-RG-3_Wzór projektu inżynierskiego</dc:title>
  <dc:creator>ZKS</dc:creator>
  <cp:lastModifiedBy>Windows User</cp:lastModifiedBy>
  <cp:revision>75</cp:revision>
  <cp:lastPrinted>2012-10-18T10:19:00Z</cp:lastPrinted>
  <dcterms:created xsi:type="dcterms:W3CDTF">2017-01-02T20:34:00Z</dcterms:created>
  <dcterms:modified xsi:type="dcterms:W3CDTF">2017-01-04T20:52:00Z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  <property fmtid="{D5CDD505-2E9C-101B-9397-08002B2CF9AE}" pid="4" name="ContentTypeId">
    <vt:lpwstr>0x010100F4030C0A50CED54A93B75331F639F92D</vt:lpwstr>
  </property>
</Properties>
</file>