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rFonts w:ascii="Arial" w:cs="Arial" w:eastAsia="Arial" w:hAnsi="Arial"/>
          <w:b/>
          <w:bCs/>
          <w:color w:val="1B3A6B"/>
          <w:sz w:val="64"/>
          <w:szCs w:val="64"/>
        </w:rPr>
        <w:t xml:space="preserve">DR OLIVER ZOLMAN</w:t>
      </w:r>
    </w:p>
    <w:p>
      <w:pPr>
        <w:spacing w:after="140" w:before="140"/>
        <w:jc w:val="center"/>
      </w:pPr>
      <w:r>
        <w:rPr>
          <w:rFonts w:ascii="Arial" w:cs="Arial" w:eastAsia="Arial" w:hAnsi="Arial"/>
          <w:color w:val="2E74B5"/>
          <w:sz w:val="38"/>
          <w:szCs w:val="38"/>
        </w:rPr>
        <w:t xml:space="preserve">Evidence-Based Longevity Protocol</w:t>
      </w:r>
    </w:p>
    <w:p>
      <w:pPr>
        <w:pBdr>
          <w:top w:val="single" w:color="00897B" w:sz="6" w:space="8"/>
          <w:bottom w:val="single" w:color="00897B" w:sz="6" w:space="8"/>
        </w:pBdr>
        <w:spacing w:after="160" w:before="160"/>
        <w:jc w:val="center"/>
      </w:pPr>
      <w:r>
        <w:rPr>
          <w:rFonts w:ascii="Arial" w:cs="Arial" w:eastAsia="Arial" w:hAnsi="Arial"/>
          <w:b/>
          <w:bCs/>
          <w:color w:val="00897B"/>
          <w:sz w:val="26"/>
          <w:szCs w:val="26"/>
        </w:rPr>
        <w:t xml:space="preserve">PRESENTATION SUMMARY</w:t>
      </w:r>
    </w:p>
    <w:p>
      <w:pPr>
        <w:jc w:val="center"/>
      </w:pPr>
      <w:r>
        <w:rPr>
          <w:rFonts w:ascii="Arial" w:cs="Arial" w:eastAsia="Arial" w:hAnsi="Arial"/>
          <w:color w:val="595959"/>
          <w:sz w:val="22"/>
          <w:szCs w:val="22"/>
        </w:rPr>
        <w:t xml:space="preserve">Longevity Levels 1, 2 &amp; 3  |  March 2026</w:t>
      </w:r>
    </w:p>
    <w:p>
      <w:r>
        <w:br w:type="page"/>
      </w:r>
    </w:p>
    <w:p>
      <w:pPr>
        <w:pStyle w:val="Heading1"/>
        <w:pBdr>
          <w:bottom w:val="single" w:color="2E74B5" w:sz="6" w:space="6"/>
        </w:pBdr>
        <w:spacing w:after="160" w:before="360"/>
      </w:pPr>
      <w:r>
        <w:rPr>
          <w:rFonts w:ascii="Arial" w:cs="Arial" w:eastAsia="Arial" w:hAnsi="Arial"/>
          <w:b/>
          <w:bCs/>
          <w:color w:val="1B3A6B"/>
          <w:sz w:val="36"/>
          <w:szCs w:val="36"/>
        </w:rPr>
        <w:t xml:space="preserve">Executive Summary</w:t>
      </w:r>
    </w:p>
    <w:p>
      <w:pPr>
        <w:spacing w:after="60" w:before="60"/>
      </w:pPr>
      <w:r>
        <w:rPr>
          <w:rFonts w:ascii="Arial" w:cs="Arial" w:eastAsia="Arial" w:hAnsi="Arial"/>
          <w:b w:val="false"/>
          <w:bCs w:val="false"/>
          <w:color w:val="000000"/>
          <w:sz w:val="22"/>
          <w:szCs w:val="22"/>
        </w:rPr>
        <w:t xml:space="preserve">Dr Oliver Zolman MBBS BSc presents a peer-reviewed, three-tier framework for extending healthy human lifespan. Drawing on systematic reviews, randomised controlled trials, primate studies, and early human gene therapy data, the protocol is structured around progressively advanced interventions — from proven lifestyle medicine through to experimental rejuvenation biotechnology.</w:t>
      </w:r>
    </w:p>
    <w:p>
      <w:pPr>
        <w:spacing w:after="0" w:before="80"/>
      </w:pPr>
    </w:p>
    <w:p>
      <w:pPr>
        <w:shd w:fill="D6E8F8" w:val="clear"/>
        <w:spacing w:after="120" w:before="120"/>
        <w:ind w:left="360" w:right="360"/>
      </w:pPr>
      <w:r>
        <w:rPr>
          <w:rFonts w:ascii="Arial" w:cs="Arial" w:eastAsia="Arial" w:hAnsi="Arial"/>
          <w:b w:val="false"/>
          <w:bCs w:val="false"/>
          <w:color w:val="1B3A6B"/>
          <w:sz w:val="22"/>
          <w:szCs w:val="22"/>
        </w:rPr>
        <w:t xml:space="preserve">Key claim: Adherence to all Level 1 components could theoretically stack up to 30 additional years of healthy life. Levels 2 and 3 aim to push beyond this into theoretically unlimited healthspan extension.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W w:type="dxa" w:w="5200"/>
            <w:tcBorders>
              <w:top w:val="single" w:color="D0DCE8" w:sz="1"/>
              <w:left w:val="single" w:color="D0DCE8" w:sz="1"/>
              <w:bottom w:val="single" w:color="D0DCE8" w:sz="1"/>
              <w:right w:val="single" w:color="D0DCE8" w:sz="1"/>
            </w:tcBorders>
            <w:shd w:fill="EBF3FB" w:val="clear"/>
            <w:tcMar>
              <w:top w:type="dxa" w:w="90"/>
              <w:left w:type="dxa" w:w="140"/>
              <w:bottom w:type="dxa" w:w="90"/>
              <w:right w:type="dxa" w:w="80"/>
            </w:tcMar>
          </w:tcPr>
          <w:p>
            <w:r>
              <w:rPr>
                <w:rFonts w:ascii="Arial" w:cs="Arial" w:eastAsia="Arial" w:hAnsi="Arial"/>
                <w:color w:val="595959"/>
                <w:sz w:val="21"/>
                <w:szCs w:val="21"/>
              </w:rPr>
              <w:t xml:space="preserve">Presentation title</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80"/>
            </w:tcMar>
          </w:tcPr>
          <w:p>
            <w:r>
              <w:rPr>
                <w:rFonts w:ascii="Arial" w:cs="Arial" w:eastAsia="Arial" w:hAnsi="Arial"/>
                <w:b/>
                <w:bCs/>
                <w:color w:val="2E74B5"/>
                <w:sz w:val="22"/>
                <w:szCs w:val="22"/>
              </w:rPr>
              <w:t xml:space="preserve">Evidence-Based Longevity Protocol: Levels 1, 2 &amp; 3</w:t>
            </w:r>
          </w:p>
        </w:tc>
      </w:tr>
      <w:tr>
        <w:tc>
          <w:tcPr>
            <w:tcW w:type="dxa" w:w="5200"/>
            <w:tcBorders>
              <w:top w:val="single" w:color="D0DCE8" w:sz="1"/>
              <w:left w:val="single" w:color="D0DCE8" w:sz="1"/>
              <w:bottom w:val="single" w:color="D0DCE8" w:sz="1"/>
              <w:right w:val="single" w:color="D0DCE8" w:sz="1"/>
            </w:tcBorders>
            <w:shd w:fill="EBF3FB" w:val="clear"/>
            <w:tcMar>
              <w:top w:type="dxa" w:w="90"/>
              <w:left w:type="dxa" w:w="140"/>
              <w:bottom w:type="dxa" w:w="90"/>
              <w:right w:type="dxa" w:w="80"/>
            </w:tcMar>
          </w:tcPr>
          <w:p>
            <w:r>
              <w:rPr>
                <w:rFonts w:ascii="Arial" w:cs="Arial" w:eastAsia="Arial" w:hAnsi="Arial"/>
                <w:color w:val="595959"/>
                <w:sz w:val="21"/>
                <w:szCs w:val="21"/>
              </w:rPr>
              <w:t xml:space="preserve">Presenter</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80"/>
            </w:tcMar>
          </w:tcPr>
          <w:p>
            <w:r>
              <w:rPr>
                <w:rFonts w:ascii="Arial" w:cs="Arial" w:eastAsia="Arial" w:hAnsi="Arial"/>
                <w:b/>
                <w:bCs/>
                <w:color w:val="2E74B5"/>
                <w:sz w:val="22"/>
                <w:szCs w:val="22"/>
              </w:rPr>
              <w:t xml:space="preserve">Dr Oliver H. G. Y. Zolman MBBS BSc</w:t>
            </w:r>
          </w:p>
        </w:tc>
      </w:tr>
      <w:tr>
        <w:tc>
          <w:tcPr>
            <w:tcW w:type="dxa" w:w="5200"/>
            <w:tcBorders>
              <w:top w:val="single" w:color="D0DCE8" w:sz="1"/>
              <w:left w:val="single" w:color="D0DCE8" w:sz="1"/>
              <w:bottom w:val="single" w:color="D0DCE8" w:sz="1"/>
              <w:right w:val="single" w:color="D0DCE8" w:sz="1"/>
            </w:tcBorders>
            <w:shd w:fill="EBF3FB" w:val="clear"/>
            <w:tcMar>
              <w:top w:type="dxa" w:w="90"/>
              <w:left w:type="dxa" w:w="140"/>
              <w:bottom w:type="dxa" w:w="90"/>
              <w:right w:type="dxa" w:w="80"/>
            </w:tcMar>
          </w:tcPr>
          <w:p>
            <w:r>
              <w:rPr>
                <w:rFonts w:ascii="Arial" w:cs="Arial" w:eastAsia="Arial" w:hAnsi="Arial"/>
                <w:color w:val="595959"/>
                <w:sz w:val="21"/>
                <w:szCs w:val="21"/>
              </w:rPr>
              <w:t xml:space="preserve">Review status</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80"/>
            </w:tcMar>
          </w:tcPr>
          <w:p>
            <w:r>
              <w:rPr>
                <w:rFonts w:ascii="Arial" w:cs="Arial" w:eastAsia="Arial" w:hAnsi="Arial"/>
                <w:b/>
                <w:bCs/>
                <w:color w:val="2E74B5"/>
                <w:sz w:val="22"/>
                <w:szCs w:val="22"/>
              </w:rPr>
              <w:t xml:space="preserve">Peer-reviewed; based on Cochrane / NICE / AGREE II methodology</w:t>
            </w:r>
          </w:p>
        </w:tc>
      </w:tr>
      <w:tr>
        <w:tc>
          <w:tcPr>
            <w:tcW w:type="dxa" w:w="5200"/>
            <w:tcBorders>
              <w:top w:val="single" w:color="D0DCE8" w:sz="1"/>
              <w:left w:val="single" w:color="D0DCE8" w:sz="1"/>
              <w:bottom w:val="single" w:color="D0DCE8" w:sz="1"/>
              <w:right w:val="single" w:color="D0DCE8" w:sz="1"/>
            </w:tcBorders>
            <w:shd w:fill="EBF3FB" w:val="clear"/>
            <w:tcMar>
              <w:top w:type="dxa" w:w="90"/>
              <w:left w:type="dxa" w:w="140"/>
              <w:bottom w:type="dxa" w:w="90"/>
              <w:right w:type="dxa" w:w="80"/>
            </w:tcMar>
          </w:tcPr>
          <w:p>
            <w:r>
              <w:rPr>
                <w:rFonts w:ascii="Arial" w:cs="Arial" w:eastAsia="Arial" w:hAnsi="Arial"/>
                <w:color w:val="595959"/>
                <w:sz w:val="21"/>
                <w:szCs w:val="21"/>
              </w:rPr>
              <w:t xml:space="preserve">Total slides analysed</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80"/>
            </w:tcMar>
          </w:tcPr>
          <w:p>
            <w:r>
              <w:rPr>
                <w:rFonts w:ascii="Arial" w:cs="Arial" w:eastAsia="Arial" w:hAnsi="Arial"/>
                <w:b/>
                <w:bCs/>
                <w:color w:val="2E74B5"/>
                <w:sz w:val="22"/>
                <w:szCs w:val="22"/>
              </w:rPr>
              <w:t xml:space="preserve">77</w:t>
            </w:r>
          </w:p>
        </w:tc>
      </w:tr>
      <w:tr>
        <w:tc>
          <w:tcPr>
            <w:tcW w:type="dxa" w:w="5200"/>
            <w:tcBorders>
              <w:top w:val="single" w:color="D0DCE8" w:sz="1"/>
              <w:left w:val="single" w:color="D0DCE8" w:sz="1"/>
              <w:bottom w:val="single" w:color="D0DCE8" w:sz="1"/>
              <w:right w:val="single" w:color="D0DCE8" w:sz="1"/>
            </w:tcBorders>
            <w:shd w:fill="EBF3FB" w:val="clear"/>
            <w:tcMar>
              <w:top w:type="dxa" w:w="90"/>
              <w:left w:type="dxa" w:w="140"/>
              <w:bottom w:type="dxa" w:w="90"/>
              <w:right w:type="dxa" w:w="80"/>
            </w:tcMar>
          </w:tcPr>
          <w:p>
            <w:r>
              <w:rPr>
                <w:rFonts w:ascii="Arial" w:cs="Arial" w:eastAsia="Arial" w:hAnsi="Arial"/>
                <w:color w:val="595959"/>
                <w:sz w:val="21"/>
                <w:szCs w:val="21"/>
              </w:rPr>
              <w:t xml:space="preserve">Level 1 components</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80"/>
            </w:tcMar>
          </w:tcPr>
          <w:p>
            <w:r>
              <w:rPr>
                <w:rFonts w:ascii="Arial" w:cs="Arial" w:eastAsia="Arial" w:hAnsi="Arial"/>
                <w:b/>
                <w:bCs/>
                <w:color w:val="2E74B5"/>
                <w:sz w:val="22"/>
                <w:szCs w:val="22"/>
              </w:rPr>
              <w:t xml:space="preserve">15 evidence-based lifestyle &amp; medical pillars</w:t>
            </w:r>
          </w:p>
        </w:tc>
      </w:tr>
      <w:tr>
        <w:tc>
          <w:tcPr>
            <w:tcW w:type="dxa" w:w="5200"/>
            <w:tcBorders>
              <w:top w:val="single" w:color="D0DCE8" w:sz="1"/>
              <w:left w:val="single" w:color="D0DCE8" w:sz="1"/>
              <w:bottom w:val="single" w:color="D0DCE8" w:sz="1"/>
              <w:right w:val="single" w:color="D0DCE8" w:sz="1"/>
            </w:tcBorders>
            <w:shd w:fill="EBF3FB" w:val="clear"/>
            <w:tcMar>
              <w:top w:type="dxa" w:w="90"/>
              <w:left w:type="dxa" w:w="140"/>
              <w:bottom w:type="dxa" w:w="90"/>
              <w:right w:type="dxa" w:w="80"/>
            </w:tcMar>
          </w:tcPr>
          <w:p>
            <w:r>
              <w:rPr>
                <w:rFonts w:ascii="Arial" w:cs="Arial" w:eastAsia="Arial" w:hAnsi="Arial"/>
                <w:color w:val="595959"/>
                <w:sz w:val="21"/>
                <w:szCs w:val="21"/>
              </w:rPr>
              <w:t xml:space="preserve">Level 2 scope</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80"/>
            </w:tcMar>
          </w:tcPr>
          <w:p>
            <w:r>
              <w:rPr>
                <w:rFonts w:ascii="Arial" w:cs="Arial" w:eastAsia="Arial" w:hAnsi="Arial"/>
                <w:b/>
                <w:bCs/>
                <w:color w:val="2E74B5"/>
                <w:sz w:val="22"/>
                <w:szCs w:val="22"/>
              </w:rPr>
              <w:t xml:space="preserve">Genomics, hormones, cognition, technology &amp; more</w:t>
            </w:r>
          </w:p>
        </w:tc>
      </w:tr>
      <w:tr>
        <w:tc>
          <w:tcPr>
            <w:tcW w:type="dxa" w:w="5200"/>
            <w:tcBorders>
              <w:top w:val="single" w:color="D0DCE8" w:sz="1"/>
              <w:left w:val="single" w:color="D0DCE8" w:sz="1"/>
              <w:bottom w:val="single" w:color="D0DCE8" w:sz="1"/>
              <w:right w:val="single" w:color="D0DCE8" w:sz="1"/>
            </w:tcBorders>
            <w:shd w:fill="EBF3FB" w:val="clear"/>
            <w:tcMar>
              <w:top w:type="dxa" w:w="90"/>
              <w:left w:type="dxa" w:w="140"/>
              <w:bottom w:type="dxa" w:w="90"/>
              <w:right w:type="dxa" w:w="80"/>
            </w:tcMar>
          </w:tcPr>
          <w:p>
            <w:r>
              <w:rPr>
                <w:rFonts w:ascii="Arial" w:cs="Arial" w:eastAsia="Arial" w:hAnsi="Arial"/>
                <w:color w:val="595959"/>
                <w:sz w:val="21"/>
                <w:szCs w:val="21"/>
              </w:rPr>
              <w:t xml:space="preserve">Level 3 goal (by 2030)</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80"/>
            </w:tcMar>
          </w:tcPr>
          <w:p>
            <w:r>
              <w:rPr>
                <w:rFonts w:ascii="Arial" w:cs="Arial" w:eastAsia="Arial" w:hAnsi="Arial"/>
                <w:b/>
                <w:bCs/>
                <w:color w:val="2E74B5"/>
                <w:sz w:val="22"/>
                <w:szCs w:val="22"/>
              </w:rPr>
              <w:t xml:space="preserve">Rejuvenate 100 people aged 75-85 across 81 organ types</w:t>
            </w:r>
          </w:p>
        </w:tc>
      </w:tr>
      <w:tr>
        <w:tc>
          <w:tcPr>
            <w:tcW w:type="dxa" w:w="5200"/>
            <w:tcBorders>
              <w:top w:val="single" w:color="D0DCE8" w:sz="1"/>
              <w:left w:val="single" w:color="D0DCE8" w:sz="1"/>
              <w:bottom w:val="single" w:color="D0DCE8" w:sz="1"/>
              <w:right w:val="single" w:color="D0DCE8" w:sz="1"/>
            </w:tcBorders>
            <w:shd w:fill="EBF3FB" w:val="clear"/>
            <w:tcMar>
              <w:top w:type="dxa" w:w="90"/>
              <w:left w:type="dxa" w:w="140"/>
              <w:bottom w:type="dxa" w:w="90"/>
              <w:right w:type="dxa" w:w="80"/>
            </w:tcMar>
          </w:tcPr>
          <w:p>
            <w:r>
              <w:rPr>
                <w:rFonts w:ascii="Arial" w:cs="Arial" w:eastAsia="Arial" w:hAnsi="Arial"/>
                <w:color w:val="595959"/>
                <w:sz w:val="21"/>
                <w:szCs w:val="21"/>
              </w:rPr>
              <w:t xml:space="preserve">Organ age framework</w:t>
            </w:r>
          </w:p>
        </w:tc>
        <w:tc>
          <w:tcPr>
            <w:tcW w:type="dxa" w:w="41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80"/>
            </w:tcMar>
          </w:tcPr>
          <w:p>
            <w:r>
              <w:rPr>
                <w:rFonts w:ascii="Arial" w:cs="Arial" w:eastAsia="Arial" w:hAnsi="Arial"/>
                <w:b/>
                <w:bCs/>
                <w:color w:val="2E74B5"/>
                <w:sz w:val="22"/>
                <w:szCs w:val="22"/>
              </w:rPr>
              <w:t xml:space="preserve">Zolman 81 Organ Biological Ages &amp; Ageotypes</w:t>
            </w:r>
          </w:p>
        </w:tc>
      </w:tr>
    </w:tbl>
    <w:p>
      <w:r>
        <w:br w:type="page"/>
      </w:r>
    </w:p>
    <w:p>
      <w:pPr>
        <w:pStyle w:val="Heading1"/>
        <w:pBdr>
          <w:bottom w:val="single" w:color="2E74B5" w:sz="6" w:space="6"/>
        </w:pBdr>
        <w:spacing w:after="160" w:before="360"/>
      </w:pPr>
      <w:r>
        <w:rPr>
          <w:rFonts w:ascii="Arial" w:cs="Arial" w:eastAsia="Arial" w:hAnsi="Arial"/>
          <w:b/>
          <w:bCs/>
          <w:color w:val="1B3A6B"/>
          <w:sz w:val="36"/>
          <w:szCs w:val="36"/>
        </w:rPr>
        <w:t xml:space="preserve">The Three-Level Framework</w:t>
      </w:r>
    </w:p>
    <w:p>
      <w:pPr>
        <w:spacing w:after="60" w:before="60"/>
      </w:pPr>
      <w:r>
        <w:rPr>
          <w:rFonts w:ascii="Arial" w:cs="Arial" w:eastAsia="Arial" w:hAnsi="Arial"/>
          <w:b w:val="false"/>
          <w:bCs w:val="false"/>
          <w:color w:val="000000"/>
          <w:sz w:val="22"/>
          <w:szCs w:val="22"/>
        </w:rPr>
        <w:t xml:space="preserve">The protocol is structured into three escalating tiers, each building on the last:</w:t>
      </w:r>
    </w:p>
    <w:p>
      <w:pPr>
        <w:spacing w:after="0" w:before="60"/>
      </w:pPr>
    </w:p>
    <w:p>
      <w:pPr>
        <w:pStyle w:val="Heading2"/>
        <w:spacing w:after="100" w:before="280"/>
      </w:pPr>
      <w:r>
        <w:rPr>
          <w:rFonts w:ascii="Arial" w:cs="Arial" w:eastAsia="Arial" w:hAnsi="Arial"/>
          <w:b/>
          <w:bCs/>
          <w:color w:val="2E74B5"/>
          <w:sz w:val="28"/>
          <w:szCs w:val="28"/>
        </w:rPr>
        <w:t xml:space="preserve">Level 1 — Evidence-Based Essentials</w:t>
      </w:r>
    </w:p>
    <w:p>
      <w:pPr>
        <w:spacing w:after="60" w:before="60"/>
      </w:pPr>
      <w:r>
        <w:rPr>
          <w:rFonts w:ascii="Arial" w:cs="Arial" w:eastAsia="Arial" w:hAnsi="Arial"/>
          <w:b w:val="false"/>
          <w:bCs w:val="false"/>
          <w:color w:val="000000"/>
          <w:sz w:val="22"/>
          <w:szCs w:val="22"/>
        </w:rPr>
        <w:t xml:space="preserve">Comprising 15 components rooted in established clinical evidence, Level 1 targets the most impactful modifiable risk factors for mortality and age-related disease. Full adherence is estimated to extend healthy lifespan by up to 30 years relative to the average Western lifestyle.</w:t>
      </w:r>
    </w:p>
    <w:p>
      <w:pPr>
        <w:spacing w:after="0" w:before="60"/>
      </w:pPr>
    </w:p>
    <w:p>
      <w:pPr>
        <w:spacing w:after="60" w:before="60"/>
      </w:pPr>
      <w:r>
        <w:rPr>
          <w:rFonts w:ascii="Arial" w:cs="Arial" w:eastAsia="Arial" w:hAnsi="Arial"/>
          <w:b w:val="false"/>
          <w:bCs w:val="false"/>
          <w:color w:val="000000"/>
          <w:sz w:val="22"/>
          <w:szCs w:val="22"/>
        </w:rPr>
        <w:t xml:space="preserve">Level 1 differs meaningfully from standard care: WHO and NHS exercise guidelines represent a minimum floor, not a target. The Zolman protocol substantially raises thresholds across exercise volume, dietary quality, blood pressure control, and alcohol elimination.</w:t>
      </w:r>
    </w:p>
    <w:p>
      <w:pPr>
        <w:spacing w:after="0" w:before="80"/>
      </w:pPr>
    </w:p>
    <w:p>
      <w:pPr>
        <w:pStyle w:val="Heading2"/>
        <w:spacing w:after="100" w:before="280"/>
      </w:pPr>
      <w:r>
        <w:rPr>
          <w:rFonts w:ascii="Arial" w:cs="Arial" w:eastAsia="Arial" w:hAnsi="Arial"/>
          <w:b/>
          <w:bCs/>
          <w:color w:val="2E74B5"/>
          <w:sz w:val="28"/>
          <w:szCs w:val="28"/>
        </w:rPr>
        <w:t xml:space="preserve">Level 2 — Optimise Non-Age-Related Factors</w:t>
      </w:r>
    </w:p>
    <w:p>
      <w:pPr>
        <w:spacing w:after="60" w:before="60"/>
      </w:pPr>
      <w:r>
        <w:rPr>
          <w:rFonts w:ascii="Arial" w:cs="Arial" w:eastAsia="Arial" w:hAnsi="Arial"/>
          <w:b w:val="false"/>
          <w:bCs w:val="false"/>
          <w:color w:val="000000"/>
          <w:sz w:val="22"/>
          <w:szCs w:val="22"/>
        </w:rPr>
        <w:t xml:space="preserve">Level 2 addresses health dimensions not directly caused by aging but which interact with longevity. These include advanced hormonal optimisation, genomics and rare monogenic conditions, cognitive enhancement (including lucid dreaming and concentration protocols), recreational drug harm reduction, environmental exposure management, and cutting-edge medical technology such as imaging and biological tracking systems.</w:t>
      </w:r>
    </w:p>
    <w:p>
      <w:pPr>
        <w:spacing w:after="0" w:before="80"/>
      </w:pPr>
    </w:p>
    <w:p>
      <w:pPr>
        <w:pStyle w:val="Heading2"/>
        <w:spacing w:after="100" w:before="280"/>
      </w:pPr>
      <w:r>
        <w:rPr>
          <w:rFonts w:ascii="Arial" w:cs="Arial" w:eastAsia="Arial" w:hAnsi="Arial"/>
          <w:b/>
          <w:bCs/>
          <w:color w:val="2E74B5"/>
          <w:sz w:val="28"/>
          <w:szCs w:val="28"/>
        </w:rPr>
        <w:t xml:space="preserve">Level 3 — Rejuvenate 81 Organ Types</w:t>
      </w:r>
    </w:p>
    <w:p>
      <w:pPr>
        <w:spacing w:after="60" w:before="60"/>
      </w:pPr>
      <w:r>
        <w:rPr>
          <w:rFonts w:ascii="Arial" w:cs="Arial" w:eastAsia="Arial" w:hAnsi="Arial"/>
          <w:b w:val="false"/>
          <w:bCs w:val="false"/>
          <w:color w:val="000000"/>
          <w:sz w:val="22"/>
          <w:szCs w:val="22"/>
        </w:rPr>
        <w:t xml:space="preserve">Level 3 represents the frontier of longevity science: measuring the biological age of each of 81 organ types using the Zolman Biological Age Marker (Z-BAM) criteria, then applying targeted rejuvenation therapies — including gene therapy, stem cells, and experimental biologics — to reverse aging at the organ level. This tier is explicitly described as aiming for theoretically unlimited healthspan extension.</w:t>
      </w:r>
    </w:p>
    <w:p>
      <w:r>
        <w:br w:type="page"/>
      </w:r>
    </w:p>
    <w:p>
      <w:pPr>
        <w:pStyle w:val="Heading1"/>
        <w:pBdr>
          <w:bottom w:val="single" w:color="2E74B5" w:sz="6" w:space="6"/>
        </w:pBdr>
        <w:spacing w:after="160" w:before="360"/>
      </w:pPr>
      <w:r>
        <w:rPr>
          <w:rFonts w:ascii="Arial" w:cs="Arial" w:eastAsia="Arial" w:hAnsi="Arial"/>
          <w:b/>
          <w:bCs/>
          <w:color w:val="1B3A6B"/>
          <w:sz w:val="36"/>
          <w:szCs w:val="36"/>
        </w:rPr>
        <w:t xml:space="preserve">Level 1 — Component Deep Dive</w:t>
      </w:r>
    </w:p>
    <w:p>
      <w:pPr>
        <w:pStyle w:val="Heading2"/>
        <w:spacing w:after="100" w:before="280"/>
      </w:pPr>
      <w:r>
        <w:rPr>
          <w:rFonts w:ascii="Arial" w:cs="Arial" w:eastAsia="Arial" w:hAnsi="Arial"/>
          <w:b/>
          <w:bCs/>
          <w:color w:val="2E74B5"/>
          <w:sz w:val="28"/>
          <w:szCs w:val="28"/>
        </w:rPr>
        <w:t xml:space="preserve">Estimated Longevity Gains by Factor</w:t>
      </w:r>
    </w:p>
    <w:p>
      <w:pPr>
        <w:spacing w:after="60" w:before="60"/>
      </w:pPr>
      <w:r>
        <w:rPr>
          <w:rFonts w:ascii="Arial" w:cs="Arial" w:eastAsia="Arial" w:hAnsi="Arial"/>
          <w:b w:val="false"/>
          <w:bCs w:val="false"/>
          <w:color w:val="000000"/>
          <w:sz w:val="22"/>
          <w:szCs w:val="22"/>
        </w:rPr>
        <w:t xml:space="preserve">The table below summarises the estimated lifespan contributions of the key Level 1 components, based on cited studies and epidemiological evidence: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80"/>
            </w:tcMar>
          </w:tcPr>
          <w:p>
            <w:r>
              <w:rPr>
                <w:rFonts w:ascii="Arial" w:cs="Arial" w:eastAsia="Arial" w:hAnsi="Arial"/>
                <w:b/>
                <w:bCs/>
                <w:color w:val="FFFFFF"/>
                <w:sz w:val="20"/>
                <w:szCs w:val="20"/>
              </w:rPr>
              <w:t xml:space="preserve">Longevity Factor</w:t>
            </w:r>
          </w:p>
        </w:tc>
        <w:tc>
          <w:tcPr>
            <w:tcW w:type="dxa" w:w="25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80"/>
            </w:tcMar>
          </w:tcPr>
          <w:p>
            <w:r>
              <w:rPr>
                <w:rFonts w:ascii="Arial" w:cs="Arial" w:eastAsia="Arial" w:hAnsi="Arial"/>
                <w:b/>
                <w:bCs/>
                <w:color w:val="FFFFFF"/>
                <w:sz w:val="20"/>
                <w:szCs w:val="20"/>
              </w:rPr>
              <w:t xml:space="preserve">Estimated Gain</w:t>
            </w:r>
          </w:p>
        </w:tc>
        <w:tc>
          <w:tcPr>
            <w:tcW w:type="dxa" w:w="258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80"/>
            </w:tcMar>
          </w:tcPr>
          <w:p>
            <w:r>
              <w:rPr>
                <w:rFonts w:ascii="Arial" w:cs="Arial" w:eastAsia="Arial" w:hAnsi="Arial"/>
                <w:b/>
                <w:bCs/>
                <w:color w:val="FFFFFF"/>
                <w:sz w:val="20"/>
                <w:szCs w:val="20"/>
              </w:rPr>
              <w:t xml:space="preserve">Evidence Source</w:t>
            </w:r>
          </w:p>
        </w:tc>
      </w:tr>
      <w:tr>
        <w:tc>
          <w:tcPr>
            <w:tcW w:type="dxa" w:w="42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Smoking cessation</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b/>
                <w:bCs/>
                <w:color w:val="00897B"/>
                <w:sz w:val="20"/>
                <w:szCs w:val="20"/>
              </w:rPr>
              <w:t xml:space="preserve">+10 years</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Highest single impact</w:t>
            </w:r>
          </w:p>
        </w:tc>
      </w:tr>
      <w:tr>
        <w:tc>
          <w:tcPr>
            <w:tcW w:type="dxa" w:w="420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sz w:val="20"/>
                <w:szCs w:val="20"/>
              </w:rPr>
              <w:t xml:space="preserve">Optimal sleep (7-8 hrs, 5 criteria)</w:t>
            </w:r>
          </w:p>
        </w:tc>
        <w:tc>
          <w:tcPr>
            <w:tcW w:type="dxa" w:w="258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b/>
                <w:bCs/>
                <w:color w:val="00897B"/>
                <w:sz w:val="20"/>
                <w:szCs w:val="20"/>
              </w:rPr>
              <w:t xml:space="preserve">+8.7 yrs (men), +6.4 yrs (women)</w:t>
            </w:r>
          </w:p>
        </w:tc>
        <w:tc>
          <w:tcPr>
            <w:tcW w:type="dxa" w:w="258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color w:val="595959"/>
                <w:sz w:val="20"/>
                <w:szCs w:val="20"/>
              </w:rPr>
              <w:t xml:space="preserve">Qian 2023 study</w:t>
            </w:r>
          </w:p>
        </w:tc>
      </w:tr>
      <w:tr>
        <w:tc>
          <w:tcPr>
            <w:tcW w:type="dxa" w:w="42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Mental health optimisation</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b/>
                <w:bCs/>
                <w:color w:val="00897B"/>
                <w:sz w:val="20"/>
                <w:szCs w:val="20"/>
              </w:rPr>
              <w:t xml:space="preserve">~+7 years</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Estimated cumulative gain</w:t>
            </w:r>
          </w:p>
        </w:tc>
      </w:tr>
      <w:tr>
        <w:tc>
          <w:tcPr>
            <w:tcW w:type="dxa" w:w="420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sz w:val="20"/>
                <w:szCs w:val="20"/>
              </w:rPr>
              <w:t xml:space="preserve">Alcohol reduction (2-3+ units/day)</w:t>
            </w:r>
          </w:p>
        </w:tc>
        <w:tc>
          <w:tcPr>
            <w:tcW w:type="dxa" w:w="258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b/>
                <w:bCs/>
                <w:color w:val="00897B"/>
                <w:sz w:val="20"/>
                <w:szCs w:val="20"/>
              </w:rPr>
              <w:t xml:space="preserve">+3-6 years</w:t>
            </w:r>
          </w:p>
        </w:tc>
        <w:tc>
          <w:tcPr>
            <w:tcW w:type="dxa" w:w="258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color w:val="595959"/>
                <w:sz w:val="20"/>
                <w:szCs w:val="20"/>
              </w:rPr>
              <w:t xml:space="preserve">Dose-dependent benefit</w:t>
            </w:r>
          </w:p>
        </w:tc>
      </w:tr>
      <w:tr>
        <w:tc>
          <w:tcPr>
            <w:tcW w:type="dxa" w:w="42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Diet composition (Mediterranean-style)</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b/>
                <w:bCs/>
                <w:color w:val="00897B"/>
                <w:sz w:val="20"/>
                <w:szCs w:val="20"/>
              </w:rPr>
              <w:t xml:space="preserve">~+5 years</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Whole foods, plant-rich</w:t>
            </w:r>
          </w:p>
        </w:tc>
      </w:tr>
      <w:tr>
        <w:tc>
          <w:tcPr>
            <w:tcW w:type="dxa" w:w="420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sz w:val="20"/>
                <w:szCs w:val="20"/>
              </w:rPr>
              <w:t xml:space="preserve">Blood pressure control (&lt;120 systolic)</w:t>
            </w:r>
          </w:p>
        </w:tc>
        <w:tc>
          <w:tcPr>
            <w:tcW w:type="dxa" w:w="258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b/>
                <w:bCs/>
                <w:color w:val="00897B"/>
                <w:sz w:val="20"/>
                <w:szCs w:val="20"/>
              </w:rPr>
              <w:t xml:space="preserve">+3 years</w:t>
            </w:r>
          </w:p>
        </w:tc>
        <w:tc>
          <w:tcPr>
            <w:tcW w:type="dxa" w:w="258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color w:val="595959"/>
                <w:sz w:val="20"/>
                <w:szCs w:val="20"/>
              </w:rPr>
              <w:t xml:space="preserve">SPRINT 10k RCT</w:t>
            </w:r>
          </w:p>
        </w:tc>
      </w:tr>
      <w:tr>
        <w:tc>
          <w:tcPr>
            <w:tcW w:type="dxa" w:w="42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CRON (Caloric Restriction 10-20%)</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b/>
                <w:bCs/>
                <w:color w:val="00897B"/>
                <w:sz w:val="20"/>
                <w:szCs w:val="20"/>
              </w:rPr>
              <w:t xml:space="preserve">+2-3 years (men)</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2-year biological age slowdown</w:t>
            </w:r>
          </w:p>
        </w:tc>
      </w:tr>
      <w:tr>
        <w:tc>
          <w:tcPr>
            <w:tcW w:type="dxa" w:w="420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sz w:val="20"/>
                <w:szCs w:val="20"/>
              </w:rPr>
              <w:t xml:space="preserve">Waist-to-hip ratio below threshold</w:t>
            </w:r>
          </w:p>
        </w:tc>
        <w:tc>
          <w:tcPr>
            <w:tcW w:type="dxa" w:w="258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b/>
                <w:bCs/>
                <w:color w:val="00897B"/>
                <w:sz w:val="20"/>
                <w:szCs w:val="20"/>
              </w:rPr>
              <w:t xml:space="preserve">+2 years</w:t>
            </w:r>
          </w:p>
        </w:tc>
        <w:tc>
          <w:tcPr>
            <w:tcW w:type="dxa" w:w="258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color w:val="595959"/>
                <w:sz w:val="20"/>
                <w:szCs w:val="20"/>
              </w:rPr>
              <w:t xml:space="preserve">Waist &lt; hips imperative</w:t>
            </w:r>
          </w:p>
        </w:tc>
      </w:tr>
      <w:tr>
        <w:tc>
          <w:tcPr>
            <w:tcW w:type="dxa" w:w="42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B12, Folate &amp; Vitamin D optimisation</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b/>
                <w:bCs/>
                <w:color w:val="00897B"/>
                <w:sz w:val="20"/>
                <w:szCs w:val="20"/>
              </w:rPr>
              <w:t xml:space="preserve">Supporting</w:t>
            </w:r>
          </w:p>
        </w:tc>
        <w:tc>
          <w:tcPr>
            <w:tcW w:type="dxa" w:w="258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Key baseline tests</w:t>
            </w:r>
          </w:p>
        </w:tc>
      </w:tr>
    </w:tbl>
    <w:p>
      <w:pPr>
        <w:spacing w:after="0" w:before="100"/>
      </w:pPr>
    </w:p>
    <w:p>
      <w:pPr>
        <w:spacing w:after="60" w:before="60"/>
      </w:pPr>
      <w:r>
        <w:rPr>
          <w:rFonts w:ascii="Arial" w:cs="Arial" w:eastAsia="Arial" w:hAnsi="Arial"/>
          <w:b w:val="false"/>
          <w:bCs w:val="false"/>
          <w:color w:val="595959"/>
          <w:sz w:val="22"/>
          <w:szCs w:val="22"/>
        </w:rPr>
        <w:t xml:space="preserve">The cumulative effect of combining all factors is estimated at up to 30 additional years. The Yanping 2018 USA study (34-year follow-up) is cited as a key supporting reference for this stacking effect.</w:t>
      </w:r>
    </w:p>
    <w:p>
      <w:pPr>
        <w:spacing w:after="0" w:before="160"/>
      </w:pPr>
    </w:p>
    <w:p>
      <w:pPr>
        <w:pStyle w:val="Heading2"/>
        <w:spacing w:after="100" w:before="280"/>
      </w:pPr>
      <w:r>
        <w:rPr>
          <w:rFonts w:ascii="Arial" w:cs="Arial" w:eastAsia="Arial" w:hAnsi="Arial"/>
          <w:b/>
          <w:bCs/>
          <w:color w:val="2E74B5"/>
          <w:sz w:val="28"/>
          <w:szCs w:val="28"/>
        </w:rPr>
        <w:t xml:space="preserve">Key Level 1 Components</w:t>
      </w:r>
    </w:p>
    <w:p>
      <w:pPr>
        <w:pStyle w:val="Heading3"/>
        <w:spacing w:after="80" w:before="200"/>
      </w:pPr>
      <w:r>
        <w:rPr>
          <w:rFonts w:ascii="Arial" w:cs="Arial" w:eastAsia="Arial" w:hAnsi="Arial"/>
          <w:b/>
          <w:bCs/>
          <w:color w:val="00897B"/>
          <w:sz w:val="24"/>
          <w:szCs w:val="24"/>
        </w:rPr>
        <w:t xml:space="preserve">Smoking</w:t>
      </w:r>
    </w:p>
    <w:p>
      <w:pPr>
        <w:spacing w:after="60" w:before="60"/>
      </w:pPr>
      <w:r>
        <w:rPr>
          <w:rFonts w:ascii="Arial" w:cs="Arial" w:eastAsia="Arial" w:hAnsi="Arial"/>
          <w:b w:val="false"/>
          <w:bCs w:val="false"/>
          <w:color w:val="000000"/>
          <w:sz w:val="22"/>
          <w:szCs w:val="22"/>
        </w:rPr>
        <w:t xml:space="preserve">Smoking cessation is the single highest-impact intervention at an estimated +10 years of life. The slides also address second-hand smoke and third-hand smoke (residue in hotel rooms, homes) as underappreciated risks, with hotel dust from smoking rooms carrying significantly higher carcinogen levels.</w:t>
      </w:r>
    </w:p>
    <w:p>
      <w:pPr>
        <w:pStyle w:val="Heading3"/>
        <w:spacing w:after="80" w:before="200"/>
      </w:pPr>
      <w:r>
        <w:rPr>
          <w:rFonts w:ascii="Arial" w:cs="Arial" w:eastAsia="Arial" w:hAnsi="Arial"/>
          <w:b/>
          <w:bCs/>
          <w:color w:val="00897B"/>
          <w:sz w:val="24"/>
          <w:szCs w:val="24"/>
        </w:rPr>
        <w:t xml:space="preserve">Sleep</w:t>
      </w:r>
    </w:p>
    <w:p>
      <w:pPr>
        <w:spacing w:after="60" w:before="60"/>
      </w:pPr>
      <w:r>
        <w:rPr>
          <w:rFonts w:ascii="Arial" w:cs="Arial" w:eastAsia="Arial" w:hAnsi="Arial"/>
          <w:b w:val="false"/>
          <w:bCs w:val="false"/>
          <w:color w:val="000000"/>
          <w:sz w:val="22"/>
          <w:szCs w:val="22"/>
        </w:rPr>
        <w:t xml:space="preserve">Based on the Qian 2023 study, the protocol defines five optimal sleep criteria: 7-8 hours per night, falling asleep within a reasonable time no more than 3 times per week, staying asleep with minimal disruption, no sleep medication use, and feeling rested at least 5 days per week. Achieving all five yields +8.7 years for men and +6.4 years for women versus scoring 0/5.</w:t>
      </w:r>
    </w:p>
    <w:p>
      <w:pPr>
        <w:pStyle w:val="Heading3"/>
        <w:spacing w:after="80" w:before="200"/>
      </w:pPr>
      <w:r>
        <w:rPr>
          <w:rFonts w:ascii="Arial" w:cs="Arial" w:eastAsia="Arial" w:hAnsi="Arial"/>
          <w:b/>
          <w:bCs/>
          <w:color w:val="00897B"/>
          <w:sz w:val="24"/>
          <w:szCs w:val="24"/>
        </w:rPr>
        <w:t xml:space="preserve">Exercise</w:t>
      </w:r>
    </w:p>
    <w:p>
      <w:pPr>
        <w:spacing w:after="60" w:before="60"/>
      </w:pPr>
      <w:r>
        <w:rPr>
          <w:rFonts w:ascii="Arial" w:cs="Arial" w:eastAsia="Arial" w:hAnsi="Arial"/>
          <w:b w:val="false"/>
          <w:bCs w:val="false"/>
          <w:color w:val="000000"/>
          <w:sz w:val="22"/>
          <w:szCs w:val="22"/>
        </w:rPr>
        <w:t xml:space="preserve">The protocol targets 6+ hours of moderate-to-vigorous physical activity per week — substantially above standard guidelines. It distinguishes moderate activity (brisk walking above 6 km/h, cycling 8-16 km/h, housework, badminton) from vigorous activity, and strongly recommends using a chest-strap heart rate monitor rather than wrist or finger devices for accuracy.</w:t>
      </w:r>
    </w:p>
    <w:p>
      <w:pPr>
        <w:spacing w:after="0" w:before="40"/>
      </w:pPr>
    </w:p>
    <w:p>
      <w:pPr>
        <w:spacing w:after="60" w:before="60"/>
      </w:pPr>
      <w:r>
        <w:rPr>
          <w:rFonts w:ascii="Arial" w:cs="Arial" w:eastAsia="Arial" w:hAnsi="Arial"/>
          <w:b w:val="false"/>
          <w:bCs w:val="false"/>
          <w:color w:val="000000"/>
          <w:sz w:val="22"/>
          <w:szCs w:val="22"/>
        </w:rPr>
        <w:t xml:space="preserve">On safety: evidence suggests that even high volumes of vigorous exercise (beyond 2.5 hours weekly) are safe for most people, based on dose-response mortality data cited in the presentation.</w:t>
      </w:r>
    </w:p>
    <w:p>
      <w:pPr>
        <w:pStyle w:val="Heading3"/>
        <w:spacing w:after="80" w:before="200"/>
      </w:pPr>
      <w:r>
        <w:rPr>
          <w:rFonts w:ascii="Arial" w:cs="Arial" w:eastAsia="Arial" w:hAnsi="Arial"/>
          <w:b/>
          <w:bCs/>
          <w:color w:val="00897B"/>
          <w:sz w:val="24"/>
          <w:szCs w:val="24"/>
        </w:rPr>
        <w:t xml:space="preserve">VO2 Max</w:t>
      </w:r>
    </w:p>
    <w:p>
      <w:pPr>
        <w:spacing w:after="60" w:before="60"/>
      </w:pPr>
      <w:r>
        <w:rPr>
          <w:rFonts w:ascii="Arial" w:cs="Arial" w:eastAsia="Arial" w:hAnsi="Arial"/>
          <w:b w:val="false"/>
          <w:bCs w:val="false"/>
          <w:color w:val="000000"/>
          <w:sz w:val="22"/>
          <w:szCs w:val="22"/>
        </w:rPr>
        <w:t xml:space="preserve">VO2 max is treated as a critical aging biomarker. The presentation cites evidence that each 1 mL/kg/min increase in VO2 max corresponds to approximately 45 additional days of lifespan. Tracking and improving VO2 max through structured training is therefore a primary goal.</w:t>
      </w:r>
    </w:p>
    <w:p>
      <w:pPr>
        <w:pStyle w:val="Heading3"/>
        <w:spacing w:after="80" w:before="200"/>
      </w:pPr>
      <w:r>
        <w:rPr>
          <w:rFonts w:ascii="Arial" w:cs="Arial" w:eastAsia="Arial" w:hAnsi="Arial"/>
          <w:b/>
          <w:bCs/>
          <w:color w:val="00897B"/>
          <w:sz w:val="24"/>
          <w:szCs w:val="24"/>
        </w:rPr>
        <w:t xml:space="preserve">Blood Pressure</w:t>
      </w:r>
    </w:p>
    <w:p>
      <w:pPr>
        <w:spacing w:after="60" w:before="60"/>
      </w:pPr>
      <w:r>
        <w:rPr>
          <w:rFonts w:ascii="Arial" w:cs="Arial" w:eastAsia="Arial" w:hAnsi="Arial"/>
          <w:b w:val="false"/>
          <w:bCs w:val="false"/>
          <w:color w:val="000000"/>
          <w:sz w:val="22"/>
          <w:szCs w:val="22"/>
        </w:rPr>
        <w:t xml:space="preserve">The target is 110/70 mmHg based on home readings (average of 3 readings over 2-3 weeks). The SPRINT 10k RCT is cited showing that achieving optimal systolic blood pressure below 120 versus 140 mmHg yields approximately +3 years, with the benefit dependent on when intervention begins.</w:t>
      </w:r>
    </w:p>
    <w:p>
      <w:pPr>
        <w:pStyle w:val="Heading3"/>
        <w:spacing w:after="80" w:before="200"/>
      </w:pPr>
      <w:r>
        <w:rPr>
          <w:rFonts w:ascii="Arial" w:cs="Arial" w:eastAsia="Arial" w:hAnsi="Arial"/>
          <w:b/>
          <w:bCs/>
          <w:color w:val="00897B"/>
          <w:sz w:val="24"/>
          <w:szCs w:val="24"/>
        </w:rPr>
        <w:t xml:space="preserve">Diet Composition</w:t>
      </w:r>
    </w:p>
    <w:p>
      <w:pPr>
        <w:spacing w:after="60" w:before="60"/>
      </w:pPr>
      <w:r>
        <w:rPr>
          <w:rFonts w:ascii="Arial" w:cs="Arial" w:eastAsia="Arial" w:hAnsi="Arial"/>
          <w:b w:val="false"/>
          <w:bCs w:val="false"/>
          <w:color w:val="000000"/>
          <w:sz w:val="22"/>
          <w:szCs w:val="22"/>
        </w:rPr>
        <w:t xml:space="preserve">An estimated +5 years is attributed to dietary quality. The protocol favours a predominantly whole-food, plant-rich diet: 400g+ vegetables daily (excluding white potatoes), moderate fruit (100-150g), legumes, whole grains, nuts and seeds. A colour-coded system is used: blue for beneficial foods, yellow for foods to minimise.</w:t>
      </w:r>
    </w:p>
    <w:p>
      <w:pPr>
        <w:pStyle w:val="Heading3"/>
        <w:spacing w:after="80" w:before="200"/>
      </w:pPr>
      <w:r>
        <w:rPr>
          <w:rFonts w:ascii="Arial" w:cs="Arial" w:eastAsia="Arial" w:hAnsi="Arial"/>
          <w:b/>
          <w:bCs/>
          <w:color w:val="00897B"/>
          <w:sz w:val="24"/>
          <w:szCs w:val="24"/>
        </w:rPr>
        <w:t xml:space="preserve">CRON — Caloric Restriction Optimal Nutrition</w:t>
      </w:r>
    </w:p>
    <w:p>
      <w:pPr>
        <w:spacing w:after="60" w:before="60"/>
      </w:pPr>
      <w:r>
        <w:rPr>
          <w:rFonts w:ascii="Arial" w:cs="Arial" w:eastAsia="Arial" w:hAnsi="Arial"/>
          <w:b w:val="false"/>
          <w:bCs w:val="false"/>
          <w:color w:val="000000"/>
          <w:sz w:val="22"/>
          <w:szCs w:val="22"/>
        </w:rPr>
        <w:t xml:space="preserve">CRON involves a 10-20% caloric deficit while maintaining nutritional completeness. Key evidence includes:</w:t>
      </w:r>
    </w:p>
    <w:p>
      <w:pPr>
        <w:pStyle w:val="ListParagraph"/>
        <w:numPr>
          <w:ilvl w:val="0"/>
          <w:numId w:val="2"/>
        </w:numPr>
        <w:spacing w:after="40" w:before="40"/>
      </w:pPr>
      <w:r>
        <w:rPr>
          <w:rFonts w:ascii="Arial" w:cs="Arial" w:eastAsia="Arial" w:hAnsi="Arial"/>
          <w:sz w:val="21"/>
          <w:szCs w:val="21"/>
        </w:rPr>
        <w:t xml:space="preserve">Primate studies: caloric restriction increased median lifespan from 29 to 41 years in non-human primates, with 41% greater probability of reaching monkey age 40</w:t>
      </w:r>
    </w:p>
    <w:p>
      <w:pPr>
        <w:pStyle w:val="ListParagraph"/>
        <w:numPr>
          <w:ilvl w:val="0"/>
          <w:numId w:val="2"/>
        </w:numPr>
        <w:spacing w:after="40" w:before="40"/>
      </w:pPr>
      <w:r>
        <w:rPr>
          <w:rFonts w:ascii="Arial" w:cs="Arial" w:eastAsia="Arial" w:hAnsi="Arial"/>
          <w:sz w:val="21"/>
          <w:szCs w:val="21"/>
        </w:rPr>
        <w:t xml:space="preserve">Human RCT (2017): 2-year biological age slowdown observed in healthy adults aged 21-50 on CRON</w:t>
      </w:r>
    </w:p>
    <w:p>
      <w:pPr>
        <w:pStyle w:val="ListParagraph"/>
        <w:numPr>
          <w:ilvl w:val="0"/>
          <w:numId w:val="2"/>
        </w:numPr>
        <w:spacing w:after="40" w:before="40"/>
      </w:pPr>
      <w:r>
        <w:rPr>
          <w:rFonts w:ascii="Arial" w:cs="Arial" w:eastAsia="Arial" w:hAnsi="Arial"/>
          <w:sz w:val="21"/>
          <w:szCs w:val="21"/>
        </w:rPr>
        <w:t xml:space="preserve">CRON shown effective in BMI range 22-28, challenging the assumption it is only for those with excess weight</w:t>
      </w:r>
    </w:p>
    <w:p>
      <w:pPr>
        <w:spacing w:after="0" w:before="60"/>
      </w:pPr>
    </w:p>
    <w:p>
      <w:pPr>
        <w:spacing w:after="60" w:before="60"/>
      </w:pPr>
      <w:r>
        <w:rPr>
          <w:rFonts w:ascii="Arial" w:cs="Arial" w:eastAsia="Arial" w:hAnsi="Arial"/>
          <w:b w:val="false"/>
          <w:bCs w:val="false"/>
          <w:color w:val="000000"/>
          <w:sz w:val="22"/>
          <w:szCs w:val="22"/>
        </w:rPr>
        <w:t xml:space="preserve">Case studies cited: David Fisher (age 61, started CRON at 30, 1,700 kcal/day, zero coronary calcium score) and Michael Rae (age 49, started CRON at 30, BMI 15.7, 1,900 kcal/day).</w:t>
      </w:r>
    </w:p>
    <w:p>
      <w:pPr>
        <w:pStyle w:val="Heading3"/>
        <w:spacing w:after="80" w:before="200"/>
      </w:pPr>
      <w:r>
        <w:rPr>
          <w:rFonts w:ascii="Arial" w:cs="Arial" w:eastAsia="Arial" w:hAnsi="Arial"/>
          <w:b/>
          <w:bCs/>
          <w:color w:val="00897B"/>
          <w:sz w:val="24"/>
          <w:szCs w:val="24"/>
        </w:rPr>
        <w:t xml:space="preserve">BMI and Body Composition</w:t>
      </w:r>
    </w:p>
    <w:p>
      <w:pPr>
        <w:spacing w:after="60" w:before="60"/>
      </w:pPr>
      <w:r>
        <w:rPr>
          <w:rFonts w:ascii="Arial" w:cs="Arial" w:eastAsia="Arial" w:hAnsi="Arial"/>
          <w:b w:val="false"/>
          <w:bCs w:val="false"/>
          <w:color w:val="000000"/>
          <w:sz w:val="22"/>
          <w:szCs w:val="22"/>
        </w:rPr>
        <w:t xml:space="preserve">Target BMI: 18.5-22.5 (non-Caucasian reference range). Body fat targets: 15% maximum for men, 27% maximum for women, measured via bioimpedance (BIA scales). Waist-to-hip ratio is flagged as extremely important — waist must be less than hips — with visual risk scales provided.</w:t>
      </w:r>
    </w:p>
    <w:p>
      <w:pPr>
        <w:pStyle w:val="Heading3"/>
        <w:spacing w:after="80" w:before="200"/>
      </w:pPr>
      <w:r>
        <w:rPr>
          <w:rFonts w:ascii="Arial" w:cs="Arial" w:eastAsia="Arial" w:hAnsi="Arial"/>
          <w:b/>
          <w:bCs/>
          <w:color w:val="00897B"/>
          <w:sz w:val="24"/>
          <w:szCs w:val="24"/>
        </w:rPr>
        <w:t xml:space="preserve">Key Vitamins</w:t>
      </w:r>
    </w:p>
    <w:p>
      <w:pPr>
        <w:spacing w:after="60" w:before="60"/>
      </w:pPr>
      <w:r>
        <w:rPr>
          <w:rFonts w:ascii="Arial" w:cs="Arial" w:eastAsia="Arial" w:hAnsi="Arial"/>
          <w:b w:val="false"/>
          <w:bCs w:val="false"/>
          <w:color w:val="000000"/>
          <w:sz w:val="22"/>
          <w:szCs w:val="22"/>
        </w:rPr>
        <w:t xml:space="preserve">Three baseline vitamin tests are presented as essential: B12 target of 500+ pg/mL (370+ pmol/L); Folate 7+ ug/L (15+ nmol/L, methylfolate preferred); Vitamin D 75-125 nmol/L (30-50 ng/mL).</w:t>
      </w:r>
    </w:p>
    <w:p>
      <w:pPr>
        <w:pStyle w:val="Heading3"/>
        <w:spacing w:after="80" w:before="200"/>
      </w:pPr>
      <w:r>
        <w:rPr>
          <w:rFonts w:ascii="Arial" w:cs="Arial" w:eastAsia="Arial" w:hAnsi="Arial"/>
          <w:b/>
          <w:bCs/>
          <w:color w:val="00897B"/>
          <w:sz w:val="24"/>
          <w:szCs w:val="24"/>
        </w:rPr>
        <w:t xml:space="preserve">Hormones</w:t>
      </w:r>
    </w:p>
    <w:p>
      <w:pPr>
        <w:spacing w:after="60" w:before="60"/>
      </w:pPr>
      <w:r>
        <w:rPr>
          <w:rFonts w:ascii="Arial" w:cs="Arial" w:eastAsia="Arial" w:hAnsi="Arial"/>
          <w:b w:val="false"/>
          <w:bCs w:val="false"/>
          <w:color w:val="000000"/>
          <w:sz w:val="22"/>
          <w:szCs w:val="22"/>
        </w:rPr>
        <w:t xml:space="preserve">Sex hormone optimisation is included as a Level 1 component. For men: free testosterone 0.4-0.6 nmol/L via gel or HCG plus clomiphene to restore natural production. For women: bioidentical hormone replacement therapy. The identical twins HRT case study is presented — 22 years of HRT from age 49 in one twin resulted in a biological age 7 years younger versus her twin with the same BMI.</w:t>
      </w:r>
    </w:p>
    <w:p>
      <w:pPr>
        <w:pStyle w:val="Heading3"/>
        <w:spacing w:after="80" w:before="200"/>
      </w:pPr>
      <w:r>
        <w:rPr>
          <w:rFonts w:ascii="Arial" w:cs="Arial" w:eastAsia="Arial" w:hAnsi="Arial"/>
          <w:b/>
          <w:bCs/>
          <w:color w:val="00897B"/>
          <w:sz w:val="24"/>
          <w:szCs w:val="24"/>
        </w:rPr>
        <w:t xml:space="preserve">Oral Health</w:t>
      </w:r>
    </w:p>
    <w:p>
      <w:pPr>
        <w:spacing w:after="60" w:before="60"/>
      </w:pPr>
      <w:r>
        <w:rPr>
          <w:rFonts w:ascii="Arial" w:cs="Arial" w:eastAsia="Arial" w:hAnsi="Arial"/>
          <w:b w:val="false"/>
          <w:bCs w:val="false"/>
          <w:color w:val="000000"/>
          <w:sz w:val="22"/>
          <w:szCs w:val="22"/>
        </w:rPr>
        <w:t xml:space="preserve">A comprehensive oral health programme is recommended including: high-quality electric toothbrush (Sonicare/Oclean), professional teeth whitening, SmartFloss expanding microbeads floss, and regular dental hygienist appointments (scaling, root planing, air polishing). Tools such as the Invisalign equivalent and QR-based calculators are referenced.</w:t>
      </w:r>
    </w:p>
    <w:p>
      <w:pPr>
        <w:pStyle w:val="Heading3"/>
        <w:spacing w:after="80" w:before="200"/>
      </w:pPr>
      <w:r>
        <w:rPr>
          <w:rFonts w:ascii="Arial" w:cs="Arial" w:eastAsia="Arial" w:hAnsi="Arial"/>
          <w:b/>
          <w:bCs/>
          <w:color w:val="00897B"/>
          <w:sz w:val="24"/>
          <w:szCs w:val="24"/>
        </w:rPr>
        <w:t xml:space="preserve">Mental Health</w:t>
      </w:r>
    </w:p>
    <w:p>
      <w:pPr>
        <w:spacing w:after="60" w:before="60"/>
      </w:pPr>
      <w:r>
        <w:rPr>
          <w:rFonts w:ascii="Arial" w:cs="Arial" w:eastAsia="Arial" w:hAnsi="Arial"/>
          <w:b w:val="false"/>
          <w:bCs w:val="false"/>
          <w:color w:val="000000"/>
          <w:sz w:val="22"/>
          <w:szCs w:val="22"/>
        </w:rPr>
        <w:t xml:space="preserve">Mental health is listed as a Level 1 component with an estimated ~7-year longevity impact. No specific interventions are detailed in the extracted slides, suggesting this is covered in a dedicated sub-module.</w:t>
      </w:r>
    </w:p>
    <w:p>
      <w:pPr>
        <w:pStyle w:val="Heading3"/>
        <w:spacing w:after="80" w:before="200"/>
      </w:pPr>
      <w:r>
        <w:rPr>
          <w:rFonts w:ascii="Arial" w:cs="Arial" w:eastAsia="Arial" w:hAnsi="Arial"/>
          <w:b/>
          <w:bCs/>
          <w:color w:val="00897B"/>
          <w:sz w:val="24"/>
          <w:szCs w:val="24"/>
        </w:rPr>
        <w:t xml:space="preserve">Pure Air</w:t>
      </w:r>
    </w:p>
    <w:p>
      <w:pPr>
        <w:spacing w:after="60" w:before="60"/>
      </w:pPr>
      <w:r>
        <w:rPr>
          <w:rFonts w:ascii="Arial" w:cs="Arial" w:eastAsia="Arial" w:hAnsi="Arial"/>
          <w:b w:val="false"/>
          <w:bCs w:val="false"/>
          <w:color w:val="000000"/>
          <w:sz w:val="22"/>
          <w:szCs w:val="22"/>
        </w:rPr>
        <w:t xml:space="preserve">Air quality is a Level 1 component. The Awair Element air quality monitor is specifically recommended for real-time indoor air quality tracking and personalised tips. Third-hand smoke in indoor environments (hotels, homes) is highlighted as a significant underappreciated risk.</w:t>
      </w:r>
    </w:p>
    <w:p>
      <w:pPr>
        <w:pStyle w:val="Heading3"/>
        <w:spacing w:after="80" w:before="200"/>
      </w:pPr>
      <w:r>
        <w:rPr>
          <w:rFonts w:ascii="Arial" w:cs="Arial" w:eastAsia="Arial" w:hAnsi="Arial"/>
          <w:b/>
          <w:bCs/>
          <w:color w:val="00897B"/>
          <w:sz w:val="24"/>
          <w:szCs w:val="24"/>
        </w:rPr>
        <w:t xml:space="preserve">Guideline Recommended Screening Tests</w:t>
      </w:r>
    </w:p>
    <w:p>
      <w:pPr>
        <w:spacing w:after="60" w:before="60"/>
      </w:pPr>
      <w:r>
        <w:rPr>
          <w:rFonts w:ascii="Arial" w:cs="Arial" w:eastAsia="Arial" w:hAnsi="Arial"/>
          <w:b w:val="false"/>
          <w:bCs w:val="false"/>
          <w:color w:val="000000"/>
          <w:sz w:val="22"/>
          <w:szCs w:val="22"/>
        </w:rPr>
        <w:t xml:space="preserve">The protocol integrates all relevant evidence-based screening recommendations. A personalised calculator is available at oliverzolman.com/calculators (also accessible via QR code). 500+ biological age clocks are referenced as part of the broader monitoring framework — including VO2 max, grip strength, heart ultrasound age, pulse wave velocity (PWV), and VISIA face scan.</w:t>
      </w:r>
    </w:p>
    <w:p>
      <w:r>
        <w:br w:type="page"/>
      </w:r>
    </w:p>
    <w:p>
      <w:pPr>
        <w:pStyle w:val="Heading1"/>
        <w:pBdr>
          <w:bottom w:val="single" w:color="2E74B5" w:sz="6" w:space="6"/>
        </w:pBdr>
        <w:spacing w:after="160" w:before="360"/>
      </w:pPr>
      <w:r>
        <w:rPr>
          <w:rFonts w:ascii="Arial" w:cs="Arial" w:eastAsia="Arial" w:hAnsi="Arial"/>
          <w:b/>
          <w:bCs/>
          <w:color w:val="1B3A6B"/>
          <w:sz w:val="36"/>
          <w:szCs w:val="36"/>
        </w:rPr>
        <w:t xml:space="preserve">Level 2 — Non-Age-Related Factor Optimisation</w:t>
      </w:r>
    </w:p>
    <w:p>
      <w:pPr>
        <w:spacing w:after="60" w:before="60"/>
      </w:pPr>
      <w:r>
        <w:rPr>
          <w:rFonts w:ascii="Arial" w:cs="Arial" w:eastAsia="Arial" w:hAnsi="Arial"/>
          <w:b w:val="false"/>
          <w:bCs w:val="false"/>
          <w:color w:val="000000"/>
          <w:sz w:val="22"/>
          <w:szCs w:val="22"/>
        </w:rPr>
        <w:t xml:space="preserve">Level 2 goes beyond the proven pillars of Level 1 to address individual biological, cognitive, and environmental factors that interact with healthy aging. The key domains are:</w:t>
      </w:r>
    </w:p>
    <w:p>
      <w:pPr>
        <w:spacing w:after="0" w:before="60"/>
      </w:pPr>
    </w:p>
    <w:p>
      <w:pPr>
        <w:pStyle w:val="ListParagraph"/>
        <w:numPr>
          <w:ilvl w:val="0"/>
          <w:numId w:val="2"/>
        </w:numPr>
        <w:spacing w:after="40" w:before="40"/>
      </w:pPr>
      <w:r>
        <w:rPr>
          <w:rFonts w:ascii="Arial" w:cs="Arial" w:eastAsia="Arial" w:hAnsi="Arial"/>
          <w:sz w:val="21"/>
          <w:szCs w:val="21"/>
        </w:rPr>
        <w:t xml:space="preserve">Your Health Biology: advanced diagnostics and personalised baseline profiling</w:t>
      </w:r>
    </w:p>
    <w:p>
      <w:pPr>
        <w:pStyle w:val="ListParagraph"/>
        <w:numPr>
          <w:ilvl w:val="0"/>
          <w:numId w:val="2"/>
        </w:numPr>
        <w:spacing w:after="40" w:before="40"/>
      </w:pPr>
      <w:r>
        <w:rPr>
          <w:rFonts w:ascii="Arial" w:cs="Arial" w:eastAsia="Arial" w:hAnsi="Arial"/>
          <w:sz w:val="21"/>
          <w:szCs w:val="21"/>
        </w:rPr>
        <w:t xml:space="preserve">Genomics: identification of rare monogenic conditions and pharmacogenomics</w:t>
      </w:r>
    </w:p>
    <w:p>
      <w:pPr>
        <w:pStyle w:val="ListParagraph"/>
        <w:numPr>
          <w:ilvl w:val="0"/>
          <w:numId w:val="2"/>
        </w:numPr>
        <w:spacing w:after="40" w:before="40"/>
      </w:pPr>
      <w:r>
        <w:rPr>
          <w:rFonts w:ascii="Arial" w:cs="Arial" w:eastAsia="Arial" w:hAnsi="Arial"/>
          <w:sz w:val="21"/>
          <w:szCs w:val="21"/>
        </w:rPr>
        <w:t xml:space="preserve">Optimal Non-Age-Related Condition Diagnosis &amp; Treatment: systematic diagnosis of all treatable conditions</w:t>
      </w:r>
    </w:p>
    <w:p>
      <w:pPr>
        <w:pStyle w:val="ListParagraph"/>
        <w:numPr>
          <w:ilvl w:val="0"/>
          <w:numId w:val="2"/>
        </w:numPr>
        <w:spacing w:after="40" w:before="40"/>
      </w:pPr>
      <w:r>
        <w:rPr>
          <w:rFonts w:ascii="Arial" w:cs="Arial" w:eastAsia="Arial" w:hAnsi="Arial"/>
          <w:sz w:val="21"/>
          <w:szCs w:val="21"/>
        </w:rPr>
        <w:t xml:space="preserve">Cognitive Enhancement: lucid dreaming, concentration protocols, and brain health optimisation</w:t>
      </w:r>
    </w:p>
    <w:p>
      <w:pPr>
        <w:pStyle w:val="ListParagraph"/>
        <w:numPr>
          <w:ilvl w:val="0"/>
          <w:numId w:val="2"/>
        </w:numPr>
        <w:spacing w:after="40" w:before="40"/>
      </w:pPr>
      <w:r>
        <w:rPr>
          <w:rFonts w:ascii="Arial" w:cs="Arial" w:eastAsia="Arial" w:hAnsi="Arial"/>
          <w:sz w:val="21"/>
          <w:szCs w:val="21"/>
        </w:rPr>
        <w:t xml:space="preserve">Sex &amp; Sexual Health: hormonal and sexual health beyond basic Level 1 targets</w:t>
      </w:r>
    </w:p>
    <w:p>
      <w:pPr>
        <w:pStyle w:val="ListParagraph"/>
        <w:numPr>
          <w:ilvl w:val="0"/>
          <w:numId w:val="2"/>
        </w:numPr>
        <w:spacing w:after="40" w:before="40"/>
      </w:pPr>
      <w:r>
        <w:rPr>
          <w:rFonts w:ascii="Arial" w:cs="Arial" w:eastAsia="Arial" w:hAnsi="Arial"/>
          <w:sz w:val="21"/>
          <w:szCs w:val="21"/>
        </w:rPr>
        <w:t xml:space="preserve">Technology: advanced imaging systems, continuous glucose monitoring (CGM), and data tracking</w:t>
      </w:r>
    </w:p>
    <w:p>
      <w:pPr>
        <w:pStyle w:val="ListParagraph"/>
        <w:numPr>
          <w:ilvl w:val="0"/>
          <w:numId w:val="2"/>
        </w:numPr>
        <w:spacing w:after="40" w:before="40"/>
      </w:pPr>
      <w:r>
        <w:rPr>
          <w:rFonts w:ascii="Arial" w:cs="Arial" w:eastAsia="Arial" w:hAnsi="Arial"/>
          <w:sz w:val="21"/>
          <w:szCs w:val="21"/>
        </w:rPr>
        <w:t xml:space="preserve">Recreational Drug Protocols: harm reduction frameworks</w:t>
      </w:r>
    </w:p>
    <w:p>
      <w:pPr>
        <w:pStyle w:val="ListParagraph"/>
        <w:numPr>
          <w:ilvl w:val="0"/>
          <w:numId w:val="2"/>
        </w:numPr>
        <w:spacing w:after="40" w:before="40"/>
      </w:pPr>
      <w:r>
        <w:rPr>
          <w:rFonts w:ascii="Arial" w:cs="Arial" w:eastAsia="Arial" w:hAnsi="Arial"/>
          <w:sz w:val="21"/>
          <w:szCs w:val="21"/>
        </w:rPr>
        <w:t xml:space="preserve">Environmental Exposure: minimising toxic load and optimising built environment</w:t>
      </w:r>
    </w:p>
    <w:p>
      <w:pPr>
        <w:pStyle w:val="ListParagraph"/>
        <w:numPr>
          <w:ilvl w:val="0"/>
          <w:numId w:val="2"/>
        </w:numPr>
        <w:spacing w:after="40" w:before="40"/>
      </w:pPr>
      <w:r>
        <w:rPr>
          <w:rFonts w:ascii="Arial" w:cs="Arial" w:eastAsia="Arial" w:hAnsi="Arial"/>
          <w:sz w:val="21"/>
          <w:szCs w:val="21"/>
        </w:rPr>
        <w:t xml:space="preserve">Avoiding Harm: evidence-based risk avoidance</w:t>
      </w:r>
    </w:p>
    <w:p>
      <w:pPr>
        <w:pStyle w:val="ListParagraph"/>
        <w:numPr>
          <w:ilvl w:val="0"/>
          <w:numId w:val="2"/>
        </w:numPr>
        <w:spacing w:after="40" w:before="40"/>
      </w:pPr>
      <w:r>
        <w:rPr>
          <w:rFonts w:ascii="Arial" w:cs="Arial" w:eastAsia="Arial" w:hAnsi="Arial"/>
          <w:sz w:val="21"/>
          <w:szCs w:val="21"/>
        </w:rPr>
        <w:t xml:space="preserve">Resilience Medicine Skills: applied evidence-based medicine capabilities</w:t>
      </w:r>
    </w:p>
    <w:p>
      <w:pPr>
        <w:spacing w:after="0" w:before="100"/>
      </w:pPr>
    </w:p>
    <w:p>
      <w:pPr>
        <w:spacing w:after="60" w:before="60"/>
      </w:pPr>
      <w:r>
        <w:rPr>
          <w:rFonts w:ascii="Arial" w:cs="Arial" w:eastAsia="Arial" w:hAnsi="Arial"/>
          <w:b w:val="false"/>
          <w:bCs w:val="false"/>
          <w:color w:val="000000"/>
          <w:sz w:val="22"/>
          <w:szCs w:val="22"/>
        </w:rPr>
        <w:t xml:space="preserve">Level 2 case study — Michael Rae (age 49): BMI 15.7, weight 52 kg, 1,900 kcal/day for 19 years, daily cronometer tracking, tailored supplementation, likely all Level 1 and 2 therapies applied.</w:t>
      </w:r>
    </w:p>
    <w:p>
      <w:r>
        <w:br w:type="page"/>
      </w:r>
    </w:p>
    <w:p>
      <w:pPr>
        <w:pStyle w:val="Heading1"/>
        <w:pBdr>
          <w:bottom w:val="single" w:color="2E74B5" w:sz="6" w:space="6"/>
        </w:pBdr>
        <w:spacing w:after="160" w:before="360"/>
      </w:pPr>
      <w:r>
        <w:rPr>
          <w:rFonts w:ascii="Arial" w:cs="Arial" w:eastAsia="Arial" w:hAnsi="Arial"/>
          <w:b/>
          <w:bCs/>
          <w:color w:val="1B3A6B"/>
          <w:sz w:val="36"/>
          <w:szCs w:val="36"/>
        </w:rPr>
        <w:t xml:space="preserve">Level 3 — Rejuvenation &amp; Gene Therapy</w:t>
      </w:r>
    </w:p>
    <w:p>
      <w:pPr>
        <w:pStyle w:val="Heading2"/>
        <w:spacing w:after="100" w:before="280"/>
      </w:pPr>
      <w:r>
        <w:rPr>
          <w:rFonts w:ascii="Arial" w:cs="Arial" w:eastAsia="Arial" w:hAnsi="Arial"/>
          <w:b/>
          <w:bCs/>
          <w:color w:val="2E74B5"/>
          <w:sz w:val="28"/>
          <w:szCs w:val="28"/>
        </w:rPr>
        <w:t xml:space="preserve">Measuring Biological Age Across 81 Organs</w:t>
      </w:r>
    </w:p>
    <w:p>
      <w:pPr>
        <w:spacing w:after="60" w:before="60"/>
      </w:pPr>
      <w:r>
        <w:rPr>
          <w:rFonts w:ascii="Arial" w:cs="Arial" w:eastAsia="Arial" w:hAnsi="Arial"/>
          <w:b w:val="false"/>
          <w:bCs w:val="false"/>
          <w:color w:val="000000"/>
          <w:sz w:val="22"/>
          <w:szCs w:val="22"/>
        </w:rPr>
        <w:t xml:space="preserve">The foundation of Level 3 is accurate, organ-specific biological age measurement. Zolman has developed a framework of 81 organ types spanning the nervous system, immune system, cardiovascular system, respiratory system, musculoskeletal system, renal, hepatic, reproductive, sensory, and dermatological systems.</w:t>
      </w:r>
    </w:p>
    <w:p>
      <w:pPr>
        <w:spacing w:after="0" w:before="60"/>
      </w:pPr>
    </w:p>
    <w:p>
      <w:pPr>
        <w:spacing w:after="60" w:before="60"/>
      </w:pPr>
      <w:r>
        <w:rPr>
          <w:rFonts w:ascii="Arial" w:cs="Arial" w:eastAsia="Arial" w:hAnsi="Arial"/>
          <w:b w:val="false"/>
          <w:bCs w:val="false"/>
          <w:color w:val="000000"/>
          <w:sz w:val="22"/>
          <w:szCs w:val="22"/>
        </w:rPr>
        <w:t xml:space="preserve">Measurement modalities include:</w:t>
      </w:r>
    </w:p>
    <w:p>
      <w:pPr>
        <w:pStyle w:val="ListParagraph"/>
        <w:numPr>
          <w:ilvl w:val="0"/>
          <w:numId w:val="2"/>
        </w:numPr>
        <w:spacing w:after="40" w:before="40"/>
      </w:pPr>
      <w:r>
        <w:rPr>
          <w:rFonts w:ascii="Arial" w:cs="Arial" w:eastAsia="Arial" w:hAnsi="Arial"/>
          <w:sz w:val="21"/>
          <w:szCs w:val="21"/>
        </w:rPr>
        <w:t xml:space="preserve">Research-grade MRI and ultrasound</w:t>
      </w:r>
    </w:p>
    <w:p>
      <w:pPr>
        <w:pStyle w:val="ListParagraph"/>
        <w:numPr>
          <w:ilvl w:val="0"/>
          <w:numId w:val="2"/>
        </w:numPr>
        <w:spacing w:after="40" w:before="40"/>
      </w:pPr>
      <w:r>
        <w:rPr>
          <w:rFonts w:ascii="Arial" w:cs="Arial" w:eastAsia="Arial" w:hAnsi="Arial"/>
          <w:sz w:val="21"/>
          <w:szCs w:val="21"/>
        </w:rPr>
        <w:t xml:space="preserve">Skin imaging and VISIA face scanning</w:t>
      </w:r>
    </w:p>
    <w:p>
      <w:pPr>
        <w:pStyle w:val="ListParagraph"/>
        <w:numPr>
          <w:ilvl w:val="0"/>
          <w:numId w:val="2"/>
        </w:numPr>
        <w:spacing w:after="40" w:before="40"/>
      </w:pPr>
      <w:r>
        <w:rPr>
          <w:rFonts w:ascii="Arial" w:cs="Arial" w:eastAsia="Arial" w:hAnsi="Arial"/>
          <w:sz w:val="21"/>
          <w:szCs w:val="21"/>
        </w:rPr>
        <w:t xml:space="preserve">CT coronary calcium scoring</w:t>
      </w:r>
    </w:p>
    <w:p>
      <w:pPr>
        <w:pStyle w:val="ListParagraph"/>
        <w:numPr>
          <w:ilvl w:val="0"/>
          <w:numId w:val="2"/>
        </w:numPr>
        <w:spacing w:after="40" w:before="40"/>
      </w:pPr>
      <w:r>
        <w:rPr>
          <w:rFonts w:ascii="Arial" w:cs="Arial" w:eastAsia="Arial" w:hAnsi="Arial"/>
          <w:sz w:val="21"/>
          <w:szCs w:val="21"/>
        </w:rPr>
        <w:t xml:space="preserve">Medical devices (e.g. VO2 max testing, lung function)</w:t>
      </w:r>
    </w:p>
    <w:p>
      <w:pPr>
        <w:pStyle w:val="ListParagraph"/>
        <w:numPr>
          <w:ilvl w:val="0"/>
          <w:numId w:val="2"/>
        </w:numPr>
        <w:spacing w:after="40" w:before="40"/>
      </w:pPr>
      <w:r>
        <w:rPr>
          <w:rFonts w:ascii="Arial" w:cs="Arial" w:eastAsia="Arial" w:hAnsi="Arial"/>
          <w:sz w:val="21"/>
          <w:szCs w:val="21"/>
        </w:rPr>
        <w:t xml:space="preserve">Biofluids: BNP, cystatin-C, PhenoAge and epigenetic/phenotypic clock panels</w:t>
      </w:r>
    </w:p>
    <w:p>
      <w:pPr>
        <w:pStyle w:val="ListParagraph"/>
        <w:numPr>
          <w:ilvl w:val="0"/>
          <w:numId w:val="2"/>
        </w:numPr>
        <w:spacing w:after="40" w:before="40"/>
      </w:pPr>
      <w:r>
        <w:rPr>
          <w:rFonts w:ascii="Arial" w:cs="Arial" w:eastAsia="Arial" w:hAnsi="Arial"/>
          <w:sz w:val="21"/>
          <w:szCs w:val="21"/>
        </w:rPr>
        <w:t xml:space="preserve">Brain MRI for neurological assessment</w:t>
      </w:r>
    </w:p>
    <w:p>
      <w:pPr>
        <w:spacing w:after="0" w:before="60"/>
      </w:pPr>
    </w:p>
    <w:p>
      <w:pPr>
        <w:spacing w:after="60" w:before="60"/>
      </w:pPr>
      <w:r>
        <w:rPr>
          <w:rFonts w:ascii="Arial" w:cs="Arial" w:eastAsia="Arial" w:hAnsi="Arial"/>
          <w:b w:val="false"/>
          <w:bCs w:val="false"/>
          <w:color w:val="000000"/>
          <w:sz w:val="22"/>
          <w:szCs w:val="22"/>
        </w:rPr>
        <w:t xml:space="preserve">The 500+ Zolman Clocks framework assigns one clock per measurable aging marker (e.g. VO2 max = 1 clock, grip strength = 1 clock, heart ultrasound age combining 20 markers = 1 clock). These are validated against peer-reviewed Zolman Biological Age Marker (Z-BAM) criteria.</w:t>
      </w:r>
    </w:p>
    <w:p>
      <w:pPr>
        <w:spacing w:after="0" w:before="120"/>
      </w:pPr>
    </w:p>
    <w:p>
      <w:pPr>
        <w:pStyle w:val="Heading2"/>
        <w:spacing w:after="100" w:before="280"/>
      </w:pPr>
      <w:r>
        <w:rPr>
          <w:rFonts w:ascii="Arial" w:cs="Arial" w:eastAsia="Arial" w:hAnsi="Arial"/>
          <w:b/>
          <w:bCs/>
          <w:color w:val="2E74B5"/>
          <w:sz w:val="28"/>
          <w:szCs w:val="28"/>
        </w:rPr>
        <w:t xml:space="preserve">The 8 Causes of Aging</w:t>
      </w:r>
    </w:p>
    <w:p>
      <w:pPr>
        <w:spacing w:after="60" w:before="60"/>
      </w:pPr>
      <w:r>
        <w:rPr>
          <w:rFonts w:ascii="Arial" w:cs="Arial" w:eastAsia="Arial" w:hAnsi="Arial"/>
          <w:b w:val="false"/>
          <w:bCs w:val="false"/>
          <w:color w:val="000000"/>
          <w:sz w:val="22"/>
          <w:szCs w:val="22"/>
        </w:rPr>
        <w:t xml:space="preserve">The presentation identifies eight fundamental mechanisms through which aging causes death, framing the rationale for Level 3 interventions:</w:t>
      </w:r>
    </w:p>
    <w:p>
      <w:pPr>
        <w:spacing w:after="0" w:before="60"/>
      </w:pPr>
    </w:p>
    <w:p>
      <w:pPr>
        <w:pStyle w:val="ListParagraph"/>
        <w:numPr>
          <w:ilvl w:val="0"/>
          <w:numId w:val="2"/>
        </w:numPr>
        <w:spacing w:after="40" w:before="40"/>
      </w:pPr>
      <w:r>
        <w:rPr>
          <w:rFonts w:ascii="Arial" w:cs="Arial" w:eastAsia="Arial" w:hAnsi="Arial"/>
          <w:sz w:val="21"/>
          <w:szCs w:val="21"/>
        </w:rPr>
        <w:t xml:space="preserve">Too few cells: stem cell exhaustion, cell loss</w:t>
      </w:r>
    </w:p>
    <w:p>
      <w:pPr>
        <w:pStyle w:val="ListParagraph"/>
        <w:numPr>
          <w:ilvl w:val="0"/>
          <w:numId w:val="2"/>
        </w:numPr>
        <w:spacing w:after="40" w:before="40"/>
      </w:pPr>
      <w:r>
        <w:rPr>
          <w:rFonts w:ascii="Arial" w:cs="Arial" w:eastAsia="Arial" w:hAnsi="Arial"/>
          <w:sz w:val="21"/>
          <w:szCs w:val="21"/>
        </w:rPr>
        <w:t xml:space="preserve">Too many cells: cancer, clonal dominance</w:t>
      </w:r>
    </w:p>
    <w:p>
      <w:pPr>
        <w:pStyle w:val="ListParagraph"/>
        <w:numPr>
          <w:ilvl w:val="0"/>
          <w:numId w:val="2"/>
        </w:numPr>
        <w:spacing w:after="40" w:before="40"/>
      </w:pPr>
      <w:r>
        <w:rPr>
          <w:rFonts w:ascii="Arial" w:cs="Arial" w:eastAsia="Arial" w:hAnsi="Arial"/>
          <w:sz w:val="21"/>
          <w:szCs w:val="21"/>
        </w:rPr>
        <w:t xml:space="preserve">Damaged cells: senescent cells, genomic instability, telomere shortening</w:t>
      </w:r>
    </w:p>
    <w:p>
      <w:pPr>
        <w:pStyle w:val="ListParagraph"/>
        <w:numPr>
          <w:ilvl w:val="0"/>
          <w:numId w:val="2"/>
        </w:numPr>
        <w:spacing w:after="40" w:before="40"/>
      </w:pPr>
      <w:r>
        <w:rPr>
          <w:rFonts w:ascii="Arial" w:cs="Arial" w:eastAsia="Arial" w:hAnsi="Arial"/>
          <w:sz w:val="21"/>
          <w:szCs w:val="21"/>
        </w:rPr>
        <w:t xml:space="preserve">Waste inside cells: proteinopathy, impaired macrophage function</w:t>
      </w:r>
    </w:p>
    <w:p>
      <w:pPr>
        <w:pStyle w:val="ListParagraph"/>
        <w:numPr>
          <w:ilvl w:val="0"/>
          <w:numId w:val="2"/>
        </w:numPr>
        <w:spacing w:after="40" w:before="40"/>
      </w:pPr>
      <w:r>
        <w:rPr>
          <w:rFonts w:ascii="Arial" w:cs="Arial" w:eastAsia="Arial" w:hAnsi="Arial"/>
          <w:sz w:val="21"/>
          <w:szCs w:val="21"/>
        </w:rPr>
        <w:t xml:space="preserve">Waste outside cells: amyloid accumulation</w:t>
      </w:r>
    </w:p>
    <w:p>
      <w:pPr>
        <w:pStyle w:val="ListParagraph"/>
        <w:numPr>
          <w:ilvl w:val="0"/>
          <w:numId w:val="2"/>
        </w:numPr>
        <w:spacing w:after="40" w:before="40"/>
      </w:pPr>
      <w:r>
        <w:rPr>
          <w:rFonts w:ascii="Arial" w:cs="Arial" w:eastAsia="Arial" w:hAnsi="Arial"/>
          <w:sz w:val="21"/>
          <w:szCs w:val="21"/>
        </w:rPr>
        <w:t xml:space="preserve">Damaged extracellular matrix: cross-linking, stiffening</w:t>
      </w:r>
    </w:p>
    <w:p>
      <w:pPr>
        <w:pStyle w:val="ListParagraph"/>
        <w:numPr>
          <w:ilvl w:val="0"/>
          <w:numId w:val="2"/>
        </w:numPr>
        <w:spacing w:after="40" w:before="40"/>
      </w:pPr>
      <w:r>
        <w:rPr>
          <w:rFonts w:ascii="Arial" w:cs="Arial" w:eastAsia="Arial" w:hAnsi="Arial"/>
          <w:sz w:val="21"/>
          <w:szCs w:val="21"/>
        </w:rPr>
        <w:t xml:space="preserve">Epigenetic dysregulation: loss of gene expression control</w:t>
      </w:r>
    </w:p>
    <w:p>
      <w:pPr>
        <w:pStyle w:val="ListParagraph"/>
        <w:numPr>
          <w:ilvl w:val="0"/>
          <w:numId w:val="2"/>
        </w:numPr>
        <w:spacing w:after="40" w:before="40"/>
      </w:pPr>
      <w:r>
        <w:rPr>
          <w:rFonts w:ascii="Arial" w:cs="Arial" w:eastAsia="Arial" w:hAnsi="Arial"/>
          <w:sz w:val="21"/>
          <w:szCs w:val="21"/>
        </w:rPr>
        <w:t xml:space="preserve">Mitochondrial dysfunction: energy metabolism decline</w:t>
      </w:r>
    </w:p>
    <w:p>
      <w:pPr>
        <w:spacing w:after="0" w:before="120"/>
      </w:pPr>
    </w:p>
    <w:p>
      <w:pPr>
        <w:pStyle w:val="Heading2"/>
        <w:spacing w:after="100" w:before="280"/>
      </w:pPr>
      <w:r>
        <w:rPr>
          <w:rFonts w:ascii="Arial" w:cs="Arial" w:eastAsia="Arial" w:hAnsi="Arial"/>
          <w:b/>
          <w:bCs/>
          <w:color w:val="2E74B5"/>
          <w:sz w:val="28"/>
          <w:szCs w:val="28"/>
        </w:rPr>
        <w:t xml:space="preserve">Gene Therapy Approaches</w:t>
      </w:r>
    </w:p>
    <w:p>
      <w:pPr>
        <w:spacing w:after="60" w:before="60"/>
      </w:pPr>
      <w:r>
        <w:rPr>
          <w:rFonts w:ascii="Arial" w:cs="Arial" w:eastAsia="Arial" w:hAnsi="Arial"/>
          <w:b w:val="false"/>
          <w:bCs w:val="false"/>
          <w:color w:val="000000"/>
          <w:sz w:val="22"/>
          <w:szCs w:val="22"/>
        </w:rPr>
        <w:t xml:space="preserve">Three gene therapies have been shown to rejuvenate mice and are now being used in humans via Triple Helix (triplehelixscience.com) and other providers: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80"/>
            </w:tcMar>
          </w:tcPr>
          <w:p>
            <w:r>
              <w:rPr>
                <w:rFonts w:ascii="Arial" w:cs="Arial" w:eastAsia="Arial" w:hAnsi="Arial"/>
                <w:b/>
                <w:bCs/>
                <w:color w:val="FFFFFF"/>
                <w:sz w:val="20"/>
                <w:szCs w:val="20"/>
              </w:rPr>
              <w:t xml:space="preserve">Target</w:t>
            </w:r>
          </w:p>
        </w:tc>
        <w:tc>
          <w:tcPr>
            <w:tcW w:type="dxa" w:w="432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80"/>
            </w:tcMar>
          </w:tcPr>
          <w:p>
            <w:r>
              <w:rPr>
                <w:rFonts w:ascii="Arial" w:cs="Arial" w:eastAsia="Arial" w:hAnsi="Arial"/>
                <w:b/>
                <w:bCs/>
                <w:color w:val="FFFFFF"/>
                <w:sz w:val="20"/>
                <w:szCs w:val="20"/>
              </w:rPr>
              <w:t xml:space="preserve">Mechanism &amp; Effect</w:t>
            </w:r>
          </w:p>
        </w:tc>
        <w:tc>
          <w:tcPr>
            <w:tcW w:type="dxa" w:w="3600"/>
            <w:tcBorders>
              <w:top w:val="single" w:color="1B3A6B" w:sz="1"/>
              <w:left w:val="single" w:color="1B3A6B" w:sz="1"/>
              <w:bottom w:val="single" w:color="1B3A6B" w:sz="1"/>
              <w:right w:val="single" w:color="1B3A6B" w:sz="1"/>
            </w:tcBorders>
            <w:shd w:fill="1B3A6B" w:val="clear"/>
            <w:tcMar>
              <w:top w:type="dxa" w:w="80"/>
              <w:left w:type="dxa" w:w="140"/>
              <w:bottom w:type="dxa" w:w="80"/>
              <w:right w:type="dxa" w:w="80"/>
            </w:tcMar>
          </w:tcPr>
          <w:p>
            <w:r>
              <w:rPr>
                <w:rFonts w:ascii="Arial" w:cs="Arial" w:eastAsia="Arial" w:hAnsi="Arial"/>
                <w:b/>
                <w:bCs/>
                <w:color w:val="FFFFFF"/>
                <w:sz w:val="20"/>
                <w:szCs w:val="20"/>
              </w:rPr>
              <w:t xml:space="preserve">Evidence / Status</w:t>
            </w:r>
          </w:p>
        </w:tc>
      </w:tr>
      <w:tr>
        <w:tc>
          <w:tcPr>
            <w:tcW w:type="dxa" w:w="1440"/>
            <w:tcBorders>
              <w:top w:val="single" w:color="D0DCE8" w:sz="1"/>
              <w:left w:val="single" w:color="D0DCE8" w:sz="1"/>
              <w:bottom w:val="single" w:color="D0DCE8" w:sz="1"/>
              <w:right w:val="single" w:color="D0DCE8" w:sz="1"/>
            </w:tcBorders>
            <w:shd w:fill="D6E8F8" w:val="clear"/>
            <w:tcMar>
              <w:top w:type="dxa" w:w="70"/>
              <w:left w:type="dxa" w:w="140"/>
              <w:bottom w:type="dxa" w:w="70"/>
              <w:right w:type="dxa" w:w="80"/>
            </w:tcMar>
          </w:tcPr>
          <w:p>
            <w:r>
              <w:rPr>
                <w:rFonts w:ascii="Arial" w:cs="Arial" w:eastAsia="Arial" w:hAnsi="Arial"/>
                <w:b/>
                <w:bCs/>
                <w:color w:val="1B3A6B"/>
                <w:sz w:val="20"/>
                <w:szCs w:val="20"/>
              </w:rPr>
              <w:t xml:space="preserve">hTERT</w:t>
            </w:r>
          </w:p>
        </w:tc>
        <w:tc>
          <w:tcPr>
            <w:tcW w:type="dxa" w:w="432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Elongates telomeres; telomere shortening reversal</w:t>
            </w:r>
          </w:p>
        </w:tc>
        <w:tc>
          <w:tcPr>
            <w:tcW w:type="dxa" w:w="36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AAV vector, systemic IV; case report 2022</w:t>
            </w:r>
          </w:p>
        </w:tc>
      </w:tr>
      <w:tr>
        <w:tc>
          <w:tcPr>
            <w:tcW w:type="dxa" w:w="144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b/>
                <w:bCs/>
                <w:color w:val="1B3A6B"/>
                <w:sz w:val="20"/>
                <w:szCs w:val="20"/>
              </w:rPr>
              <w:t xml:space="preserve">Follistatin (AAV9)</w:t>
            </w:r>
          </w:p>
        </w:tc>
        <w:tc>
          <w:tcPr>
            <w:tcW w:type="dxa" w:w="432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sz w:val="20"/>
                <w:szCs w:val="20"/>
              </w:rPr>
              <w:t xml:space="preserve">Prevents muscle breakdown; 50% lifespan extension in mice</w:t>
            </w:r>
          </w:p>
        </w:tc>
        <w:tc>
          <w:tcPr>
            <w:tcW w:type="dxa" w:w="360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color w:val="595959"/>
                <w:sz w:val="20"/>
                <w:szCs w:val="20"/>
              </w:rPr>
              <w:t xml:space="preserve">7.2 kg muscle gain in 2 months (human case)</w:t>
            </w:r>
          </w:p>
        </w:tc>
      </w:tr>
      <w:tr>
        <w:tc>
          <w:tcPr>
            <w:tcW w:type="dxa" w:w="1440"/>
            <w:tcBorders>
              <w:top w:val="single" w:color="D0DCE8" w:sz="1"/>
              <w:left w:val="single" w:color="D0DCE8" w:sz="1"/>
              <w:bottom w:val="single" w:color="D0DCE8" w:sz="1"/>
              <w:right w:val="single" w:color="D0DCE8" w:sz="1"/>
            </w:tcBorders>
            <w:shd w:fill="D6E8F8" w:val="clear"/>
            <w:tcMar>
              <w:top w:type="dxa" w:w="70"/>
              <w:left w:type="dxa" w:w="140"/>
              <w:bottom w:type="dxa" w:w="70"/>
              <w:right w:type="dxa" w:w="80"/>
            </w:tcMar>
          </w:tcPr>
          <w:p>
            <w:r>
              <w:rPr>
                <w:rFonts w:ascii="Arial" w:cs="Arial" w:eastAsia="Arial" w:hAnsi="Arial"/>
                <w:b/>
                <w:bCs/>
                <w:color w:val="1B3A6B"/>
                <w:sz w:val="20"/>
                <w:szCs w:val="20"/>
              </w:rPr>
              <w:t xml:space="preserve">Klotho</w:t>
            </w:r>
          </w:p>
        </w:tc>
        <w:tc>
          <w:tcPr>
            <w:tcW w:type="dxa" w:w="432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Neuroprotective; declines with age; kidney, bone, vascular health</w:t>
            </w:r>
          </w:p>
        </w:tc>
        <w:tc>
          <w:tcPr>
            <w:tcW w:type="dxa" w:w="36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20% lifespan in mice; AAV delivery</w:t>
            </w:r>
          </w:p>
        </w:tc>
      </w:tr>
      <w:tr>
        <w:tc>
          <w:tcPr>
            <w:tcW w:type="dxa" w:w="144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b/>
                <w:bCs/>
                <w:color w:val="1B3A6B"/>
                <w:sz w:val="20"/>
                <w:szCs w:val="20"/>
              </w:rPr>
              <w:t xml:space="preserve">PGC1-alpha</w:t>
            </w:r>
          </w:p>
        </w:tc>
        <w:tc>
          <w:tcPr>
            <w:tcW w:type="dxa" w:w="432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sz w:val="20"/>
                <w:szCs w:val="20"/>
              </w:rPr>
              <w:t xml:space="preserve">Enhances mitochondrial function and energy metabolism</w:t>
            </w:r>
          </w:p>
        </w:tc>
        <w:tc>
          <w:tcPr>
            <w:tcW w:type="dxa" w:w="360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color w:val="595959"/>
                <w:sz w:val="20"/>
                <w:szCs w:val="20"/>
              </w:rPr>
              <w:t xml:space="preserve">Pre-clinical &amp; early human use</w:t>
            </w:r>
          </w:p>
        </w:tc>
      </w:tr>
      <w:tr>
        <w:tc>
          <w:tcPr>
            <w:tcW w:type="dxa" w:w="1440"/>
            <w:tcBorders>
              <w:top w:val="single" w:color="D0DCE8" w:sz="1"/>
              <w:left w:val="single" w:color="D0DCE8" w:sz="1"/>
              <w:bottom w:val="single" w:color="D0DCE8" w:sz="1"/>
              <w:right w:val="single" w:color="D0DCE8" w:sz="1"/>
            </w:tcBorders>
            <w:shd w:fill="D6E8F8" w:val="clear"/>
            <w:tcMar>
              <w:top w:type="dxa" w:w="70"/>
              <w:left w:type="dxa" w:w="140"/>
              <w:bottom w:type="dxa" w:w="70"/>
              <w:right w:type="dxa" w:w="80"/>
            </w:tcMar>
          </w:tcPr>
          <w:p>
            <w:r>
              <w:rPr>
                <w:rFonts w:ascii="Arial" w:cs="Arial" w:eastAsia="Arial" w:hAnsi="Arial"/>
                <w:b/>
                <w:bCs/>
                <w:color w:val="1B3A6B"/>
                <w:sz w:val="20"/>
                <w:szCs w:val="20"/>
              </w:rPr>
              <w:t xml:space="preserve">VEGF</w:t>
            </w:r>
          </w:p>
        </w:tc>
        <w:tc>
          <w:tcPr>
            <w:tcW w:type="dxa" w:w="432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Increases vascularity and blood supply to tissues</w:t>
            </w:r>
          </w:p>
        </w:tc>
        <w:tc>
          <w:tcPr>
            <w:tcW w:type="dxa" w:w="36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Triple Helix arsenal</w:t>
            </w:r>
          </w:p>
        </w:tc>
      </w:tr>
      <w:tr>
        <w:tc>
          <w:tcPr>
            <w:tcW w:type="dxa" w:w="144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b/>
                <w:bCs/>
                <w:color w:val="1B3A6B"/>
                <w:sz w:val="20"/>
                <w:szCs w:val="20"/>
              </w:rPr>
              <w:t xml:space="preserve">FGF21</w:t>
            </w:r>
          </w:p>
        </w:tc>
        <w:tc>
          <w:tcPr>
            <w:tcW w:type="dxa" w:w="432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sz w:val="20"/>
                <w:szCs w:val="20"/>
              </w:rPr>
              <w:t xml:space="preserve">Metabolic regulation; weight management</w:t>
            </w:r>
          </w:p>
        </w:tc>
        <w:tc>
          <w:tcPr>
            <w:tcW w:type="dxa" w:w="360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color w:val="595959"/>
                <w:sz w:val="20"/>
                <w:szCs w:val="20"/>
              </w:rPr>
              <w:t xml:space="preserve">Triple Helix arsenal</w:t>
            </w:r>
          </w:p>
        </w:tc>
      </w:tr>
      <w:tr>
        <w:tc>
          <w:tcPr>
            <w:tcW w:type="dxa" w:w="1440"/>
            <w:tcBorders>
              <w:top w:val="single" w:color="D0DCE8" w:sz="1"/>
              <w:left w:val="single" w:color="D0DCE8" w:sz="1"/>
              <w:bottom w:val="single" w:color="D0DCE8" w:sz="1"/>
              <w:right w:val="single" w:color="D0DCE8" w:sz="1"/>
            </w:tcBorders>
            <w:shd w:fill="D6E8F8" w:val="clear"/>
            <w:tcMar>
              <w:top w:type="dxa" w:w="70"/>
              <w:left w:type="dxa" w:w="140"/>
              <w:bottom w:type="dxa" w:w="70"/>
              <w:right w:type="dxa" w:w="80"/>
            </w:tcMar>
          </w:tcPr>
          <w:p>
            <w:r>
              <w:rPr>
                <w:rFonts w:ascii="Arial" w:cs="Arial" w:eastAsia="Arial" w:hAnsi="Arial"/>
                <w:b/>
                <w:bCs/>
                <w:color w:val="1B3A6B"/>
                <w:sz w:val="20"/>
                <w:szCs w:val="20"/>
              </w:rPr>
              <w:t xml:space="preserve">SIRT1</w:t>
            </w:r>
          </w:p>
        </w:tc>
        <w:tc>
          <w:tcPr>
            <w:tcW w:type="dxa" w:w="432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sz w:val="20"/>
                <w:szCs w:val="20"/>
              </w:rPr>
              <w:t xml:space="preserve">DNA repair; longevity signalling</w:t>
            </w:r>
          </w:p>
        </w:tc>
        <w:tc>
          <w:tcPr>
            <w:tcW w:type="dxa" w:w="3600"/>
            <w:tcBorders>
              <w:top w:val="single" w:color="D0DCE8" w:sz="1"/>
              <w:left w:val="single" w:color="D0DCE8" w:sz="1"/>
              <w:bottom w:val="single" w:color="D0DCE8" w:sz="1"/>
              <w:right w:val="single" w:color="D0DCE8" w:sz="1"/>
            </w:tcBorders>
            <w:shd w:fill="F0F6FC" w:val="clear"/>
            <w:tcMar>
              <w:top w:type="dxa" w:w="70"/>
              <w:left w:type="dxa" w:w="140"/>
              <w:bottom w:type="dxa" w:w="70"/>
              <w:right w:type="dxa" w:w="80"/>
            </w:tcMar>
          </w:tcPr>
          <w:p>
            <w:r>
              <w:rPr>
                <w:rFonts w:ascii="Arial" w:cs="Arial" w:eastAsia="Arial" w:hAnsi="Arial"/>
                <w:color w:val="595959"/>
                <w:sz w:val="20"/>
                <w:szCs w:val="20"/>
              </w:rPr>
              <w:t xml:space="preserve">Triple Helix arsenal</w:t>
            </w:r>
          </w:p>
        </w:tc>
      </w:tr>
      <w:tr>
        <w:tc>
          <w:tcPr>
            <w:tcW w:type="dxa" w:w="144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b/>
                <w:bCs/>
                <w:color w:val="1B3A6B"/>
                <w:sz w:val="20"/>
                <w:szCs w:val="20"/>
              </w:rPr>
              <w:t xml:space="preserve">FOXO3</w:t>
            </w:r>
          </w:p>
        </w:tc>
        <w:tc>
          <w:tcPr>
            <w:tcW w:type="dxa" w:w="432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sz w:val="20"/>
                <w:szCs w:val="20"/>
              </w:rPr>
              <w:t xml:space="preserve">Cell survival; lifespan extension pathway</w:t>
            </w:r>
          </w:p>
        </w:tc>
        <w:tc>
          <w:tcPr>
            <w:tcW w:type="dxa" w:w="3600"/>
            <w:tcBorders>
              <w:top w:val="single" w:color="D0DCE8" w:sz="1"/>
              <w:left w:val="single" w:color="D0DCE8" w:sz="1"/>
              <w:bottom w:val="single" w:color="D0DCE8" w:sz="1"/>
              <w:right w:val="single" w:color="D0DCE8" w:sz="1"/>
            </w:tcBorders>
            <w:shd w:fill="FFFFFF" w:val="clear"/>
            <w:tcMar>
              <w:top w:type="dxa" w:w="70"/>
              <w:left w:type="dxa" w:w="140"/>
              <w:bottom w:type="dxa" w:w="70"/>
              <w:right w:type="dxa" w:w="80"/>
            </w:tcMar>
          </w:tcPr>
          <w:p>
            <w:r>
              <w:rPr>
                <w:rFonts w:ascii="Arial" w:cs="Arial" w:eastAsia="Arial" w:hAnsi="Arial"/>
                <w:color w:val="595959"/>
                <w:sz w:val="20"/>
                <w:szCs w:val="20"/>
              </w:rPr>
              <w:t xml:space="preserve">Triple Helix arsenal</w:t>
            </w:r>
          </w:p>
        </w:tc>
      </w:tr>
    </w:tbl>
    <w:p>
      <w:pPr>
        <w:spacing w:after="0" w:before="120"/>
      </w:pPr>
    </w:p>
    <w:p>
      <w:pPr>
        <w:pStyle w:val="Heading2"/>
        <w:spacing w:after="100" w:before="280"/>
      </w:pPr>
      <w:r>
        <w:rPr>
          <w:rFonts w:ascii="Arial" w:cs="Arial" w:eastAsia="Arial" w:hAnsi="Arial"/>
          <w:b/>
          <w:bCs/>
          <w:color w:val="2E74B5"/>
          <w:sz w:val="28"/>
          <w:szCs w:val="28"/>
        </w:rPr>
        <w:t xml:space="preserve">Human Gene Therapy Case Study — hTERT</w:t>
      </w:r>
    </w:p>
    <w:p>
      <w:pPr>
        <w:spacing w:after="60" w:before="60"/>
      </w:pPr>
      <w:r>
        <w:rPr>
          <w:rFonts w:ascii="Arial" w:cs="Arial" w:eastAsia="Arial" w:hAnsi="Arial"/>
          <w:b w:val="false"/>
          <w:bCs w:val="false"/>
          <w:color w:val="000000"/>
          <w:sz w:val="22"/>
          <w:szCs w:val="22"/>
        </w:rPr>
        <w:t xml:space="preserve">A 2022 published case report describes a single adult female receiving systemic AAV hTERT gene transfer therapy on two occasions five years apart, with follow-up to 6.5 years. The first administration resulted in a 10% improvement in telomere length and measurable biological age reversal. A companion safety study on AAV hTERT and Klotho gene transfer for dementia prevention is also referenced.</w:t>
      </w:r>
    </w:p>
    <w:p>
      <w:pPr>
        <w:spacing w:after="0" w:before="80"/>
      </w:pPr>
    </w:p>
    <w:p>
      <w:pPr>
        <w:pStyle w:val="Heading2"/>
        <w:spacing w:after="100" w:before="280"/>
      </w:pPr>
      <w:r>
        <w:rPr>
          <w:rFonts w:ascii="Arial" w:cs="Arial" w:eastAsia="Arial" w:hAnsi="Arial"/>
          <w:b/>
          <w:bCs/>
          <w:color w:val="2E74B5"/>
          <w:sz w:val="28"/>
          <w:szCs w:val="28"/>
        </w:rPr>
        <w:t xml:space="preserve">Human Gene Therapy Case Study — Follistatin</w:t>
      </w:r>
    </w:p>
    <w:p>
      <w:pPr>
        <w:spacing w:after="60" w:before="60"/>
      </w:pPr>
      <w:r>
        <w:rPr>
          <w:rFonts w:ascii="Arial" w:cs="Arial" w:eastAsia="Arial" w:hAnsi="Arial"/>
          <w:b w:val="false"/>
          <w:bCs w:val="false"/>
          <w:color w:val="000000"/>
          <w:sz w:val="22"/>
          <w:szCs w:val="22"/>
        </w:rPr>
        <w:t xml:space="preserve">A male patient on TripleHelix AAV9 Follistatin Gene Therapy gained 7.2 kg of muscle (a 6% increase) within 2 months with no other therapies or medications. The patient wore a continuous glucose monitor throughout and donated blood to keep TSAT at the low end of normal.</w:t>
      </w:r>
    </w:p>
    <w:p>
      <w:pPr>
        <w:spacing w:after="0" w:before="120"/>
      </w:pPr>
    </w:p>
    <w:p>
      <w:pPr>
        <w:pStyle w:val="Heading2"/>
        <w:spacing w:after="100" w:before="280"/>
      </w:pPr>
      <w:r>
        <w:rPr>
          <w:rFonts w:ascii="Arial" w:cs="Arial" w:eastAsia="Arial" w:hAnsi="Arial"/>
          <w:b/>
          <w:bCs/>
          <w:color w:val="2E74B5"/>
          <w:sz w:val="28"/>
          <w:szCs w:val="28"/>
        </w:rPr>
        <w:t xml:space="preserve">Research Goal by 2030</w:t>
      </w:r>
    </w:p>
    <w:p>
      <w:pPr>
        <w:shd w:fill="D6E8F8" w:val="clear"/>
        <w:spacing w:after="120" w:before="120"/>
        <w:ind w:left="360" w:right="360"/>
      </w:pPr>
      <w:r>
        <w:rPr>
          <w:rFonts w:ascii="Arial" w:cs="Arial" w:eastAsia="Arial" w:hAnsi="Arial"/>
          <w:b w:val="false"/>
          <w:bCs w:val="false"/>
          <w:color w:val="1B3A6B"/>
          <w:sz w:val="22"/>
          <w:szCs w:val="22"/>
        </w:rPr>
        <w:t xml:space="preserve">Target: Rejuvenate 100 individuals aged 75-85 from a biological age of 80 to a biological age of 60 across all 81 organ types. This is the primary stated research objective of the Zolman protocol.</w:t>
      </w:r>
    </w:p>
    <w:p>
      <w:pPr>
        <w:spacing w:after="0" w:before="60"/>
      </w:pPr>
    </w:p>
    <w:p>
      <w:pPr>
        <w:spacing w:after="60" w:before="60"/>
      </w:pPr>
      <w:r>
        <w:rPr>
          <w:rFonts w:ascii="Arial" w:cs="Arial" w:eastAsia="Arial" w:hAnsi="Arial"/>
          <w:b w:val="false"/>
          <w:bCs w:val="false"/>
          <w:color w:val="000000"/>
          <w:sz w:val="22"/>
          <w:szCs w:val="22"/>
        </w:rPr>
        <w:t xml:space="preserve">A companion study is planned: "100 People Age 75-85 to Undergo Full Experimental Level 1-2-3 Protocol" — representing a comprehensive real-world test of the combined longevity stack.</w:t>
      </w:r>
    </w:p>
    <w:p>
      <w:r>
        <w:br w:type="page"/>
      </w:r>
    </w:p>
    <w:p>
      <w:pPr>
        <w:pStyle w:val="Heading1"/>
        <w:pBdr>
          <w:bottom w:val="single" w:color="2E74B5" w:sz="6" w:space="6"/>
        </w:pBdr>
        <w:spacing w:after="160" w:before="360"/>
      </w:pPr>
      <w:r>
        <w:rPr>
          <w:rFonts w:ascii="Arial" w:cs="Arial" w:eastAsia="Arial" w:hAnsi="Arial"/>
          <w:b/>
          <w:bCs/>
          <w:color w:val="1B3A6B"/>
          <w:sz w:val="36"/>
          <w:szCs w:val="36"/>
        </w:rPr>
        <w:t xml:space="preserve">Evidence Basis &amp; Methodology</w:t>
      </w:r>
    </w:p>
    <w:p>
      <w:pPr>
        <w:spacing w:after="60" w:before="60"/>
      </w:pPr>
      <w:r>
        <w:rPr>
          <w:rFonts w:ascii="Arial" w:cs="Arial" w:eastAsia="Arial" w:hAnsi="Arial"/>
          <w:b w:val="false"/>
          <w:bCs w:val="false"/>
          <w:color w:val="000000"/>
          <w:sz w:val="22"/>
          <w:szCs w:val="22"/>
        </w:rPr>
        <w:t xml:space="preserve">The protocol is explicitly framed as evidence-based, with the following foundations:</w:t>
      </w:r>
    </w:p>
    <w:p>
      <w:pPr>
        <w:spacing w:after="0" w:before="60"/>
      </w:pPr>
    </w:p>
    <w:p>
      <w:pPr>
        <w:pStyle w:val="ListParagraph"/>
        <w:numPr>
          <w:ilvl w:val="0"/>
          <w:numId w:val="2"/>
        </w:numPr>
        <w:spacing w:after="40" w:before="40"/>
      </w:pPr>
      <w:r>
        <w:rPr>
          <w:rFonts w:ascii="Arial" w:cs="Arial" w:eastAsia="Arial" w:hAnsi="Arial"/>
          <w:sz w:val="21"/>
          <w:szCs w:val="21"/>
        </w:rPr>
        <w:t xml:space="preserve">New guidelines: In-house systematic review, peer review, and guideline development process based on Cochrane, NICE, AGREE II, and IPAS frameworks</w:t>
      </w:r>
    </w:p>
    <w:p>
      <w:pPr>
        <w:pStyle w:val="ListParagraph"/>
        <w:numPr>
          <w:ilvl w:val="0"/>
          <w:numId w:val="2"/>
        </w:numPr>
        <w:spacing w:after="40" w:before="40"/>
      </w:pPr>
      <w:r>
        <w:rPr>
          <w:rFonts w:ascii="Arial" w:cs="Arial" w:eastAsia="Arial" w:hAnsi="Arial"/>
          <w:sz w:val="21"/>
          <w:szCs w:val="21"/>
        </w:rPr>
        <w:t xml:space="preserve">Existing guidelines: Where high-quality guidelines already exist (e.g. WHO exercise, ACC/AHA blood pressure), they are integrated and often tightened</w:t>
      </w:r>
    </w:p>
    <w:p>
      <w:pPr>
        <w:pStyle w:val="ListParagraph"/>
        <w:numPr>
          <w:ilvl w:val="0"/>
          <w:numId w:val="2"/>
        </w:numPr>
        <w:spacing w:after="40" w:before="40"/>
      </w:pPr>
      <w:r>
        <w:rPr>
          <w:rFonts w:ascii="Arial" w:cs="Arial" w:eastAsia="Arial" w:hAnsi="Arial"/>
          <w:sz w:val="21"/>
          <w:szCs w:val="21"/>
        </w:rPr>
        <w:t xml:space="preserve">First guideline publication: 2018, with ongoing updates</w:t>
      </w:r>
    </w:p>
    <w:p>
      <w:pPr>
        <w:pStyle w:val="ListParagraph"/>
        <w:numPr>
          <w:ilvl w:val="0"/>
          <w:numId w:val="2"/>
        </w:numPr>
        <w:spacing w:after="40" w:before="40"/>
      </w:pPr>
      <w:r>
        <w:rPr>
          <w:rFonts w:ascii="Arial" w:cs="Arial" w:eastAsia="Arial" w:hAnsi="Arial"/>
          <w:sz w:val="21"/>
          <w:szCs w:val="21"/>
        </w:rPr>
        <w:t xml:space="preserve">Key studies cited: Yanping 2018 (USA, 34-year follow-up); Qian 2023 (sleep); SPRINT RCT (blood pressure); NHP caloric restriction primate studies; CALERIE human CRON trial (2017)</w:t>
      </w:r>
    </w:p>
    <w:p>
      <w:pPr>
        <w:spacing w:after="0" w:before="80"/>
      </w:pPr>
    </w:p>
    <w:p>
      <w:pPr>
        <w:spacing w:after="60" w:before="60"/>
      </w:pPr>
      <w:r>
        <w:rPr>
          <w:rFonts w:ascii="Arial" w:cs="Arial" w:eastAsia="Arial" w:hAnsi="Arial"/>
          <w:b w:val="false"/>
          <w:bCs w:val="false"/>
          <w:color w:val="000000"/>
          <w:sz w:val="22"/>
          <w:szCs w:val="22"/>
        </w:rPr>
        <w:t xml:space="preserve">The presentation explicitly notes that Level 3 interventions are not RCT-proven and should be regarded as experimental. This distinction is clearly maintained throughout.</w:t>
      </w:r>
    </w:p>
    <w:p>
      <w:pPr>
        <w:spacing w:after="0" w:before="160"/>
      </w:pPr>
    </w:p>
    <w:p>
      <w:pPr>
        <w:pStyle w:val="Heading1"/>
        <w:pBdr>
          <w:bottom w:val="single" w:color="2E74B5" w:sz="6" w:space="6"/>
        </w:pBdr>
        <w:spacing w:after="160" w:before="360"/>
      </w:pPr>
      <w:r>
        <w:rPr>
          <w:rFonts w:ascii="Arial" w:cs="Arial" w:eastAsia="Arial" w:hAnsi="Arial"/>
          <w:b/>
          <w:bCs/>
          <w:color w:val="1B3A6B"/>
          <w:sz w:val="36"/>
          <w:szCs w:val="36"/>
        </w:rPr>
        <w:t xml:space="preserve">Tools, Community &amp; Resources</w:t>
      </w:r>
    </w:p>
    <w:p>
      <w:pPr>
        <w:spacing w:after="60" w:before="60"/>
      </w:pPr>
      <w:r>
        <w:rPr>
          <w:rFonts w:ascii="Arial" w:cs="Arial" w:eastAsia="Arial" w:hAnsi="Arial"/>
          <w:b w:val="false"/>
          <w:bCs w:val="false"/>
          <w:color w:val="000000"/>
          <w:sz w:val="22"/>
          <w:szCs w:val="22"/>
        </w:rPr>
        <w:t xml:space="preserve">The presentation references several practical tools and community resources:</w:t>
      </w:r>
    </w:p>
    <w:p>
      <w:pPr>
        <w:spacing w:after="0" w:before="60"/>
      </w:pPr>
    </w:p>
    <w:p>
      <w:pPr>
        <w:pStyle w:val="ListParagraph"/>
        <w:numPr>
          <w:ilvl w:val="0"/>
          <w:numId w:val="2"/>
        </w:numPr>
        <w:spacing w:after="40" w:before="40"/>
      </w:pPr>
      <w:r>
        <w:rPr>
          <w:rFonts w:ascii="Arial" w:cs="Arial" w:eastAsia="Arial" w:hAnsi="Arial"/>
          <w:sz w:val="21"/>
          <w:szCs w:val="21"/>
        </w:rPr>
        <w:t xml:space="preserve">oliverzolman.com/calculators — Personalised screening test calculator (QR code provided)</w:t>
      </w:r>
    </w:p>
    <w:p>
      <w:pPr>
        <w:pStyle w:val="ListParagraph"/>
        <w:numPr>
          <w:ilvl w:val="0"/>
          <w:numId w:val="2"/>
        </w:numPr>
        <w:spacing w:after="40" w:before="40"/>
      </w:pPr>
      <w:r>
        <w:rPr>
          <w:rFonts w:ascii="Arial" w:cs="Arial" w:eastAsia="Arial" w:hAnsi="Arial"/>
          <w:sz w:val="21"/>
          <w:szCs w:val="21"/>
        </w:rPr>
        <w:t xml:space="preserve">Awair Element — Indoor air quality monitor for real-time CO2, VOC, and particulate tracking</w:t>
      </w:r>
    </w:p>
    <w:p>
      <w:pPr>
        <w:pStyle w:val="ListParagraph"/>
        <w:numPr>
          <w:ilvl w:val="0"/>
          <w:numId w:val="2"/>
        </w:numPr>
        <w:spacing w:after="40" w:before="40"/>
      </w:pPr>
      <w:r>
        <w:rPr>
          <w:rFonts w:ascii="Arial" w:cs="Arial" w:eastAsia="Arial" w:hAnsi="Arial"/>
          <w:sz w:val="21"/>
          <w:szCs w:val="21"/>
        </w:rPr>
        <w:t xml:space="preserve">Chest-strap heart rate monitor — Recommended over wrist/finger devices for exercise tracking</w:t>
      </w:r>
    </w:p>
    <w:p>
      <w:pPr>
        <w:pStyle w:val="ListParagraph"/>
        <w:numPr>
          <w:ilvl w:val="0"/>
          <w:numId w:val="2"/>
        </w:numPr>
        <w:spacing w:after="40" w:before="40"/>
      </w:pPr>
      <w:r>
        <w:rPr>
          <w:rFonts w:ascii="Arial" w:cs="Arial" w:eastAsia="Arial" w:hAnsi="Arial"/>
          <w:sz w:val="21"/>
          <w:szCs w:val="21"/>
        </w:rPr>
        <w:t xml:space="preserve">Continuous Glucose Monitor (CGM) — Used in case studies for metabolic tracking</w:t>
      </w:r>
    </w:p>
    <w:p>
      <w:pPr>
        <w:pStyle w:val="ListParagraph"/>
        <w:numPr>
          <w:ilvl w:val="0"/>
          <w:numId w:val="2"/>
        </w:numPr>
        <w:spacing w:after="40" w:before="40"/>
      </w:pPr>
      <w:r>
        <w:rPr>
          <w:rFonts w:ascii="Arial" w:cs="Arial" w:eastAsia="Arial" w:hAnsi="Arial"/>
          <w:sz w:val="21"/>
          <w:szCs w:val="21"/>
        </w:rPr>
        <w:t xml:space="preserve">TruSkin Age app — Smartphone facial skin age analysis (UV spots, brown spots, red areas)</w:t>
      </w:r>
    </w:p>
    <w:p>
      <w:pPr>
        <w:pStyle w:val="ListParagraph"/>
        <w:numPr>
          <w:ilvl w:val="0"/>
          <w:numId w:val="2"/>
        </w:numPr>
        <w:spacing w:after="40" w:before="40"/>
      </w:pPr>
      <w:r>
        <w:rPr>
          <w:rFonts w:ascii="Arial" w:cs="Arial" w:eastAsia="Arial" w:hAnsi="Arial"/>
          <w:sz w:val="21"/>
          <w:szCs w:val="21"/>
        </w:rPr>
        <w:t xml:space="preserve">Beeper app — Unified messaging aggregator for reducing digital noise</w:t>
      </w:r>
    </w:p>
    <w:p>
      <w:pPr>
        <w:pStyle w:val="ListParagraph"/>
        <w:numPr>
          <w:ilvl w:val="0"/>
          <w:numId w:val="2"/>
        </w:numPr>
        <w:spacing w:after="40" w:before="40"/>
      </w:pPr>
      <w:r>
        <w:rPr>
          <w:rFonts w:ascii="Arial" w:cs="Arial" w:eastAsia="Arial" w:hAnsi="Arial"/>
          <w:sz w:val="21"/>
          <w:szCs w:val="21"/>
        </w:rPr>
        <w:t xml:space="preserve">News Feed Eradicator — Chrome extension for mental health and focus</w:t>
      </w:r>
    </w:p>
    <w:p>
      <w:pPr>
        <w:pStyle w:val="ListParagraph"/>
        <w:numPr>
          <w:ilvl w:val="0"/>
          <w:numId w:val="2"/>
        </w:numPr>
        <w:spacing w:after="40" w:before="40"/>
      </w:pPr>
      <w:r>
        <w:rPr>
          <w:rFonts w:ascii="Arial" w:cs="Arial" w:eastAsia="Arial" w:hAnsi="Arial"/>
          <w:sz w:val="21"/>
          <w:szCs w:val="21"/>
        </w:rPr>
        <w:t xml:space="preserve">Cronometer — Daily nutrition and calorie tracking (used in all CRON case studies)</w:t>
      </w:r>
    </w:p>
    <w:p>
      <w:pPr>
        <w:pStyle w:val="ListParagraph"/>
        <w:numPr>
          <w:ilvl w:val="0"/>
          <w:numId w:val="2"/>
        </w:numPr>
        <w:spacing w:after="40" w:before="40"/>
      </w:pPr>
      <w:r>
        <w:rPr>
          <w:rFonts w:ascii="Arial" w:cs="Arial" w:eastAsia="Arial" w:hAnsi="Arial"/>
          <w:sz w:val="21"/>
          <w:szCs w:val="21"/>
        </w:rPr>
        <w:t xml:space="preserve">triplehelixscience.com — Gene therapy consultation and treatment</w:t>
      </w:r>
    </w:p>
    <w:p>
      <w:pPr>
        <w:pStyle w:val="ListParagraph"/>
        <w:numPr>
          <w:ilvl w:val="0"/>
          <w:numId w:val="2"/>
        </w:numPr>
        <w:spacing w:after="40" w:before="40"/>
      </w:pPr>
      <w:r>
        <w:rPr>
          <w:rFonts w:ascii="Arial" w:cs="Arial" w:eastAsia="Arial" w:hAnsi="Arial"/>
          <w:sz w:val="21"/>
          <w:szCs w:val="21"/>
        </w:rPr>
        <w:t xml:space="preserve">Evidence-Based Longevity WhatsApp Groups — 350 clinicians group and 500 enthusiasts group</w:t>
      </w:r>
    </w:p>
    <w:p>
      <w:pPr>
        <w:pStyle w:val="ListParagraph"/>
        <w:numPr>
          <w:ilvl w:val="0"/>
          <w:numId w:val="2"/>
        </w:numPr>
        <w:spacing w:after="40" w:before="40"/>
      </w:pPr>
      <w:r>
        <w:rPr>
          <w:rFonts w:ascii="Arial" w:cs="Arial" w:eastAsia="Arial" w:hAnsi="Arial"/>
          <w:sz w:val="21"/>
          <w:szCs w:val="21"/>
        </w:rPr>
        <w:t xml:space="preserve">mousespan.com — Mouse lifespan leaderboard tracking longevity interventions in animals</w:t>
      </w:r>
    </w:p>
    <w:p>
      <w:r>
        <w:br w:type="page"/>
      </w:r>
    </w:p>
    <w:p>
      <w:pPr>
        <w:pStyle w:val="Heading1"/>
        <w:pBdr>
          <w:bottom w:val="single" w:color="2E74B5" w:sz="6" w:space="6"/>
        </w:pBdr>
        <w:spacing w:after="160" w:before="360"/>
      </w:pPr>
      <w:r>
        <w:rPr>
          <w:rFonts w:ascii="Arial" w:cs="Arial" w:eastAsia="Arial" w:hAnsi="Arial"/>
          <w:b/>
          <w:bCs/>
          <w:color w:val="1B3A6B"/>
          <w:sz w:val="36"/>
          <w:szCs w:val="36"/>
        </w:rPr>
        <w:t xml:space="preserve">Key Takeaways</w:t>
      </w:r>
    </w:p>
    <w:p>
      <w:pPr>
        <w:spacing w:after="60" w:before="60"/>
      </w:pPr>
      <w:r>
        <w:rPr>
          <w:rFonts w:ascii="Arial" w:cs="Arial" w:eastAsia="Arial" w:hAnsi="Arial"/>
          <w:b w:val="false"/>
          <w:bCs w:val="false"/>
          <w:color w:val="000000"/>
          <w:sz w:val="22"/>
          <w:szCs w:val="22"/>
        </w:rPr>
        <w:t xml:space="preserve">The following are the most actionable conclusions from the presentation: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1"/>
              <w:left w:val="single" w:color="D0DCE8" w:sz="1"/>
              <w:bottom w:val="single" w:color="D0DCE8" w:sz="1"/>
              <w:right w:val="single" w:color="D0DCE8" w:sz="1"/>
            </w:tcBorders>
            <w:shd w:fill="1B3A6B" w:val="clear"/>
            <w:tcMar>
              <w:top w:type="dxa" w:w="90"/>
              <w:left w:type="dxa" w:w="140"/>
              <w:bottom w:type="dxa" w:w="90"/>
              <w:right w:type="dxa" w:w="100"/>
            </w:tcMar>
            <w:vAlign w:val="center"/>
          </w:tcPr>
          <w:p>
            <w:r>
              <w:rPr>
                <w:rFonts w:ascii="Arial" w:cs="Arial" w:eastAsia="Arial" w:hAnsi="Arial"/>
                <w:b/>
                <w:bCs/>
                <w:color w:val="FFFFFF"/>
                <w:sz w:val="20"/>
                <w:szCs w:val="20"/>
              </w:rPr>
              <w:t xml:space="preserve">Start with Level 1</w:t>
            </w:r>
          </w:p>
        </w:tc>
        <w:tc>
          <w:tcPr>
            <w:tcW w:type="dxa" w:w="6960"/>
            <w:tcBorders>
              <w:top w:val="single" w:color="D0DCE8" w:sz="1"/>
              <w:left w:val="single" w:color="D0DCE8" w:sz="1"/>
              <w:bottom w:val="single" w:color="D0DCE8" w:sz="1"/>
              <w:right w:val="single" w:color="D0DCE8" w:sz="1"/>
            </w:tcBorders>
            <w:shd w:fill="F0F6FC" w:val="clear"/>
            <w:tcMar>
              <w:top w:type="dxa" w:w="90"/>
              <w:left w:type="dxa" w:w="140"/>
              <w:bottom w:type="dxa" w:w="90"/>
              <w:right w:type="dxa" w:w="100"/>
            </w:tcMar>
          </w:tcPr>
          <w:p>
            <w:r>
              <w:rPr>
                <w:rFonts w:ascii="Arial" w:cs="Arial" w:eastAsia="Arial" w:hAnsi="Arial"/>
                <w:sz w:val="20"/>
                <w:szCs w:val="20"/>
              </w:rPr>
              <w:t xml:space="preserve">The 15 Level 1 components represent the highest-evidence, lowest-risk interventions. Full adherence is estimated to extend healthy lifespan by up to 30 years. Begin here.</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1"/>
              <w:left w:val="single" w:color="D0DCE8" w:sz="1"/>
              <w:bottom w:val="single" w:color="D0DCE8" w:sz="1"/>
              <w:right w:val="single" w:color="D0DCE8" w:sz="1"/>
            </w:tcBorders>
            <w:shd w:fill="1B3A6B" w:val="clear"/>
            <w:tcMar>
              <w:top w:type="dxa" w:w="90"/>
              <w:left w:type="dxa" w:w="140"/>
              <w:bottom w:type="dxa" w:w="90"/>
              <w:right w:type="dxa" w:w="100"/>
            </w:tcMar>
            <w:vAlign w:val="center"/>
          </w:tcPr>
          <w:p>
            <w:r>
              <w:rPr>
                <w:rFonts w:ascii="Arial" w:cs="Arial" w:eastAsia="Arial" w:hAnsi="Arial"/>
                <w:b/>
                <w:bCs/>
                <w:color w:val="FFFFFF"/>
                <w:sz w:val="20"/>
                <w:szCs w:val="20"/>
              </w:rPr>
              <w:t xml:space="preserve">Smoking is the biggest lever</w:t>
            </w:r>
          </w:p>
        </w:tc>
        <w:tc>
          <w:tcPr>
            <w:tcW w:type="dxa" w:w="69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00"/>
            </w:tcMar>
          </w:tcPr>
          <w:p>
            <w:r>
              <w:rPr>
                <w:rFonts w:ascii="Arial" w:cs="Arial" w:eastAsia="Arial" w:hAnsi="Arial"/>
                <w:sz w:val="20"/>
                <w:szCs w:val="20"/>
              </w:rPr>
              <w:t xml:space="preserve">At +10 years, smoking cessation outweighs all other single interventions. Second and third-hand smoke also carry significant risk.</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1"/>
              <w:left w:val="single" w:color="D0DCE8" w:sz="1"/>
              <w:bottom w:val="single" w:color="D0DCE8" w:sz="1"/>
              <w:right w:val="single" w:color="D0DCE8" w:sz="1"/>
            </w:tcBorders>
            <w:shd w:fill="1B3A6B" w:val="clear"/>
            <w:tcMar>
              <w:top w:type="dxa" w:w="90"/>
              <w:left w:type="dxa" w:w="140"/>
              <w:bottom w:type="dxa" w:w="90"/>
              <w:right w:type="dxa" w:w="100"/>
            </w:tcMar>
            <w:vAlign w:val="center"/>
          </w:tcPr>
          <w:p>
            <w:r>
              <w:rPr>
                <w:rFonts w:ascii="Arial" w:cs="Arial" w:eastAsia="Arial" w:hAnsi="Arial"/>
                <w:b/>
                <w:bCs/>
                <w:color w:val="FFFFFF"/>
                <w:sz w:val="20"/>
                <w:szCs w:val="20"/>
              </w:rPr>
              <w:t xml:space="preserve">Sleep quality beats quantity alone</w:t>
            </w:r>
          </w:p>
        </w:tc>
        <w:tc>
          <w:tcPr>
            <w:tcW w:type="dxa" w:w="6960"/>
            <w:tcBorders>
              <w:top w:val="single" w:color="D0DCE8" w:sz="1"/>
              <w:left w:val="single" w:color="D0DCE8" w:sz="1"/>
              <w:bottom w:val="single" w:color="D0DCE8" w:sz="1"/>
              <w:right w:val="single" w:color="D0DCE8" w:sz="1"/>
            </w:tcBorders>
            <w:shd w:fill="F0F6FC" w:val="clear"/>
            <w:tcMar>
              <w:top w:type="dxa" w:w="90"/>
              <w:left w:type="dxa" w:w="140"/>
              <w:bottom w:type="dxa" w:w="90"/>
              <w:right w:type="dxa" w:w="100"/>
            </w:tcMar>
          </w:tcPr>
          <w:p>
            <w:r>
              <w:rPr>
                <w:rFonts w:ascii="Arial" w:cs="Arial" w:eastAsia="Arial" w:hAnsi="Arial"/>
                <w:sz w:val="20"/>
                <w:szCs w:val="20"/>
              </w:rPr>
              <w:t xml:space="preserve">5 specific sleep quality criteria (not just duration) are the basis for the Qian 2023 +8.7-year benefit for men.</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1"/>
              <w:left w:val="single" w:color="D0DCE8" w:sz="1"/>
              <w:bottom w:val="single" w:color="D0DCE8" w:sz="1"/>
              <w:right w:val="single" w:color="D0DCE8" w:sz="1"/>
            </w:tcBorders>
            <w:shd w:fill="1B3A6B" w:val="clear"/>
            <w:tcMar>
              <w:top w:type="dxa" w:w="90"/>
              <w:left w:type="dxa" w:w="140"/>
              <w:bottom w:type="dxa" w:w="90"/>
              <w:right w:type="dxa" w:w="100"/>
            </w:tcMar>
            <w:vAlign w:val="center"/>
          </w:tcPr>
          <w:p>
            <w:r>
              <w:rPr>
                <w:rFonts w:ascii="Arial" w:cs="Arial" w:eastAsia="Arial" w:hAnsi="Arial"/>
                <w:b/>
                <w:bCs/>
                <w:color w:val="FFFFFF"/>
                <w:sz w:val="20"/>
                <w:szCs w:val="20"/>
              </w:rPr>
              <w:t xml:space="preserve">CRON works even at healthy BMI</w:t>
            </w:r>
          </w:p>
        </w:tc>
        <w:tc>
          <w:tcPr>
            <w:tcW w:type="dxa" w:w="69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00"/>
            </w:tcMar>
          </w:tcPr>
          <w:p>
            <w:r>
              <w:rPr>
                <w:rFonts w:ascii="Arial" w:cs="Arial" w:eastAsia="Arial" w:hAnsi="Arial"/>
                <w:sz w:val="20"/>
                <w:szCs w:val="20"/>
              </w:rPr>
              <w:t xml:space="preserve">A 10-20% caloric deficit slows biological aging by ~2 years even in BMI 22-28, challenging the assumption that only overweight individuals benefit.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1"/>
              <w:left w:val="single" w:color="D0DCE8" w:sz="1"/>
              <w:bottom w:val="single" w:color="D0DCE8" w:sz="1"/>
              <w:right w:val="single" w:color="D0DCE8" w:sz="1"/>
            </w:tcBorders>
            <w:shd w:fill="1B3A6B" w:val="clear"/>
            <w:tcMar>
              <w:top w:type="dxa" w:w="90"/>
              <w:left w:type="dxa" w:w="140"/>
              <w:bottom w:type="dxa" w:w="90"/>
              <w:right w:type="dxa" w:w="100"/>
            </w:tcMar>
            <w:vAlign w:val="center"/>
          </w:tcPr>
          <w:p>
            <w:r>
              <w:rPr>
                <w:rFonts w:ascii="Arial" w:cs="Arial" w:eastAsia="Arial" w:hAnsi="Arial"/>
                <w:b/>
                <w:bCs/>
                <w:color w:val="FFFFFF"/>
                <w:sz w:val="20"/>
                <w:szCs w:val="20"/>
              </w:rPr>
              <w:t xml:space="preserve">Waist-to-hip ratio is critical</w:t>
            </w:r>
          </w:p>
        </w:tc>
        <w:tc>
          <w:tcPr>
            <w:tcW w:type="dxa" w:w="6960"/>
            <w:tcBorders>
              <w:top w:val="single" w:color="D0DCE8" w:sz="1"/>
              <w:left w:val="single" w:color="D0DCE8" w:sz="1"/>
              <w:bottom w:val="single" w:color="D0DCE8" w:sz="1"/>
              <w:right w:val="single" w:color="D0DCE8" w:sz="1"/>
            </w:tcBorders>
            <w:shd w:fill="F0F6FC" w:val="clear"/>
            <w:tcMar>
              <w:top w:type="dxa" w:w="90"/>
              <w:left w:type="dxa" w:w="140"/>
              <w:bottom w:type="dxa" w:w="90"/>
              <w:right w:type="dxa" w:w="100"/>
            </w:tcMar>
          </w:tcPr>
          <w:p>
            <w:r>
              <w:rPr>
                <w:rFonts w:ascii="Arial" w:cs="Arial" w:eastAsia="Arial" w:hAnsi="Arial"/>
                <w:sz w:val="20"/>
                <w:szCs w:val="20"/>
              </w:rPr>
              <w:t xml:space="preserve">Waist must be below hip circumference. This is flagged as extremely important and carries an estimated +2-year benefit.</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1"/>
              <w:left w:val="single" w:color="D0DCE8" w:sz="1"/>
              <w:bottom w:val="single" w:color="D0DCE8" w:sz="1"/>
              <w:right w:val="single" w:color="D0DCE8" w:sz="1"/>
            </w:tcBorders>
            <w:shd w:fill="1B3A6B" w:val="clear"/>
            <w:tcMar>
              <w:top w:type="dxa" w:w="90"/>
              <w:left w:type="dxa" w:w="140"/>
              <w:bottom w:type="dxa" w:w="90"/>
              <w:right w:type="dxa" w:w="100"/>
            </w:tcMar>
            <w:vAlign w:val="center"/>
          </w:tcPr>
          <w:p>
            <w:r>
              <w:rPr>
                <w:rFonts w:ascii="Arial" w:cs="Arial" w:eastAsia="Arial" w:hAnsi="Arial"/>
                <w:b/>
                <w:bCs/>
                <w:color w:val="FFFFFF"/>
                <w:sz w:val="20"/>
                <w:szCs w:val="20"/>
              </w:rPr>
              <w:t xml:space="preserve">Gene therapy is now human</w:t>
            </w:r>
          </w:p>
        </w:tc>
        <w:tc>
          <w:tcPr>
            <w:tcW w:type="dxa" w:w="69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00"/>
            </w:tcMar>
          </w:tcPr>
          <w:p>
            <w:r>
              <w:rPr>
                <w:rFonts w:ascii="Arial" w:cs="Arial" w:eastAsia="Arial" w:hAnsi="Arial"/>
                <w:sz w:val="20"/>
                <w:szCs w:val="20"/>
              </w:rPr>
              <w:t xml:space="preserve">hTERT, Follistatin, and Klotho therapies shown to extend lifespan in mice are being administered to humans. Early results are encouraging but experimental.</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1"/>
              <w:left w:val="single" w:color="D0DCE8" w:sz="1"/>
              <w:bottom w:val="single" w:color="D0DCE8" w:sz="1"/>
              <w:right w:val="single" w:color="D0DCE8" w:sz="1"/>
            </w:tcBorders>
            <w:shd w:fill="1B3A6B" w:val="clear"/>
            <w:tcMar>
              <w:top w:type="dxa" w:w="90"/>
              <w:left w:type="dxa" w:w="140"/>
              <w:bottom w:type="dxa" w:w="90"/>
              <w:right w:type="dxa" w:w="100"/>
            </w:tcMar>
            <w:vAlign w:val="center"/>
          </w:tcPr>
          <w:p>
            <w:r>
              <w:rPr>
                <w:rFonts w:ascii="Arial" w:cs="Arial" w:eastAsia="Arial" w:hAnsi="Arial"/>
                <w:b/>
                <w:bCs/>
                <w:color w:val="FFFFFF"/>
                <w:sz w:val="20"/>
                <w:szCs w:val="20"/>
              </w:rPr>
              <w:t xml:space="preserve">81 organs age at different rates</w:t>
            </w:r>
          </w:p>
        </w:tc>
        <w:tc>
          <w:tcPr>
            <w:tcW w:type="dxa" w:w="6960"/>
            <w:tcBorders>
              <w:top w:val="single" w:color="D0DCE8" w:sz="1"/>
              <w:left w:val="single" w:color="D0DCE8" w:sz="1"/>
              <w:bottom w:val="single" w:color="D0DCE8" w:sz="1"/>
              <w:right w:val="single" w:color="D0DCE8" w:sz="1"/>
            </w:tcBorders>
            <w:shd w:fill="F0F6FC" w:val="clear"/>
            <w:tcMar>
              <w:top w:type="dxa" w:w="90"/>
              <w:left w:type="dxa" w:w="140"/>
              <w:bottom w:type="dxa" w:w="90"/>
              <w:right w:type="dxa" w:w="100"/>
            </w:tcMar>
          </w:tcPr>
          <w:p>
            <w:r>
              <w:rPr>
                <w:rFonts w:ascii="Arial" w:cs="Arial" w:eastAsia="Arial" w:hAnsi="Arial"/>
                <w:sz w:val="20"/>
                <w:szCs w:val="20"/>
              </w:rPr>
              <w:t xml:space="preserve">Individualised ageotypes mean standard blood panels are insufficient. Organ-specific biological age measurement is the foundation of Level 3.</w:t>
            </w:r>
          </w:p>
        </w:tc>
      </w:tr>
    </w:tbl>
    <w:p>
      <w:pPr>
        <w:spacing w:after="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CE8" w:sz="1"/>
              <w:left w:val="single" w:color="D0DCE8" w:sz="1"/>
              <w:bottom w:val="single" w:color="D0DCE8" w:sz="1"/>
              <w:right w:val="single" w:color="D0DCE8" w:sz="1"/>
            </w:tcBorders>
            <w:shd w:fill="1B3A6B" w:val="clear"/>
            <w:tcMar>
              <w:top w:type="dxa" w:w="90"/>
              <w:left w:type="dxa" w:w="140"/>
              <w:bottom w:type="dxa" w:w="90"/>
              <w:right w:type="dxa" w:w="100"/>
            </w:tcMar>
            <w:vAlign w:val="center"/>
          </w:tcPr>
          <w:p>
            <w:r>
              <w:rPr>
                <w:rFonts w:ascii="Arial" w:cs="Arial" w:eastAsia="Arial" w:hAnsi="Arial"/>
                <w:b/>
                <w:bCs/>
                <w:color w:val="FFFFFF"/>
                <w:sz w:val="20"/>
                <w:szCs w:val="20"/>
              </w:rPr>
              <w:t xml:space="preserve">The 2030 rejuvenation trial is a landmark</w:t>
            </w:r>
          </w:p>
        </w:tc>
        <w:tc>
          <w:tcPr>
            <w:tcW w:type="dxa" w:w="6960"/>
            <w:tcBorders>
              <w:top w:val="single" w:color="D0DCE8" w:sz="1"/>
              <w:left w:val="single" w:color="D0DCE8" w:sz="1"/>
              <w:bottom w:val="single" w:color="D0DCE8" w:sz="1"/>
              <w:right w:val="single" w:color="D0DCE8" w:sz="1"/>
            </w:tcBorders>
            <w:shd w:fill="FFFFFF" w:val="clear"/>
            <w:tcMar>
              <w:top w:type="dxa" w:w="90"/>
              <w:left w:type="dxa" w:w="140"/>
              <w:bottom w:type="dxa" w:w="90"/>
              <w:right w:type="dxa" w:w="100"/>
            </w:tcMar>
          </w:tcPr>
          <w:p>
            <w:r>
              <w:rPr>
                <w:rFonts w:ascii="Arial" w:cs="Arial" w:eastAsia="Arial" w:hAnsi="Arial"/>
                <w:sz w:val="20"/>
                <w:szCs w:val="20"/>
              </w:rPr>
              <w:t xml:space="preserve">The planned 100-person study in those aged 75-85 will be a key test of whether multi-organ biological rejuvenation is achievable at scale.</w:t>
            </w:r>
          </w:p>
        </w:tc>
      </w:tr>
    </w:tbl>
    <w:p>
      <w:pPr>
        <w:spacing w:after="0" w:before="20"/>
      </w:pPr>
    </w:p>
    <w:p>
      <w:pPr>
        <w:spacing w:after="0" w:before="160"/>
      </w:pPr>
    </w:p>
    <w:p>
      <w:pPr>
        <w:spacing w:after="60" w:before="60"/>
        <w:jc w:val="center"/>
      </w:pPr>
      <w:r>
        <w:rPr>
          <w:rFonts w:ascii="Arial" w:cs="Arial" w:eastAsia="Arial" w:hAnsi="Arial"/>
          <w:b w:val="false"/>
          <w:bCs w:val="false"/>
          <w:color w:val="595959"/>
          <w:sz w:val="22"/>
          <w:szCs w:val="22"/>
        </w:rPr>
        <w:t xml:space="preserve">This document was automatically generated from analysis of the Oliver Zolman Evidence-Based Longevity Protocol presentation slides (77 slides).</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space="4"/>
      </w:pBdr>
      <w:spacing w:before="60"/>
    </w:pPr>
    <w:r>
      <w:rPr>
        <w:rFonts w:ascii="Arial" w:cs="Arial" w:eastAsia="Arial" w:hAnsi="Arial"/>
        <w:color w:val="AAAAAA"/>
        <w:sz w:val="16"/>
        <w:szCs w:val="16"/>
      </w:rPr>
      <w:t xml:space="preserve">Confidential  |  Generated March 2026  |  triplehelixscience.com  |  oliverzolman.com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8" w:sz="4" w:space="4"/>
      </w:pBdr>
      <w:tabs>
        <w:tab w:val="right" w:pos="9720"/>
      </w:tabs>
      <w:spacing w:after="60"/>
    </w:pPr>
    <w:r>
      <w:rPr>
        <w:rFonts w:ascii="Arial" w:cs="Arial" w:eastAsia="Arial" w:hAnsi="Arial"/>
        <w:color w:val="888888"/>
        <w:sz w:val="16"/>
        <w:szCs w:val="16"/>
      </w:rPr>
      <w:t xml:space="preserve">Dr Oliver Zolman  |  Evidence-Based Longevity Protocol Summary</w:t>
    </w:r>
    <w:r>
      <w:rPr>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4B5"/>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89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2026-03-04T21:50:36.800Z</dcterms:created>
  <dcterms:modified xsi:type="dcterms:W3CDTF">2026-03-04T21:50:36.800Z</dcterms:modified>
</cp:coreProperties>
</file>

<file path=docProps/custom.xml><?xml version="1.0" encoding="utf-8"?>
<Properties xmlns="http://schemas.openxmlformats.org/officeDocument/2006/custom-properties" xmlns:vt="http://schemas.openxmlformats.org/officeDocument/2006/docPropsVTypes"/>
</file>