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mysql_day10 PXC集群</w:t>
      </w:r>
    </w:p>
    <w:p>
      <w:pPr>
        <w:numPr>
          <w:ilvl w:val="0"/>
          <w:numId w:val="0"/>
        </w:numPr>
        <w:jc w:val="both"/>
      </w:pPr>
      <w:r>
        <w:t>mha必须配置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必须配置MySQL主从同步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必须指定vip地址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回复主机时必须手动同步数据和手动配置主从结构,重新修改配置文件</w:t>
      </w:r>
    </w:p>
    <w:p>
      <w:pPr>
        <w:numPr>
          <w:ilvl w:val="0"/>
          <w:numId w:val="1"/>
        </w:numPr>
        <w:jc w:val="both"/>
      </w:pPr>
      <w:r>
        <w:t>PXC集群</w:t>
      </w:r>
    </w:p>
    <w:p>
      <w:pPr>
        <w:numPr>
          <w:ilvl w:val="0"/>
          <w:numId w:val="0"/>
        </w:numPr>
        <w:ind w:firstLine="420"/>
        <w:jc w:val="both"/>
      </w:pPr>
      <w:r>
        <w:t>1.1软件介绍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Percona XtraDB Cluster(简称PXC)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--是基于Galera的MySQL高可用集群解决方案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--Galera Cluster是Codership公司开发的一套免费开源的高可用方案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--PXC集群主要由两部分组成:Percona Server with XtraDB和Writer Set Replication patches(同步,多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主复制插件)</w:t>
      </w:r>
    </w:p>
    <w:p>
      <w:pPr>
        <w:numPr>
          <w:ilvl w:val="0"/>
          <w:numId w:val="0"/>
        </w:numPr>
        <w:ind w:firstLine="420"/>
        <w:jc w:val="both"/>
      </w:pPr>
      <w:r>
        <w:t>1.2PXC特点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[1]数据一致性,无同步延迟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[2]没有主从切换操作,无需使用虚拟IP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[3]支持innoDB存储引擎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[4]多线程复制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[5]部署使用简单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[6]支持节点自动加入,无需手动拷贝数据</w:t>
      </w:r>
    </w:p>
    <w:p>
      <w:pPr>
        <w:numPr>
          <w:ilvl w:val="0"/>
          <w:numId w:val="0"/>
        </w:numPr>
        <w:ind w:firstLine="420"/>
        <w:jc w:val="both"/>
      </w:pPr>
      <w:r>
        <w:t>1.3 相应端口</w:t>
      </w:r>
    </w:p>
    <w:tbl>
      <w:tblPr>
        <w:tblStyle w:val="5"/>
        <w:tblW w:w="10459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9EBEC" w:themeFill="text1" w:themeFillTint="1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004"/>
      </w:tblGrid>
      <w:tr>
        <w:trPr>
          <w:trHeight w:val="0" w:hRule="atLeast"/>
        </w:trPr>
        <w:tc>
          <w:tcPr>
            <w:tcW w:w="545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</w:t>
            </w:r>
          </w:p>
        </w:tc>
        <w:tc>
          <w:tcPr>
            <w:tcW w:w="500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c>
          <w:tcPr>
            <w:tcW w:w="545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3306</w:t>
            </w:r>
          </w:p>
        </w:tc>
        <w:tc>
          <w:tcPr>
            <w:tcW w:w="500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数据库服务端口</w:t>
            </w:r>
          </w:p>
        </w:tc>
      </w:tr>
      <w:tr>
        <w:tc>
          <w:tcPr>
            <w:tcW w:w="545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4444</w:t>
            </w:r>
          </w:p>
        </w:tc>
        <w:tc>
          <w:tcPr>
            <w:tcW w:w="500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SST端口</w:t>
            </w:r>
          </w:p>
        </w:tc>
      </w:tr>
      <w:tr>
        <w:tc>
          <w:tcPr>
            <w:tcW w:w="545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4567</w:t>
            </w:r>
          </w:p>
        </w:tc>
        <w:tc>
          <w:tcPr>
            <w:tcW w:w="500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集群通信端口</w:t>
            </w:r>
          </w:p>
        </w:tc>
      </w:tr>
      <w:tr>
        <w:tc>
          <w:tcPr>
            <w:tcW w:w="545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4568</w:t>
            </w:r>
          </w:p>
        </w:tc>
        <w:tc>
          <w:tcPr>
            <w:tcW w:w="500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IST端口</w:t>
            </w:r>
          </w:p>
        </w:tc>
      </w:tr>
      <w:tr>
        <w:tc>
          <w:tcPr>
            <w:tcW w:w="545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SST</w:t>
            </w:r>
          </w:p>
        </w:tc>
        <w:tc>
          <w:tcPr>
            <w:tcW w:w="500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全量同步</w:t>
            </w:r>
          </w:p>
        </w:tc>
      </w:tr>
      <w:tr>
        <w:tc>
          <w:tcPr>
            <w:tcW w:w="545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IST</w:t>
            </w:r>
          </w:p>
        </w:tc>
        <w:tc>
          <w:tcPr>
            <w:tcW w:w="500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增量同步</w:t>
            </w:r>
          </w:p>
        </w:tc>
      </w:tr>
    </w:tbl>
    <w:p>
      <w:pPr>
        <w:numPr>
          <w:ilvl w:val="0"/>
          <w:numId w:val="0"/>
        </w:numPr>
        <w:ind w:firstLine="420"/>
        <w:jc w:val="both"/>
      </w:pPr>
      <w:r>
        <w:t>1.4主机角色</w:t>
      </w:r>
    </w:p>
    <w:tbl>
      <w:tblPr>
        <w:tblStyle w:val="5"/>
        <w:tblW w:w="10436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9EBEC" w:themeFill="text1" w:themeFillTint="1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7"/>
        <w:gridCol w:w="2975"/>
        <w:gridCol w:w="4044"/>
      </w:tblGrid>
      <w:tr>
        <w:tc>
          <w:tcPr>
            <w:tcW w:w="3417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主机名</w:t>
            </w:r>
          </w:p>
        </w:tc>
        <w:tc>
          <w:tcPr>
            <w:tcW w:w="297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ip地址</w:t>
            </w:r>
          </w:p>
        </w:tc>
        <w:tc>
          <w:tcPr>
            <w:tcW w:w="404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</w:t>
            </w:r>
          </w:p>
        </w:tc>
      </w:tr>
      <w:tr>
        <w:tc>
          <w:tcPr>
            <w:tcW w:w="3417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pxcnode71</w:t>
            </w:r>
          </w:p>
        </w:tc>
        <w:tc>
          <w:tcPr>
            <w:tcW w:w="297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192.168.4.71</w:t>
            </w:r>
          </w:p>
        </w:tc>
        <w:tc>
          <w:tcPr>
            <w:tcW w:w="404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数据库服务器</w:t>
            </w:r>
          </w:p>
        </w:tc>
      </w:tr>
      <w:tr>
        <w:tc>
          <w:tcPr>
            <w:tcW w:w="3417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pxcnode72</w:t>
            </w:r>
          </w:p>
        </w:tc>
        <w:tc>
          <w:tcPr>
            <w:tcW w:w="297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192.168.4.72</w:t>
            </w:r>
          </w:p>
        </w:tc>
        <w:tc>
          <w:tcPr>
            <w:tcW w:w="404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数据库服务器</w:t>
            </w:r>
          </w:p>
        </w:tc>
      </w:tr>
      <w:tr>
        <w:tc>
          <w:tcPr>
            <w:tcW w:w="3417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pxcnode73</w:t>
            </w:r>
          </w:p>
        </w:tc>
        <w:tc>
          <w:tcPr>
            <w:tcW w:w="297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192.168.4.73</w:t>
            </w:r>
          </w:p>
        </w:tc>
        <w:tc>
          <w:tcPr>
            <w:tcW w:w="4044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数据库服务器</w:t>
            </w:r>
          </w:p>
        </w:tc>
      </w:tr>
    </w:tbl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]#vim /etc/hosts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192.168.4.71    pxchost71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192.168.4.72    pxchost72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192.168.4.73    pxchost73</w:t>
      </w:r>
    </w:p>
    <w:p>
      <w:pPr>
        <w:numPr>
          <w:ilvl w:val="0"/>
          <w:numId w:val="0"/>
        </w:numPr>
        <w:ind w:firstLine="420"/>
        <w:jc w:val="both"/>
      </w:pPr>
      <w:r>
        <w:t>1.5 部署PXC</w:t>
      </w:r>
    </w:p>
    <w:p>
      <w:pPr>
        <w:numPr>
          <w:ilvl w:val="0"/>
          <w:numId w:val="0"/>
        </w:numPr>
        <w:ind w:firstLine="420"/>
        <w:jc w:val="both"/>
      </w:pPr>
      <w:r>
        <w:t>1.5.1安装软件</w:t>
      </w:r>
    </w:p>
    <w:tbl>
      <w:tblPr>
        <w:tblStyle w:val="5"/>
        <w:tblW w:w="10549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8"/>
        <w:gridCol w:w="4151"/>
      </w:tblGrid>
      <w:tr>
        <w:trPr>
          <w:trHeight w:val="90" w:hRule="atLeast"/>
        </w:trPr>
        <w:tc>
          <w:tcPr>
            <w:tcW w:w="6398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软件</w:t>
            </w:r>
          </w:p>
        </w:tc>
        <w:tc>
          <w:tcPr>
            <w:tcW w:w="415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作用</w:t>
            </w:r>
          </w:p>
        </w:tc>
      </w:tr>
      <w:tr>
        <w:tc>
          <w:tcPr>
            <w:tcW w:w="6398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percona-xtrabackup-24-2.4.13-1.el7.x86_64.rpm</w:t>
            </w:r>
          </w:p>
        </w:tc>
        <w:tc>
          <w:tcPr>
            <w:tcW w:w="415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在线热备份程序</w:t>
            </w:r>
          </w:p>
        </w:tc>
      </w:tr>
      <w:tr>
        <w:tc>
          <w:tcPr>
            <w:tcW w:w="6398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qpress-1.1-14.11.x86_64.rpm</w:t>
            </w:r>
          </w:p>
        </w:tc>
        <w:tc>
          <w:tcPr>
            <w:tcW w:w="415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递归压缩程序</w:t>
            </w:r>
          </w:p>
        </w:tc>
      </w:tr>
      <w:tr>
        <w:tc>
          <w:tcPr>
            <w:tcW w:w="6398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Percona-XtraDB-Cluster-57-5.7.25-31.35.1.el7.x86_64.rpm</w:t>
            </w:r>
          </w:p>
        </w:tc>
        <w:tc>
          <w:tcPr>
            <w:tcW w:w="415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集群服务程序</w:t>
            </w:r>
          </w:p>
        </w:tc>
      </w:tr>
    </w:tbl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 xml:space="preserve">]# rpm -ivh </w:t>
      </w:r>
      <w:r>
        <w:rPr>
          <w:rFonts w:hint="eastAsia"/>
        </w:rPr>
        <w:t>libev-4.15-1.el6.rf.x86_64.rpm</w:t>
      </w:r>
      <w:r>
        <w:rPr>
          <w:rFonts w:hint="default"/>
        </w:rPr>
        <w:t xml:space="preserve">        //安装依赖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  <w:vertAlign w:val="baseline"/>
        </w:rPr>
      </w:pPr>
      <w:r>
        <w:rPr>
          <w:rFonts w:hint="default"/>
        </w:rPr>
        <w:t xml:space="preserve">]# yum -y install </w:t>
      </w:r>
      <w:r>
        <w:rPr>
          <w:rFonts w:hint="eastAsia"/>
          <w:vertAlign w:val="baseline"/>
        </w:rPr>
        <w:t>percona-xtrabackup-24-2.4.13-1.el7.x86_64.rpm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]#rpm -ivh </w:t>
      </w:r>
      <w:r>
        <w:rPr>
          <w:rFonts w:hint="eastAsia"/>
          <w:vertAlign w:val="baseline"/>
        </w:rPr>
        <w:t>qpress-1.1-14.11.x86_64.rpm</w:t>
      </w:r>
      <w:r>
        <w:rPr>
          <w:rFonts w:hint="default"/>
          <w:vertAlign w:val="baseline"/>
        </w:rPr>
        <w:t xml:space="preserve">       //安装依赖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]#tar -xvf Percona-XtraDB-Cluster-5.7.25-31.35-r463-el7-x86_64-bundle.tar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]#yum -y install Percona-XtraDB-Cluster-*.rpm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>1.5.2改配置文件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PXC]# ls /etc/percona-xtradb-cluster.conf.d/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mysqld.cnf</w:t>
      </w:r>
      <w:r>
        <w:rPr>
          <w:rFonts w:hint="default"/>
        </w:rPr>
        <w:t xml:space="preserve">        //数据库运行参数配置文件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mysqld_safe.cnf</w:t>
      </w:r>
      <w:r>
        <w:rPr>
          <w:rFonts w:hint="default"/>
        </w:rPr>
        <w:t xml:space="preserve">        //Percona Server5.7配置文件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eastAsia"/>
        </w:rPr>
        <w:t>wsrep.cnf</w:t>
      </w:r>
      <w:r>
        <w:rPr>
          <w:rFonts w:hint="default"/>
        </w:rPr>
        <w:t xml:space="preserve">        //PXC集群配置文件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>1.5.3--修改数据库服务运行参数配置文件(mysql.cnf)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server-id=73        </w:t>
      </w:r>
      <w:r>
        <w:rPr>
          <w:rFonts w:hint="default"/>
          <w:color w:val="FF0000"/>
        </w:rPr>
        <w:t>//server-id 不允许重复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datadir=/var/lib/mysql        //数据库目录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socket=/var/lib/mysql/mysql.sock        //socket文件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log-error=/var/log/mysqld.log        //日志文件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pid-file=/var/run/mysqld/mysqld.pid        //pid文件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log-bin        //启用binlog日志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log_slave_updates        //启用链式复制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expire_logs_days=7        //日志文件保留天数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>1.5.4 修改PXC配置文件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--wsrep.cnf(3台数据库服务都配置)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wsrep_cluster_address=gcomm://192.168.4.72,192.168.4.73,192.168.4.71    //集群列表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wsrep_node_address=192.168.4.71    //本机ip地址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wsrep_cluster_name=pxc-cluster    //集群名称,3台一致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wsrep_node_name=pvcnode71    //本机主机名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wsrep_sst_auth="sstuser:123qqq...A"        //SST数据同步授权用户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>1.6启动服务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[root@pxcnode71 ~]# systemctl start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"mailto:mysql@bootstrap.service"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mysql@bootstrap.service</w:t>
      </w:r>
      <w:r>
        <w:rPr>
          <w:rFonts w:hint="default"/>
        </w:rPr>
        <w:fldChar w:fldCharType="end"/>
      </w:r>
      <w:r>
        <w:rPr>
          <w:rFonts w:hint="default"/>
        </w:rPr>
        <w:t xml:space="preserve">        //启动集群服务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[root@pxcnode71 ~]# grep pass /var/log/mysqld.log   //查看管理员初始密码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[root@pxcnode71 ~]# mysql -uroot -p'+zMg(2hs5-4d'    //使用初始密码登录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alter user root@"localhost" identified by "123456";    //修改登录密码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grant reload,lock tables,replication client,process on *.* to sstuser@"localhost"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identified by "123qqq...A";        //添加授权</w:t>
      </w:r>
    </w:p>
    <w:p>
      <w:pPr>
        <w:numPr>
          <w:ilvl w:val="0"/>
          <w:numId w:val="0"/>
        </w:numPr>
        <w:ind w:firstLine="420"/>
        <w:jc w:val="both"/>
      </w:pPr>
      <w:r>
        <w:t>1.7测试配置</w:t>
      </w:r>
    </w:p>
    <w:p>
      <w:pPr>
        <w:numPr>
          <w:ilvl w:val="0"/>
          <w:numId w:val="0"/>
        </w:numPr>
        <w:ind w:firstLine="420"/>
        <w:jc w:val="both"/>
      </w:pPr>
      <w:r>
        <w:t>1.7.1查看集群信息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]#mysql -uroot -p123456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 xml:space="preserve">mysql&gt; show status like </w:t>
      </w:r>
      <w:r>
        <w:rPr>
          <w:rFonts w:hint="default"/>
        </w:rPr>
        <w:t>“%wsrep%”;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wsrep_incoming_addresses  192.168.4.73:3306,192.168.4.71:3306,192.168.4.72:3306  //列表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wsrep_cluster_size           3          //集群服务器台数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wsrep_cluster_status       Primary     //集群状态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wsrep_connected            ON        //连接状态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wsrep_ready                 ON        //服务状态</w:t>
      </w:r>
    </w:p>
    <w:p>
      <w:pPr>
        <w:numPr>
          <w:ilvl w:val="0"/>
          <w:numId w:val="0"/>
        </w:numPr>
        <w:ind w:firstLine="420"/>
        <w:jc w:val="both"/>
      </w:pPr>
      <w:r>
        <w:t>1.7.2 测试集群功能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--在任意一台服务器上添加访问数据的授权用户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--在客户端使用授权用户连接任意数据库服务器都可以村塾数据,且可以查看到同样的数据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--建表时,必须有主键字段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>mysql&gt; grant all on 库名.* to 用户@</w:t>
      </w:r>
      <w:r>
        <w:rPr>
          <w:rFonts w:hint="default"/>
        </w:rPr>
        <w:t>”%” identified by “密码”;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]#mysql -h ip地址 -u用户名  -p密码    //访问集群</w:t>
      </w:r>
    </w:p>
    <w:p>
      <w:pPr>
        <w:numPr>
          <w:ilvl w:val="0"/>
          <w:numId w:val="1"/>
        </w:numPr>
        <w:jc w:val="both"/>
      </w:pPr>
      <w:r>
        <w:t>mysql</w:t>
      </w:r>
      <w:r>
        <w:t>存储</w:t>
      </w:r>
      <w:r>
        <w:t>引擎</w:t>
      </w:r>
    </w:p>
    <w:p>
      <w:pPr>
        <w:numPr>
          <w:numId w:val="0"/>
        </w:numPr>
        <w:jc w:val="both"/>
      </w:pPr>
      <w:r>
        <w:t xml:space="preserve">    2.1存储引擎概述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作为可插拔的组件提供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--Mysql服务软件自带的功能程序,处理表的处理器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--不同的存储引擎有不同的功能和数据存储方式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--MYSQLl5.0/5.1 ----&gt;myISAM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--MYSQL5.5/5.6 ----&gt;InnoDB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列出可用的存储引擎类型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--show engines</w:t>
      </w:r>
    </w:p>
    <w:p>
      <w:pPr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2.2 修改表存储引擎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*建表时动手指定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--未指定时,使用默认存储引擎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--alter table 表名 engine=存储引擎名;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*设置数据服务使用的存储引擎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--修改/etc/my.cnf配置文件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[root@host1]vim /etc/my.cnf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[mysqld]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default-storage-engine=存储引擎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[root@host51]#systemctl restart mysqld</w:t>
      </w:r>
    </w:p>
    <w:p>
      <w:pPr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2.3mysql存储引擎的具体要求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--查看服务支持的存储引擎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--修改服务默认使用的存储引擎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--查看表使用的存储引擎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--设置表使用的存储引擎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--修改表存储引擎</w:t>
      </w:r>
    </w:p>
    <w:p>
      <w:pPr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2.4搜索引擎的特点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*myisam存储引擎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主要特点:支持表及锁,不支持事物,事物回滚,外键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表文件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表名.frm    //表结构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表名.MYI    //索引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表名.MYD    //数据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*innodb存储引擎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主要特点:支持行及锁定,支持事务,事物回滚,外键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表文件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表名.frm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表名.ibd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事务日志文件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ibdata1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ib_logfile0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ib_logfile1</w:t>
      </w:r>
    </w:p>
    <w:p>
      <w:pPr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2.5mysql锁机制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*锁粒度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--表级锁:对整张表加锁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--行级锁:仅对被访问的行分别加锁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*锁类型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--读锁(共享锁):支持并发读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--写锁(互斥锁,排它锁):是独占锁,上锁期间其他线程不能读表或写表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*查看当前锁状态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--show status like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“table_lock”;</w:t>
      </w:r>
    </w:p>
    <w:p>
      <w:pPr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2.6 事务特性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Atomic:原子性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--事务的整个操作是一个整体,不可分割,要么全部成功,要么全部失败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Consistency:一直性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--事务操作前后,表中的记录没</w:t>
      </w:r>
      <w:bookmarkStart w:id="0" w:name="_GoBack"/>
      <w:bookmarkEnd w:id="0"/>
      <w:r>
        <w:rPr>
          <w:rFonts w:hint="default" w:cstheme="minorBidi"/>
          <w:kern w:val="2"/>
          <w:sz w:val="21"/>
          <w:szCs w:val="24"/>
          <w:lang w:eastAsia="zh-CN" w:bidi="ar-SA"/>
        </w:rPr>
        <w:t>有变化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Isolation:隔离性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--事务操作是相互隔离不受影响的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Durability:持久性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--数据一旦提交,不可改变,永久改变表数据.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相关命令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 show variables like “autocommit”;        #查看提交状态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 set autocommit=off;        #关闭自动提交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 rollback        #数据回滚</w:t>
      </w:r>
    </w:p>
    <w:p>
      <w:pPr>
        <w:shd w:val="clear" w:fill="E9EBEC" w:themeFill="text1" w:themeFillTint="19"/>
        <w:tabs>
          <w:tab w:val="left" w:pos="89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 commit        #提交数据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077882">
    <w:nsid w:val="5D76F83A"/>
    <w:multiLevelType w:val="singleLevel"/>
    <w:tmpl w:val="5D76F83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80778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BAEDA6"/>
    <w:rsid w:val="3C7E522E"/>
    <w:rsid w:val="3FCF5535"/>
    <w:rsid w:val="75BC9C06"/>
    <w:rsid w:val="7FEFA197"/>
    <w:rsid w:val="ABBAEDA6"/>
    <w:rsid w:val="B7D4508B"/>
    <w:rsid w:val="BBAD5187"/>
    <w:rsid w:val="EBD50441"/>
    <w:rsid w:val="F17606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2019-09-10T17:02:00Z</dcterms:created>
  <dc:creator>student</dc:creator>
  <cp:lastModifiedBy>student</cp:lastModifiedBy>
  <dcterms:modified xsi:type="dcterms:W3CDTF">2019-09-10T20:36:29Z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