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rFonts w:ascii="Noto Sans CJK SC" w:hAnsi="Noto Sans CJK SC" w:eastAsia="Noto Sans CJK SC"/>
          <w:b/>
          <w:color w:val="0F172A"/>
          <w:sz w:val="56"/>
        </w:rPr>
        <w:t>暴跌风险预警框架</w:t>
      </w:r>
    </w:p>
    <w:p>
      <w:pPr>
        <w:jc w:val="center"/>
      </w:pPr>
      <w:r>
        <w:rPr>
          <w:rFonts w:ascii="Noto Sans CJK SC" w:hAnsi="Noto Sans CJK SC" w:eastAsia="Noto Sans CJK SC"/>
          <w:b/>
          <w:color w:val="246BFD"/>
          <w:sz w:val="44"/>
        </w:rPr>
        <w:t>系统整合与 UI 设计方案</w:t>
      </w:r>
    </w:p>
    <w:p>
      <w:pPr>
        <w:spacing w:before="360"/>
        <w:jc w:val="center"/>
      </w:pPr>
      <w:r>
        <w:rPr>
          <w:rFonts w:ascii="Noto Sans CJK SC" w:hAnsi="Noto Sans CJK SC" w:eastAsia="Noto Sans CJK SC"/>
          <w:b w:val="0"/>
          <w:color w:val="64748B"/>
          <w:sz w:val="23"/>
        </w:rPr>
        <w:t>适用于市场指数、行业板块与个股风险闸门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c>
          <w:tcPr>
            <w:tcW w:type="dxa" w:w="1967"/>
            <w:shd w:fill="246BFD"/>
            <w:tcMar>
              <w:top w:w="150" w:type="dxa"/>
              <w:start w:w="80" w:type="dxa"/>
              <w:bottom w:w="15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V 结构脆弱</w:t>
            </w:r>
          </w:p>
        </w:tc>
        <w:tc>
          <w:tcPr>
            <w:tcW w:type="dxa" w:w="1967"/>
            <w:shd w:fill="DC2626"/>
            <w:tcMar>
              <w:top w:w="150" w:type="dxa"/>
              <w:start w:w="80" w:type="dxa"/>
              <w:bottom w:w="15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T 实质触发</w:t>
            </w:r>
          </w:p>
        </w:tc>
        <w:tc>
          <w:tcPr>
            <w:tcW w:type="dxa" w:w="1967"/>
            <w:shd w:fill="D97706"/>
            <w:tcMar>
              <w:top w:w="150" w:type="dxa"/>
              <w:start w:w="80" w:type="dxa"/>
              <w:bottom w:w="15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S 外部传导</w:t>
            </w:r>
          </w:p>
        </w:tc>
        <w:tc>
          <w:tcPr>
            <w:tcW w:type="dxa" w:w="1967"/>
            <w:shd w:fill="0E9F6E"/>
            <w:tcMar>
              <w:top w:w="150" w:type="dxa"/>
              <w:start w:w="80" w:type="dxa"/>
              <w:bottom w:w="15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C 本地确认</w:t>
            </w:r>
          </w:p>
        </w:tc>
        <w:tc>
          <w:tcPr>
            <w:tcW w:type="dxa" w:w="1967"/>
            <w:shd w:fill="7C3AED"/>
            <w:tcMar>
              <w:top w:w="150" w:type="dxa"/>
              <w:start w:w="80" w:type="dxa"/>
              <w:bottom w:w="150" w:type="dxa"/>
              <w:end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9"/>
              </w:rPr>
              <w:t>A 卖出放大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3317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/>
        <w:jc w:val="center"/>
      </w:pPr>
      <w:r>
        <w:rPr>
          <w:rFonts w:ascii="Noto Sans CJK SC" w:hAnsi="Noto Sans CJK SC" w:eastAsia="Noto Sans CJK SC"/>
          <w:b/>
          <w:color w:val="0F172A"/>
          <w:sz w:val="25"/>
        </w:rPr>
        <w:t>产品定位：风险控制层，而非普通选股规则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94A3B8"/>
          <w:sz w:val="19"/>
        </w:rPr>
        <w:t>版本：产品方案 V1.0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目录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1. 功能定位与适用范围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2. 信息架构与系统关系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3. 现有信号看板的改造方案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4. 风险中心首页设计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5. 五层风险模型的UI呈现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6. 市场、板块与个股的下钻结构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7. 风险闸门与信号联动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8. 预警事件中心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9. 规则治理与配置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10. 回测报告设计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11. 数据字段与状态定义</w:t>
      </w:r>
    </w:p>
    <w:p>
      <w:pPr>
        <w:spacing w:after="140" w:before="0" w:line="300" w:lineRule="auto"/>
        <w:ind w:left="216"/>
      </w:pPr>
      <w:r>
        <w:rPr>
          <w:rFonts w:ascii="Noto Sans CJK SC" w:hAnsi="Noto Sans CJK SC" w:eastAsia="Noto Sans CJK SC"/>
          <w:b w:val="0"/>
          <w:color w:val="0F172A"/>
          <w:sz w:val="22"/>
        </w:rPr>
        <w:t>12. 分阶段开发路线图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648"/>
      </w:tblGrid>
      <w:tr>
        <w:tc>
          <w:tcPr>
            <w:tcW w:type="dxa" w:w="4917"/>
            <w:shd w:fill="246BFD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17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46BFD"/>
                <w:sz w:val="23"/>
              </w:rPr>
              <w:t>核心产品原则</w:t>
            </w: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br/>
              <w:t>信号负责判断方向；风险负责判断该方向当前是否值得执行。风险高不等于必然看跌，因此风险等级必须与信号方向分离。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1. 功能定位与适用范围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648"/>
      </w:tblGrid>
      <w:tr>
        <w:tc>
          <w:tcPr>
            <w:tcW w:type="dxa" w:w="4917"/>
            <w:shd w:fill="246BFD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17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46BFD"/>
                <w:sz w:val="23"/>
              </w:rPr>
              <w:t>功能定位</w:t>
            </w: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br/>
              <w:t>将暴跌风险框架作为系统的“风险控制层”：以独立的风险中心呈现，同时通过风险闸门影响现有信号的置信度、推送与执行状态。</w:t>
            </w:r>
          </w:p>
        </w:tc>
      </w:tr>
    </w:tbl>
    <w:p>
      <w:pPr>
        <w:spacing w:after="0"/>
      </w:pP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该功能用于判断目标对象发生非正常快速下跌、估值重定价或流动性踩踏的条件是否正在形成。它不直接预测明日涨跌、精确顶部或具体跌幅。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应用对象</w:t>
            </w:r>
          </w:p>
        </w:tc>
        <w:tc>
          <w:tcPr>
            <w:tcW w:type="dxa" w:w="144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适用程度</w:t>
            </w:r>
          </w:p>
        </w:tc>
        <w:tc>
          <w:tcPr>
            <w:tcW w:type="dxa" w:w="381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主要输出</w:t>
            </w:r>
          </w:p>
        </w:tc>
        <w:tc>
          <w:tcPr>
            <w:tcW w:type="dxa" w:w="230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典型周期</w:t>
            </w:r>
          </w:p>
        </w:tc>
      </w:tr>
      <w:tr>
        <w:tc>
          <w:tcPr>
            <w:tcW w:type="dxa" w:w="194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市场指数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适用</w:t>
            </w:r>
          </w:p>
        </w:tc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系统性下跌风险、市场环境等级</w:t>
            </w:r>
          </w:p>
        </w:tc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1—5日 / 5—20日 / 20—60日</w:t>
            </w:r>
          </w:p>
        </w:tc>
      </w:tr>
      <w:tr>
        <w:tc>
          <w:tcPr>
            <w:tcW w:type="dxa" w:w="194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行业/主题板块</w:t>
            </w:r>
          </w:p>
        </w:tc>
        <w:tc>
          <w:tcPr>
            <w:tcW w:type="dxa" w:w="144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最适合</w:t>
            </w:r>
          </w:p>
        </w:tc>
        <w:tc>
          <w:tcPr>
            <w:tcW w:type="dxa" w:w="381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估值下修、资金撤退、拥挤踩踏风险</w:t>
            </w:r>
          </w:p>
        </w:tc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1—20日</w:t>
            </w:r>
          </w:p>
        </w:tc>
      </w:tr>
      <w:tr>
        <w:tc>
          <w:tcPr>
            <w:tcW w:type="dxa" w:w="194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单只股票</w:t>
            </w:r>
          </w:p>
        </w:tc>
        <w:tc>
          <w:tcPr>
            <w:tcW w:type="dxa" w:w="144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需叠加公司特有风险</w:t>
            </w:r>
          </w:p>
        </w:tc>
        <w:tc>
          <w:tcPr>
            <w:tcW w:type="dxa" w:w="38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市场风险+板块风险+公司风险</w:t>
            </w:r>
          </w:p>
        </w:tc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1—20日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1.1 信号方向与风险等级分离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当前看板中的“看涨、看跌、观望、高风险”混合了方向与风险两个维度。建议重构为：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7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489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信号方向</w:t>
            </w:r>
          </w:p>
        </w:tc>
        <w:tc>
          <w:tcPr>
            <w:tcW w:type="dxa" w:w="34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看涨 / 看跌 / 观望</w:t>
            </w:r>
          </w:p>
        </w:tc>
        <w:tc>
          <w:tcPr>
            <w:tcW w:type="dxa" w:w="489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表示规则对价格方向的判断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风险等级</w:t>
            </w:r>
          </w:p>
        </w:tc>
        <w:tc>
          <w:tcPr>
            <w:tcW w:type="dxa" w:w="345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正常 / 关注 / 警戒 / 高危</w:t>
            </w:r>
          </w:p>
        </w:tc>
        <w:tc>
          <w:tcPr>
            <w:tcW w:type="dxa" w:w="489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表示该信号在当前环境下的可执行性</w:t>
            </w:r>
          </w:p>
        </w:tc>
      </w:tr>
      <w:tr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风险闸门</w:t>
            </w:r>
          </w:p>
        </w:tc>
        <w:tc>
          <w:tcPr>
            <w:tcW w:type="dxa" w:w="34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正常 / 提示 / 降级 / 拦截</w:t>
            </w:r>
          </w:p>
        </w:tc>
        <w:tc>
          <w:tcPr>
            <w:tcW w:type="dxa" w:w="489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决定是否降低置信度或暂停推送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2. 信息架构与系统关系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3317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331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center"/>
      </w:pPr>
      <w:r>
        <w:rPr>
          <w:rFonts w:ascii="Noto Sans CJK SC" w:hAnsi="Noto Sans CJK SC" w:eastAsia="Noto Sans CJK SC"/>
          <w:b w:val="0"/>
          <w:color w:val="64748B"/>
          <w:sz w:val="17"/>
        </w:rPr>
        <w:t>图 1  风险框架在股票规则控制台中的产品架构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2.1 左侧导航建议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00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4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一级功能</w:t>
            </w:r>
          </w:p>
        </w:tc>
        <w:tc>
          <w:tcPr>
            <w:tcW w:type="dxa" w:w="633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0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1</w:t>
            </w:r>
          </w:p>
        </w:tc>
        <w:tc>
          <w:tcPr>
            <w:tcW w:type="dxa" w:w="244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信号看板</w:t>
            </w:r>
          </w:p>
        </w:tc>
        <w:tc>
          <w:tcPr>
            <w:tcW w:type="dxa" w:w="633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查看股票池、系统信号与风险闸门结果</w:t>
            </w:r>
          </w:p>
        </w:tc>
      </w:tr>
      <w:tr>
        <w:tc>
          <w:tcPr>
            <w:tcW w:type="dxa" w:w="10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2</w:t>
            </w:r>
          </w:p>
        </w:tc>
        <w:tc>
          <w:tcPr>
            <w:tcW w:type="dxa" w:w="244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风险中心（新增）</w:t>
            </w:r>
          </w:p>
        </w:tc>
        <w:tc>
          <w:tcPr>
            <w:tcW w:type="dxa" w:w="633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查看市场、板块、个股的风险状态和传导链</w:t>
            </w:r>
          </w:p>
        </w:tc>
      </w:tr>
      <w:tr>
        <w:tc>
          <w:tcPr>
            <w:tcW w:type="dxa" w:w="10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3</w:t>
            </w:r>
          </w:p>
        </w:tc>
        <w:tc>
          <w:tcPr>
            <w:tcW w:type="dxa" w:w="244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股票研究</w:t>
            </w:r>
          </w:p>
        </w:tc>
        <w:tc>
          <w:tcPr>
            <w:tcW w:type="dxa" w:w="633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增加“风险分析”标签页</w:t>
            </w:r>
          </w:p>
        </w:tc>
      </w:tr>
      <w:tr>
        <w:tc>
          <w:tcPr>
            <w:tcW w:type="dxa" w:w="10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4</w:t>
            </w:r>
          </w:p>
        </w:tc>
        <w:tc>
          <w:tcPr>
            <w:tcW w:type="dxa" w:w="244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规则治理</w:t>
            </w:r>
          </w:p>
        </w:tc>
        <w:tc>
          <w:tcPr>
            <w:tcW w:type="dxa" w:w="633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拆分信号规则、风险规则和闸门规则</w:t>
            </w:r>
          </w:p>
        </w:tc>
      </w:tr>
      <w:tr>
        <w:tc>
          <w:tcPr>
            <w:tcW w:type="dxa" w:w="10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5</w:t>
            </w:r>
          </w:p>
        </w:tc>
        <w:tc>
          <w:tcPr>
            <w:tcW w:type="dxa" w:w="244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回测报告</w:t>
            </w:r>
          </w:p>
        </w:tc>
        <w:tc>
          <w:tcPr>
            <w:tcW w:type="dxa" w:w="633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增加风险闸门前后对比</w:t>
            </w:r>
          </w:p>
        </w:tc>
      </w:tr>
      <w:tr>
        <w:tc>
          <w:tcPr>
            <w:tcW w:type="dxa" w:w="10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6—8</w:t>
            </w:r>
          </w:p>
        </w:tc>
        <w:tc>
          <w:tcPr>
            <w:tcW w:type="dxa" w:w="244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AI复盘 / 候选规则 / 运行中心</w:t>
            </w:r>
          </w:p>
        </w:tc>
        <w:tc>
          <w:tcPr>
            <w:tcW w:type="dxa" w:w="633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接收风险事件与运行状态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2.2 风险中心内部标签</w:t>
      </w:r>
    </w:p>
    <w:p>
      <w:pPr>
        <w:spacing w:after="100" w:before="0" w:line="300" w:lineRule="auto"/>
        <w:jc w:val="center"/>
      </w:pPr>
      <w:r>
        <w:rPr>
          <w:rFonts w:ascii="Noto Sans CJK SC" w:hAnsi="Noto Sans CJK SC" w:eastAsia="Noto Sans CJK SC"/>
          <w:b/>
          <w:color w:val="246BFD"/>
          <w:sz w:val="22"/>
        </w:rPr>
        <w:t>风险总览｜市场指数｜行业板块｜个股风险｜预警事件｜风险规则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3. 现有信号看板的改造方案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当前界面可作为第一阶段接入入口，在不重构整体布局的前提下完成风险能力上线。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1855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c2d2a43-9b9a-47ac-9c07-70092cdd6f4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185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center"/>
      </w:pPr>
      <w:r>
        <w:rPr>
          <w:rFonts w:ascii="Noto Sans CJK SC" w:hAnsi="Noto Sans CJK SC" w:eastAsia="Noto Sans CJK SC"/>
          <w:b w:val="0"/>
          <w:color w:val="64748B"/>
          <w:sz w:val="17"/>
        </w:rPr>
        <w:t>图 2  当前开发中的信号看板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3.1 顶部统计卡片调整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当前卡片</w:t>
            </w:r>
          </w:p>
        </w:tc>
        <w:tc>
          <w:tcPr>
            <w:tcW w:type="dxa" w:w="25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建议调整</w:t>
            </w:r>
          </w:p>
        </w:tc>
        <w:tc>
          <w:tcPr>
            <w:tcW w:type="dxa" w:w="511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0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关注股票</w:t>
            </w:r>
          </w:p>
        </w:tc>
        <w:tc>
          <w:tcPr>
            <w:tcW w:type="dxa" w:w="25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保留</w:t>
            </w:r>
          </w:p>
        </w:tc>
        <w:tc>
          <w:tcPr>
            <w:tcW w:type="dxa" w:w="51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当前股票池对象数量</w:t>
            </w:r>
          </w:p>
        </w:tc>
      </w:tr>
      <w:tr>
        <w:tc>
          <w:tcPr>
            <w:tcW w:type="dxa" w:w="20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产生信号</w:t>
            </w:r>
          </w:p>
        </w:tc>
        <w:tc>
          <w:tcPr>
            <w:tcW w:type="dxa" w:w="259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改为“今日信号”</w:t>
            </w:r>
          </w:p>
        </w:tc>
        <w:tc>
          <w:tcPr>
            <w:tcW w:type="dxa" w:w="511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当天有效的方向信号总数</w:t>
            </w:r>
          </w:p>
        </w:tc>
      </w:tr>
      <w:tr>
        <w:tc>
          <w:tcPr>
            <w:tcW w:type="dxa" w:w="20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看涨 / 看跌 / 观望</w:t>
            </w:r>
          </w:p>
        </w:tc>
        <w:tc>
          <w:tcPr>
            <w:tcW w:type="dxa" w:w="25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保留</w:t>
            </w:r>
          </w:p>
        </w:tc>
        <w:tc>
          <w:tcPr>
            <w:tcW w:type="dxa" w:w="51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仅表达方向</w:t>
            </w:r>
          </w:p>
        </w:tc>
      </w:tr>
      <w:tr>
        <w:tc>
          <w:tcPr>
            <w:tcW w:type="dxa" w:w="20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高风险</w:t>
            </w:r>
          </w:p>
        </w:tc>
        <w:tc>
          <w:tcPr>
            <w:tcW w:type="dxa" w:w="259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改为“高危对象”</w:t>
            </w:r>
          </w:p>
        </w:tc>
        <w:tc>
          <w:tcPr>
            <w:tcW w:type="dxa" w:w="511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当前综合风险为红色的市场、板块或股票</w:t>
            </w:r>
          </w:p>
        </w:tc>
      </w:tr>
      <w:tr>
        <w:tc>
          <w:tcPr>
            <w:tcW w:type="dxa" w:w="20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新增</w:t>
            </w:r>
          </w:p>
        </w:tc>
        <w:tc>
          <w:tcPr>
            <w:tcW w:type="dxa" w:w="25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风险拦截</w:t>
            </w:r>
          </w:p>
        </w:tc>
        <w:tc>
          <w:tcPr>
            <w:tcW w:type="dxa" w:w="51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被风险闸门降级或暂停的信号数量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3.2 股票列表字段调整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2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56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系统信号</w:t>
            </w:r>
          </w:p>
        </w:tc>
        <w:tc>
          <w:tcPr>
            <w:tcW w:type="dxa" w:w="75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看涨 / 看跌 / 观望</w:t>
            </w:r>
          </w:p>
        </w:tc>
      </w:tr>
      <w:tr>
        <w:tc>
          <w:tcPr>
            <w:tcW w:type="dxa" w:w="223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信号置信度</w:t>
            </w:r>
          </w:p>
        </w:tc>
        <w:tc>
          <w:tcPr>
            <w:tcW w:type="dxa" w:w="75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原始规则信号的置信度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市场风险</w:t>
            </w:r>
          </w:p>
        </w:tc>
        <w:tc>
          <w:tcPr>
            <w:tcW w:type="dxa" w:w="75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当前市场环境风险</w:t>
            </w:r>
          </w:p>
        </w:tc>
      </w:tr>
      <w:tr>
        <w:tc>
          <w:tcPr>
            <w:tcW w:type="dxa" w:w="223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板块风险</w:t>
            </w:r>
          </w:p>
        </w:tc>
        <w:tc>
          <w:tcPr>
            <w:tcW w:type="dxa" w:w="75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所属行业或主题板块风险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个股风险</w:t>
            </w:r>
          </w:p>
        </w:tc>
        <w:tc>
          <w:tcPr>
            <w:tcW w:type="dxa" w:w="75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公司特有与流动性风险</w:t>
            </w:r>
          </w:p>
        </w:tc>
      </w:tr>
      <w:tr>
        <w:tc>
          <w:tcPr>
            <w:tcW w:type="dxa" w:w="223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综合风险</w:t>
            </w:r>
          </w:p>
        </w:tc>
        <w:tc>
          <w:tcPr>
            <w:tcW w:type="dxa" w:w="75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市场、板块、个股风险合成结果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风险闸门</w:t>
            </w:r>
          </w:p>
        </w:tc>
        <w:tc>
          <w:tcPr>
            <w:tcW w:type="dxa" w:w="75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正常 / 提示 / 降级 / 拦截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2880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l_dashboard_wirefr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center"/>
      </w:pPr>
      <w:r>
        <w:rPr>
          <w:rFonts w:ascii="Noto Sans CJK SC" w:hAnsi="Noto Sans CJK SC" w:eastAsia="Noto Sans CJK SC"/>
          <w:b w:val="0"/>
          <w:color w:val="64748B"/>
          <w:sz w:val="17"/>
        </w:rPr>
        <w:t>图 3  信号看板的风险整合示意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3.3 右侧“市场环境概览”升级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展示市场综合风险、较前一交易日变化以及五层风险分解。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展示风险最高的三个板块，以及近20个交易日风险趋势。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提供“查看风险中心”入口，实现从看板到风险详情的下钻。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4. 风险中心首页设计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6004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center_wire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 w:before="0" w:line="300" w:lineRule="auto"/>
        <w:jc w:val="center"/>
      </w:pPr>
      <w:r>
        <w:rPr>
          <w:rFonts w:ascii="Noto Sans CJK SC" w:hAnsi="Noto Sans CJK SC" w:eastAsia="Noto Sans CJK SC"/>
          <w:b w:val="0"/>
          <w:color w:val="64748B"/>
          <w:sz w:val="17"/>
        </w:rPr>
        <w:t>图 4  风险中心首页线框示意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4.1 页面筛选区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7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控件</w:t>
            </w:r>
          </w:p>
        </w:tc>
        <w:tc>
          <w:tcPr>
            <w:tcW w:type="dxa" w:w="36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选项</w:t>
            </w:r>
          </w:p>
        </w:tc>
        <w:tc>
          <w:tcPr>
            <w:tcW w:type="dxa" w:w="446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市场</w:t>
            </w:r>
          </w:p>
        </w:tc>
        <w:tc>
          <w:tcPr>
            <w:tcW w:type="dxa" w:w="36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A股 / 港股 / 美股 / 自定义</w:t>
            </w:r>
          </w:p>
        </w:tc>
        <w:tc>
          <w:tcPr>
            <w:tcW w:type="dxa" w:w="446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限定数据与基准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对象范围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全市场 / 指数 / 板块 / 个股</w:t>
            </w:r>
          </w:p>
        </w:tc>
        <w:tc>
          <w:tcPr>
            <w:tcW w:type="dxa" w:w="446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确定风险对象层级</w:t>
            </w:r>
          </w:p>
        </w:tc>
      </w:tr>
      <w:tr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观察周期</w:t>
            </w:r>
          </w:p>
        </w:tc>
        <w:tc>
          <w:tcPr>
            <w:tcW w:type="dxa" w:w="36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1—5日 / 5—20日 / 20—60日</w:t>
            </w:r>
          </w:p>
        </w:tc>
        <w:tc>
          <w:tcPr>
            <w:tcW w:type="dxa" w:w="446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区分踩踏、重定价和结构脆弱</w:t>
            </w:r>
          </w:p>
        </w:tc>
      </w:tr>
      <w:tr>
        <w:tc>
          <w:tcPr>
            <w:tcW w:type="dxa" w:w="172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交易日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最新 / 历史日期</w:t>
            </w:r>
          </w:p>
        </w:tc>
        <w:tc>
          <w:tcPr>
            <w:tcW w:type="dxa" w:w="446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支持复盘和回测</w:t>
            </w:r>
          </w:p>
        </w:tc>
      </w:tr>
      <w:tr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风险等级</w:t>
            </w:r>
          </w:p>
        </w:tc>
        <w:tc>
          <w:tcPr>
            <w:tcW w:type="dxa" w:w="36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全部 / 关注 / 警戒 / 高危</w:t>
            </w:r>
          </w:p>
        </w:tc>
        <w:tc>
          <w:tcPr>
            <w:tcW w:type="dxa" w:w="446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快速筛选风险对象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4.2 核心状态卡片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8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卡片</w:t>
            </w:r>
          </w:p>
        </w:tc>
        <w:tc>
          <w:tcPr>
            <w:tcW w:type="dxa" w:w="43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6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交互</w:t>
            </w:r>
          </w:p>
        </w:tc>
      </w:tr>
      <w:tr>
        <w:tc>
          <w:tcPr>
            <w:tcW w:type="dxa" w:w="18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综合风险</w:t>
            </w:r>
          </w:p>
        </w:tc>
        <w:tc>
          <w:tcPr>
            <w:tcW w:type="dxa" w:w="43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0—100分及当前等级</w:t>
            </w:r>
          </w:p>
        </w:tc>
        <w:tc>
          <w:tcPr>
            <w:tcW w:type="dxa" w:w="36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点击进入风险分解</w:t>
            </w:r>
          </w:p>
        </w:tc>
      </w:tr>
      <w:tr>
        <w:tc>
          <w:tcPr>
            <w:tcW w:type="dxa" w:w="187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高危板块</w:t>
            </w:r>
          </w:p>
        </w:tc>
        <w:tc>
          <w:tcPr>
            <w:tcW w:type="dxa" w:w="43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红色风险板块数量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点击筛选板块矩阵</w:t>
            </w:r>
          </w:p>
        </w:tc>
      </w:tr>
      <w:tr>
        <w:tc>
          <w:tcPr>
            <w:tcW w:type="dxa" w:w="18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高危个股</w:t>
            </w:r>
          </w:p>
        </w:tc>
        <w:tc>
          <w:tcPr>
            <w:tcW w:type="dxa" w:w="43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红色风险股票数量</w:t>
            </w:r>
          </w:p>
        </w:tc>
        <w:tc>
          <w:tcPr>
            <w:tcW w:type="dxa" w:w="36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进入个股风险列表</w:t>
            </w:r>
          </w:p>
        </w:tc>
      </w:tr>
      <w:tr>
        <w:tc>
          <w:tcPr>
            <w:tcW w:type="dxa" w:w="187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活跃触发器</w:t>
            </w:r>
          </w:p>
        </w:tc>
        <w:tc>
          <w:tcPr>
            <w:tcW w:type="dxa" w:w="43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当前生效的实质事件数量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打开事件中心</w:t>
            </w:r>
          </w:p>
        </w:tc>
      </w:tr>
      <w:tr>
        <w:tc>
          <w:tcPr>
            <w:tcW w:type="dxa" w:w="18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风险拦截</w:t>
            </w:r>
          </w:p>
        </w:tc>
        <w:tc>
          <w:tcPr>
            <w:tcW w:type="dxa" w:w="43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被降级或拦截的信号数量</w:t>
            </w:r>
          </w:p>
        </w:tc>
        <w:tc>
          <w:tcPr>
            <w:tcW w:type="dxa" w:w="36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进入受影响信号列表</w:t>
            </w:r>
          </w:p>
        </w:tc>
      </w:tr>
      <w:tr>
        <w:tc>
          <w:tcPr>
            <w:tcW w:type="dxa" w:w="187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数据完整度</w:t>
            </w:r>
          </w:p>
        </w:tc>
        <w:tc>
          <w:tcPr>
            <w:tcW w:type="dxa" w:w="43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本次评分的有效指标覆盖率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显示缺失项与更新时间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4.3 板块风险矩阵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默认按照“风险上升速度”排序，而不仅是当前分数。表格列包括：综合风险、V/T/S/C/A、风险趋势、当前阶段、受影响股票数。点击任一维度打开证据抽屉。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5. 五层风险模型的UI呈现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79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代码</w:t>
            </w:r>
          </w:p>
        </w:tc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67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核心问题</w:t>
            </w:r>
          </w:p>
        </w:tc>
        <w:tc>
          <w:tcPr>
            <w:tcW w:type="dxa" w:w="43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典型指标</w:t>
            </w:r>
          </w:p>
        </w:tc>
      </w:tr>
      <w:tr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V</w:t>
            </w:r>
          </w:p>
        </w:tc>
        <w:tc>
          <w:tcPr>
            <w:tcW w:type="dxa" w:w="18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结构脆弱性</w:t>
            </w:r>
          </w:p>
        </w:tc>
        <w:tc>
          <w:tcPr>
            <w:tcW w:type="dxa" w:w="36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对象本身是否容易被击穿？</w:t>
            </w:r>
          </w:p>
        </w:tc>
        <w:tc>
          <w:tcPr>
            <w:tcW w:type="dxa" w:w="43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估值、前期涨幅、拥挤、杠杆存量、流动性错配</w:t>
            </w:r>
          </w:p>
        </w:tc>
      </w:tr>
      <w:tr>
        <w:tc>
          <w:tcPr>
            <w:tcW w:type="dxa" w:w="79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T</w:t>
            </w:r>
          </w:p>
        </w:tc>
        <w:tc>
          <w:tcPr>
            <w:tcW w:type="dxa" w:w="18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实质触发器</w:t>
            </w:r>
          </w:p>
        </w:tc>
        <w:tc>
          <w:tcPr>
            <w:tcW w:type="dxa" w:w="367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是否出现改变现金流或折现率的事件？</w:t>
            </w:r>
          </w:p>
        </w:tc>
        <w:tc>
          <w:tcPr>
            <w:tcW w:type="dxa" w:w="43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盈利下修、利率、政策、信用与信任事件</w:t>
            </w:r>
          </w:p>
        </w:tc>
      </w:tr>
      <w:tr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S</w:t>
            </w:r>
          </w:p>
        </w:tc>
        <w:tc>
          <w:tcPr>
            <w:tcW w:type="dxa" w:w="18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外部传导</w:t>
            </w:r>
          </w:p>
        </w:tc>
        <w:tc>
          <w:tcPr>
            <w:tcW w:type="dxa" w:w="36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外部冲击是否会传导至本地？</w:t>
            </w:r>
          </w:p>
        </w:tc>
        <w:tc>
          <w:tcPr>
            <w:tcW w:type="dxa" w:w="43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动态Beta、产业链映射、关联市场异常收益</w:t>
            </w:r>
          </w:p>
        </w:tc>
      </w:tr>
      <w:tr>
        <w:tc>
          <w:tcPr>
            <w:tcW w:type="dxa" w:w="79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C</w:t>
            </w:r>
          </w:p>
        </w:tc>
        <w:tc>
          <w:tcPr>
            <w:tcW w:type="dxa" w:w="18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本地确认</w:t>
            </w:r>
          </w:p>
        </w:tc>
        <w:tc>
          <w:tcPr>
            <w:tcW w:type="dxa" w:w="367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本地价格与资金是否确认？</w:t>
            </w:r>
          </w:p>
        </w:tc>
        <w:tc>
          <w:tcPr>
            <w:tcW w:type="dxa" w:w="43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龙头转弱、放量、宽度恶化、相对强弱</w:t>
            </w:r>
          </w:p>
        </w:tc>
      </w:tr>
      <w:tr>
        <w:tc>
          <w:tcPr>
            <w:tcW w:type="dxa" w:w="79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A</w:t>
            </w:r>
          </w:p>
        </w:tc>
        <w:tc>
          <w:tcPr>
            <w:tcW w:type="dxa" w:w="18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卖出放大器</w:t>
            </w:r>
          </w:p>
        </w:tc>
        <w:tc>
          <w:tcPr>
            <w:tcW w:type="dxa" w:w="367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是否开始机械性卖出？</w:t>
            </w:r>
          </w:p>
        </w:tc>
        <w:tc>
          <w:tcPr>
            <w:tcW w:type="dxa" w:w="43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融资去化、ETF赎回、期货贴水、流动性下降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5.1 推荐展示方式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首页采用横向分解条：同时显示分数、颜色和较昨日变化。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点击维度后展开指标表，展示当前值、历史分位、风险贡献、数据来源和更新时间。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风险传导链使用时间轴或节点链，区分“未触发、观察、触发、确认、缓解”。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648"/>
      </w:tblGrid>
      <w:tr>
        <w:tc>
          <w:tcPr>
            <w:tcW w:type="dxa" w:w="4917"/>
            <w:shd w:fill="D9770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17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D97706"/>
                <w:sz w:val="23"/>
              </w:rPr>
              <w:t>不要只显示一个总分</w:t>
            </w: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br/>
              <w:t>总分必须附带因果证据。用户需要知道风险来自估值脆弱、外部冲击、本地确认还是去杠杆，才能采取不同动作。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6. 市场、板块与个股的下钻结构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6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52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页面核心内容</w:t>
            </w:r>
          </w:p>
        </w:tc>
        <w:tc>
          <w:tcPr>
            <w:tcW w:type="dxa" w:w="302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下钻关系</w:t>
            </w:r>
          </w:p>
        </w:tc>
      </w:tr>
      <w:tr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市场风险</w:t>
            </w:r>
          </w:p>
        </w:tc>
        <w:tc>
          <w:tcPr>
            <w:tcW w:type="dxa" w:w="52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综合风险趋势、五层分解、风格风险、跨市场传导</w:t>
            </w:r>
          </w:p>
        </w:tc>
        <w:tc>
          <w:tcPr>
            <w:tcW w:type="dxa" w:w="30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进入高风险板块</w:t>
            </w:r>
          </w:p>
        </w:tc>
      </w:tr>
      <w:tr>
        <w:tc>
          <w:tcPr>
            <w:tcW w:type="dxa" w:w="165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板块风险</w:t>
            </w:r>
          </w:p>
        </w:tc>
        <w:tc>
          <w:tcPr>
            <w:tcW w:type="dxa" w:w="525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估值与拥挤、产业触发、龙头确认、ETF/融资流</w:t>
            </w:r>
          </w:p>
        </w:tc>
        <w:tc>
          <w:tcPr>
            <w:tcW w:type="dxa" w:w="302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进入受影响个股</w:t>
            </w:r>
          </w:p>
        </w:tc>
      </w:tr>
      <w:tr>
        <w:tc>
          <w:tcPr>
            <w:tcW w:type="dxa" w:w="16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个股风险</w:t>
            </w:r>
          </w:p>
        </w:tc>
        <w:tc>
          <w:tcPr>
            <w:tcW w:type="dxa" w:w="52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市场继承、板块继承、公司特有风险、流动性</w:t>
            </w:r>
          </w:p>
        </w:tc>
        <w:tc>
          <w:tcPr>
            <w:tcW w:type="dxa" w:w="302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返回信号和风险闸门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6.1 个股风险分析页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在“股票研究”中新增“风险分析”标签页，建议分为以下三个区域：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风险继承：市场风险 → 板块风险 → 公司特有风险 → 个股综合风险。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公司特有风险：业绩预告、现金流、债务、减持、质押、解禁、监管处罚、诉讼、客户集中度和个股流动性。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对信号的影响：展示原始置信度、各风险项扣分、最终置信度与闸门状态。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8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风险来源</w:t>
            </w:r>
          </w:p>
        </w:tc>
        <w:tc>
          <w:tcPr>
            <w:tcW w:type="dxa" w:w="244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初始权重建议</w:t>
            </w:r>
          </w:p>
        </w:tc>
        <w:tc>
          <w:tcPr>
            <w:tcW w:type="dxa" w:w="460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后续优化</w:t>
            </w:r>
          </w:p>
        </w:tc>
      </w:tr>
      <w:tr>
        <w:tc>
          <w:tcPr>
            <w:tcW w:type="dxa" w:w="28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市场风险</w:t>
            </w:r>
          </w:p>
        </w:tc>
        <w:tc>
          <w:tcPr>
            <w:tcW w:type="dxa" w:w="244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25%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根据个股市场Beta动态调整</w:t>
            </w:r>
          </w:p>
        </w:tc>
      </w:tr>
      <w:tr>
        <w:tc>
          <w:tcPr>
            <w:tcW w:type="dxa" w:w="288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板块风险</w:t>
            </w:r>
          </w:p>
        </w:tc>
        <w:tc>
          <w:tcPr>
            <w:tcW w:type="dxa" w:w="244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35%</w:t>
            </w:r>
          </w:p>
        </w:tc>
        <w:tc>
          <w:tcPr>
            <w:tcW w:type="dxa" w:w="46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根据营收与板块暴露调整</w:t>
            </w:r>
          </w:p>
        </w:tc>
      </w:tr>
      <w:tr>
        <w:tc>
          <w:tcPr>
            <w:tcW w:type="dxa" w:w="28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公司特有风险</w:t>
            </w:r>
          </w:p>
        </w:tc>
        <w:tc>
          <w:tcPr>
            <w:tcW w:type="dxa" w:w="244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40%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根据流动性和事件风险调整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7. 风险闸门与信号联动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风险闸门位于原始信号与最终输出之间，不直接将看涨改为看跌，而是改变信号的可执行性。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风险闸门</w:t>
            </w:r>
          </w:p>
        </w:tc>
        <w:tc>
          <w:tcPr>
            <w:tcW w:type="dxa" w:w="475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系统动作</w:t>
            </w:r>
          </w:p>
        </w:tc>
        <w:tc>
          <w:tcPr>
            <w:tcW w:type="dxa" w:w="36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前端展示</w:t>
            </w:r>
          </w:p>
        </w:tc>
      </w:tr>
      <w:tr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正常</w:t>
            </w:r>
          </w:p>
        </w:tc>
        <w:tc>
          <w:tcPr>
            <w:tcW w:type="dxa" w:w="47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不影响原信号</w:t>
            </w:r>
          </w:p>
        </w:tc>
        <w:tc>
          <w:tcPr>
            <w:tcW w:type="dxa" w:w="36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绿色标签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提示</w:t>
            </w:r>
          </w:p>
        </w:tc>
        <w:tc>
          <w:tcPr>
            <w:tcW w:type="dxa" w:w="475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保留信号，增加风险说明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黄色提示</w:t>
            </w:r>
          </w:p>
        </w:tc>
      </w:tr>
      <w:tr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降级</w:t>
            </w:r>
          </w:p>
        </w:tc>
        <w:tc>
          <w:tcPr>
            <w:tcW w:type="dxa" w:w="47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降低置信度或减少推送优先级</w:t>
            </w:r>
          </w:p>
        </w:tc>
        <w:tc>
          <w:tcPr>
            <w:tcW w:type="dxa" w:w="36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橙色标签及扣分明细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拦截</w:t>
            </w:r>
          </w:p>
        </w:tc>
        <w:tc>
          <w:tcPr>
            <w:tcW w:type="dxa" w:w="475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暂停新增低置信度看涨信号</w:t>
            </w:r>
          </w:p>
        </w:tc>
        <w:tc>
          <w:tcPr>
            <w:tcW w:type="dxa" w:w="36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红色标签及触发原因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7.1 初始联动规则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53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条件</w:t>
            </w:r>
          </w:p>
        </w:tc>
        <w:tc>
          <w:tcPr>
            <w:tcW w:type="dxa" w:w="460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53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8"/>
              </w:rPr>
              <w:t>市场风险为黄色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信号正常输出，增加风险标签</w:t>
            </w:r>
          </w:p>
        </w:tc>
      </w:tr>
      <w:tr>
        <w:tc>
          <w:tcPr>
            <w:tcW w:type="dxa" w:w="532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8"/>
              </w:rPr>
              <w:t>市场风险为橙色</w:t>
            </w:r>
          </w:p>
        </w:tc>
        <w:tc>
          <w:tcPr>
            <w:tcW w:type="dxa" w:w="46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看涨信号置信度降低10%—20%</w:t>
            </w:r>
          </w:p>
        </w:tc>
      </w:tr>
      <w:tr>
        <w:tc>
          <w:tcPr>
            <w:tcW w:type="dxa" w:w="53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8"/>
              </w:rPr>
              <w:t>所属板块为红色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暂停新增低置信度看涨信号</w:t>
            </w:r>
          </w:p>
        </w:tc>
      </w:tr>
      <w:tr>
        <w:tc>
          <w:tcPr>
            <w:tcW w:type="dxa" w:w="532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8"/>
              </w:rPr>
              <w:t>C本地确认与A卖出放大同时为红色</w:t>
            </w:r>
          </w:p>
        </w:tc>
        <w:tc>
          <w:tcPr>
            <w:tcW w:type="dxa" w:w="460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拦截新增看涨信号，标记“踩踏风险”</w:t>
            </w:r>
          </w:p>
        </w:tc>
      </w:tr>
      <w:tr>
        <w:tc>
          <w:tcPr>
            <w:tcW w:type="dxa" w:w="53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 w:val="0"/>
                <w:color w:val="0F172A"/>
                <w:sz w:val="18"/>
              </w:rPr>
              <w:t>风险连续两个交易日退出阈值</w:t>
            </w:r>
          </w:p>
        </w:tc>
        <w:tc>
          <w:tcPr>
            <w:tcW w:type="dxa" w:w="460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自动解除拦截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7.2 滞回机制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648"/>
      </w:tblGrid>
      <w:tr>
        <w:tc>
          <w:tcPr>
            <w:tcW w:type="dxa" w:w="4917"/>
            <w:shd w:fill="7C3AED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17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7C3AED"/>
                <w:sz w:val="23"/>
              </w:rPr>
              <w:t>避免阈值附近反复切换</w:t>
            </w: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br/>
              <w:t>示例：风险分数达到75进入红色；只有下降至68以下且连续两个交易日成立，才退出红色。进入阈值与退出阈值必须分开。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8. 预警事件中心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事件中心负责管理风险的完整生命周期，而不是只保存一条报警记录。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95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9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首次触发时间 / 最后更新时间</w:t>
            </w:r>
          </w:p>
        </w:tc>
        <w:tc>
          <w:tcPr>
            <w:tcW w:type="dxa" w:w="69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区分事件产生与持续时间</w:t>
            </w:r>
          </w:p>
        </w:tc>
      </w:tr>
      <w:tr>
        <w:tc>
          <w:tcPr>
            <w:tcW w:type="dxa" w:w="295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风险对象与等级</w:t>
            </w:r>
          </w:p>
        </w:tc>
        <w:tc>
          <w:tcPr>
            <w:tcW w:type="dxa" w:w="691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市场、板块或个股及当前颜色</w:t>
            </w:r>
          </w:p>
        </w:tc>
      </w:tr>
      <w:tr>
        <w:tc>
          <w:tcPr>
            <w:tcW w:type="dxa" w:w="29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触发条件</w:t>
            </w:r>
          </w:p>
        </w:tc>
        <w:tc>
          <w:tcPr>
            <w:tcW w:type="dxa" w:w="69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命中的指标与阈值</w:t>
            </w:r>
          </w:p>
        </w:tc>
      </w:tr>
      <w:tr>
        <w:tc>
          <w:tcPr>
            <w:tcW w:type="dxa" w:w="295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当前阶段</w:t>
            </w:r>
          </w:p>
        </w:tc>
        <w:tc>
          <w:tcPr>
            <w:tcW w:type="dxa" w:w="691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结构脆弱 / 重定价 / 踩踏 / 缓解</w:t>
            </w:r>
          </w:p>
        </w:tc>
      </w:tr>
      <w:tr>
        <w:tc>
          <w:tcPr>
            <w:tcW w:type="dxa" w:w="29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影响范围</w:t>
            </w:r>
          </w:p>
        </w:tc>
        <w:tc>
          <w:tcPr>
            <w:tcW w:type="dxa" w:w="69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受影响板块、股票和信号数量</w:t>
            </w:r>
          </w:p>
        </w:tc>
      </w:tr>
      <w:tr>
        <w:tc>
          <w:tcPr>
            <w:tcW w:type="dxa" w:w="295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因果链</w:t>
            </w:r>
          </w:p>
        </w:tc>
        <w:tc>
          <w:tcPr>
            <w:tcW w:type="dxa" w:w="691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外部冲击到本地确认及卖出放大的路径</w:t>
            </w:r>
          </w:p>
        </w:tc>
      </w:tr>
      <w:tr>
        <w:tc>
          <w:tcPr>
            <w:tcW w:type="dxa" w:w="295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失效条件</w:t>
            </w:r>
          </w:p>
        </w:tc>
        <w:tc>
          <w:tcPr>
            <w:tcW w:type="dxa" w:w="69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风险解除或事件关闭的明确条件</w:t>
            </w:r>
          </w:p>
        </w:tc>
      </w:tr>
    </w:tbl>
    <w:p>
      <w:pPr>
        <w:spacing w:after="0"/>
      </w:pP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事件列表建议列：时间｜风险对象｜等级｜事件｜当前阶段｜影响范围｜状态。点击后使用右侧抽屉展示证据、关联规则和受影响信号。</w:t>
      </w: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9. 规则治理与配置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规则治理应拆分为三类，避免方向规则和风险规则相互污染。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01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规则类型</w:t>
            </w:r>
          </w:p>
        </w:tc>
        <w:tc>
          <w:tcPr>
            <w:tcW w:type="dxa" w:w="446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31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典型输出</w:t>
            </w:r>
          </w:p>
        </w:tc>
      </w:tr>
      <w:tr>
        <w:tc>
          <w:tcPr>
            <w:tcW w:type="dxa" w:w="20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信号规则</w:t>
            </w:r>
          </w:p>
        </w:tc>
        <w:tc>
          <w:tcPr>
            <w:tcW w:type="dxa" w:w="446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判断价格方向</w:t>
            </w:r>
          </w:p>
        </w:tc>
        <w:tc>
          <w:tcPr>
            <w:tcW w:type="dxa" w:w="33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看涨 / 看跌 / 观望</w:t>
            </w:r>
          </w:p>
        </w:tc>
      </w:tr>
      <w:tr>
        <w:tc>
          <w:tcPr>
            <w:tcW w:type="dxa" w:w="201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风险规则</w:t>
            </w:r>
          </w:p>
        </w:tc>
        <w:tc>
          <w:tcPr>
            <w:tcW w:type="dxa" w:w="446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计算V、T、S、C、A风险</w:t>
            </w:r>
          </w:p>
        </w:tc>
        <w:tc>
          <w:tcPr>
            <w:tcW w:type="dxa" w:w="331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维度分数与证据</w:t>
            </w:r>
          </w:p>
        </w:tc>
      </w:tr>
      <w:tr>
        <w:tc>
          <w:tcPr>
            <w:tcW w:type="dxa" w:w="201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闸门规则</w:t>
            </w:r>
          </w:p>
        </w:tc>
        <w:tc>
          <w:tcPr>
            <w:tcW w:type="dxa" w:w="446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决定风险如何影响信号</w:t>
            </w:r>
          </w:p>
        </w:tc>
        <w:tc>
          <w:tcPr>
            <w:tcW w:type="dxa" w:w="331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提示 / 降级 / 拦截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9.1 风险规则编辑器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推荐配置流程：指标选择 → 时间窗口 → 标准化方法 → 阈值 → AND/OR组合 → 风险贡献 → 生效对象 → 冷却时间 → 失效条件。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tblHeader w:val="true"/>
        </w:trPr>
        <w:tc>
          <w:tcPr>
            <w:tcW w:type="dxa" w:w="22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配置项</w:t>
            </w:r>
          </w:p>
        </w:tc>
        <w:tc>
          <w:tcPr>
            <w:tcW w:type="dxa" w:w="7632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推荐能力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指标标准化</w:t>
            </w:r>
          </w:p>
        </w:tc>
        <w:tc>
          <w:tcPr>
            <w:tcW w:type="dxa" w:w="76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历史分位、Z-score、波动率调整、相对变化</w:t>
            </w:r>
          </w:p>
        </w:tc>
      </w:tr>
      <w:tr>
        <w:tc>
          <w:tcPr>
            <w:tcW w:type="dxa" w:w="223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生效对象</w:t>
            </w:r>
          </w:p>
        </w:tc>
        <w:tc>
          <w:tcPr>
            <w:tcW w:type="dxa" w:w="763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市场、指数、行业、主题、股票池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组合逻辑</w:t>
            </w:r>
          </w:p>
        </w:tc>
        <w:tc>
          <w:tcPr>
            <w:tcW w:type="dxa" w:w="76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AND / OR / 至少命中N项</w:t>
            </w:r>
          </w:p>
        </w:tc>
      </w:tr>
      <w:tr>
        <w:tc>
          <w:tcPr>
            <w:tcW w:type="dxa" w:w="223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时间规则</w:t>
            </w:r>
          </w:p>
        </w:tc>
        <w:tc>
          <w:tcPr>
            <w:tcW w:type="dxa" w:w="7632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持续N日、连续加速、冷却期、滞回退出</w:t>
            </w:r>
          </w:p>
        </w:tc>
      </w:tr>
      <w:tr>
        <w:tc>
          <w:tcPr>
            <w:tcW w:type="dxa" w:w="22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数据质量</w:t>
            </w:r>
          </w:p>
        </w:tc>
        <w:tc>
          <w:tcPr>
            <w:tcW w:type="dxa" w:w="7632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缺失时降权、暂停评分或使用替代指标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10. 回测报告设计</w:t>
      </w:r>
    </w:p>
    <w:p>
      <w:pPr>
        <w:spacing w:after="100" w:before="0" w:line="300" w:lineRule="auto"/>
      </w:pPr>
      <w:r>
        <w:rPr>
          <w:rFonts w:ascii="Noto Sans CJK SC" w:hAnsi="Noto Sans CJK SC" w:eastAsia="Noto Sans CJK SC"/>
          <w:b w:val="0"/>
          <w:color w:val="334155"/>
          <w:sz w:val="21"/>
        </w:rPr>
        <w:t>风险模型的价值应通过“加入风险闸门前后”的策略表现对比来验证，而不是只统计历史暴跌案例是否被解释。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tblHeader w:val="true"/>
        </w:trPr>
        <w:tc>
          <w:tcPr>
            <w:tcW w:type="dxa" w:w="230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原始策略</w:t>
            </w:r>
          </w:p>
        </w:tc>
        <w:tc>
          <w:tcPr>
            <w:tcW w:type="dxa" w:w="230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加入风险闸门</w:t>
            </w:r>
          </w:p>
        </w:tc>
        <w:tc>
          <w:tcPr>
            <w:tcW w:type="dxa" w:w="3456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评价方向</w:t>
            </w:r>
          </w:p>
        </w:tc>
      </w:tr>
      <w:t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年化收益</w:t>
            </w:r>
          </w:p>
        </w:tc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34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避免收益过度损失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最大回撤</w:t>
            </w:r>
          </w:p>
        </w:tc>
        <w:tc>
          <w:tcPr>
            <w:tcW w:type="dxa" w:w="172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345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重点改善</w:t>
            </w:r>
          </w:p>
        </w:tc>
      </w:tr>
      <w:t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暴跌期间损失</w:t>
            </w:r>
          </w:p>
        </w:tc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34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重点改善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信号命中率</w:t>
            </w:r>
          </w:p>
        </w:tc>
        <w:tc>
          <w:tcPr>
            <w:tcW w:type="dxa" w:w="172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345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观察是否提升</w:t>
            </w:r>
          </w:p>
        </w:tc>
      </w:tr>
      <w:t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被拦截信号数</w:t>
            </w:r>
          </w:p>
        </w:tc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34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控制过度拦截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错误拦截数</w:t>
            </w:r>
          </w:p>
        </w:tc>
        <w:tc>
          <w:tcPr>
            <w:tcW w:type="dxa" w:w="172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345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衡量机会成本</w:t>
            </w:r>
          </w:p>
        </w:tc>
      </w:tr>
      <w:tr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平均提前量</w:t>
            </w:r>
          </w:p>
        </w:tc>
        <w:tc>
          <w:tcPr>
            <w:tcW w:type="dxa" w:w="172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230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3456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预警提前几个交易日</w:t>
            </w:r>
          </w:p>
        </w:tc>
      </w:tr>
      <w:tr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误报率 / 漏报率</w:t>
            </w:r>
          </w:p>
        </w:tc>
        <w:tc>
          <w:tcPr>
            <w:tcW w:type="dxa" w:w="172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230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—</w:t>
            </w:r>
          </w:p>
        </w:tc>
        <w:tc>
          <w:tcPr>
            <w:tcW w:type="dxa" w:w="3456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样本外核心指标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648"/>
      </w:tblGrid>
      <w:tr>
        <w:tc>
          <w:tcPr>
            <w:tcW w:type="dxa" w:w="4917"/>
            <w:shd w:fill="DC2626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17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DC2626"/>
                <w:sz w:val="23"/>
              </w:rPr>
              <w:t>回测要求</w:t>
            </w: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br/>
              <w:t>参数必须在回测前固定；同时纳入未发生暴跌的普通时期；所有指标必须使用当时可获得的数据，避免未来函数和事后归因。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11. 数据字段与状态定义</w:t>
      </w: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11.1 风险对象输出结构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2088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80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576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0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object_type</w:t>
            </w:r>
          </w:p>
        </w:tc>
        <w:tc>
          <w:tcPr>
            <w:tcW w:type="dxa" w:w="18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枚举</w:t>
            </w:r>
          </w:p>
        </w:tc>
        <w:tc>
          <w:tcPr>
            <w:tcW w:type="dxa" w:w="57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market / sector / stock</w:t>
            </w:r>
          </w:p>
        </w:tc>
      </w:tr>
      <w:tr>
        <w:tc>
          <w:tcPr>
            <w:tcW w:type="dxa" w:w="20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object_id</w:t>
            </w:r>
          </w:p>
        </w:tc>
        <w:tc>
          <w:tcPr>
            <w:tcW w:type="dxa" w:w="18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字符串</w:t>
            </w:r>
          </w:p>
        </w:tc>
        <w:tc>
          <w:tcPr>
            <w:tcW w:type="dxa" w:w="57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指数、板块或股票代码</w:t>
            </w:r>
          </w:p>
        </w:tc>
      </w:tr>
      <w:tr>
        <w:tc>
          <w:tcPr>
            <w:tcW w:type="dxa" w:w="20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horizon</w:t>
            </w:r>
          </w:p>
        </w:tc>
        <w:tc>
          <w:tcPr>
            <w:tcW w:type="dxa" w:w="18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枚举</w:t>
            </w:r>
          </w:p>
        </w:tc>
        <w:tc>
          <w:tcPr>
            <w:tcW w:type="dxa" w:w="57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1—5d / 5—20d / 20—60d</w:t>
            </w:r>
          </w:p>
        </w:tc>
      </w:tr>
      <w:tr>
        <w:tc>
          <w:tcPr>
            <w:tcW w:type="dxa" w:w="20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risk_score</w:t>
            </w:r>
          </w:p>
        </w:tc>
        <w:tc>
          <w:tcPr>
            <w:tcW w:type="dxa" w:w="18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0—100</w:t>
            </w:r>
          </w:p>
        </w:tc>
        <w:tc>
          <w:tcPr>
            <w:tcW w:type="dxa" w:w="57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综合风险分数</w:t>
            </w:r>
          </w:p>
        </w:tc>
      </w:tr>
      <w:tr>
        <w:tc>
          <w:tcPr>
            <w:tcW w:type="dxa" w:w="20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risk_level</w:t>
            </w:r>
          </w:p>
        </w:tc>
        <w:tc>
          <w:tcPr>
            <w:tcW w:type="dxa" w:w="18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枚举</w:t>
            </w:r>
          </w:p>
        </w:tc>
        <w:tc>
          <w:tcPr>
            <w:tcW w:type="dxa" w:w="57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normal / watch / warning / critical</w:t>
            </w:r>
          </w:p>
        </w:tc>
      </w:tr>
      <w:tr>
        <w:tc>
          <w:tcPr>
            <w:tcW w:type="dxa" w:w="20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V/T/S/C/A</w:t>
            </w:r>
          </w:p>
        </w:tc>
        <w:tc>
          <w:tcPr>
            <w:tcW w:type="dxa" w:w="18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0—100</w:t>
            </w:r>
          </w:p>
        </w:tc>
        <w:tc>
          <w:tcPr>
            <w:tcW w:type="dxa" w:w="57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五层风险维度分数</w:t>
            </w:r>
          </w:p>
        </w:tc>
      </w:tr>
      <w:tr>
        <w:tc>
          <w:tcPr>
            <w:tcW w:type="dxa" w:w="20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risk_delta</w:t>
            </w:r>
          </w:p>
        </w:tc>
        <w:tc>
          <w:tcPr>
            <w:tcW w:type="dxa" w:w="18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数值</w:t>
            </w:r>
          </w:p>
        </w:tc>
        <w:tc>
          <w:tcPr>
            <w:tcW w:type="dxa" w:w="57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较前一交易日变化</w:t>
            </w:r>
          </w:p>
        </w:tc>
      </w:tr>
      <w:tr>
        <w:tc>
          <w:tcPr>
            <w:tcW w:type="dxa" w:w="20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confidence</w:t>
            </w:r>
          </w:p>
        </w:tc>
        <w:tc>
          <w:tcPr>
            <w:tcW w:type="dxa" w:w="18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0—100</w:t>
            </w:r>
          </w:p>
        </w:tc>
        <w:tc>
          <w:tcPr>
            <w:tcW w:type="dxa" w:w="57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受数据完整度影响的评分置信度</w:t>
            </w:r>
          </w:p>
        </w:tc>
      </w:tr>
      <w:tr>
        <w:tc>
          <w:tcPr>
            <w:tcW w:type="dxa" w:w="20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stage</w:t>
            </w:r>
          </w:p>
        </w:tc>
        <w:tc>
          <w:tcPr>
            <w:tcW w:type="dxa" w:w="18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枚举</w:t>
            </w:r>
          </w:p>
        </w:tc>
        <w:tc>
          <w:tcPr>
            <w:tcW w:type="dxa" w:w="57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fragile / repricing / stampede / easing</w:t>
            </w:r>
          </w:p>
        </w:tc>
      </w:tr>
      <w:tr>
        <w:tc>
          <w:tcPr>
            <w:tcW w:type="dxa" w:w="2088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evidence</w:t>
            </w:r>
          </w:p>
        </w:tc>
        <w:tc>
          <w:tcPr>
            <w:tcW w:type="dxa" w:w="180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数组</w:t>
            </w:r>
          </w:p>
        </w:tc>
        <w:tc>
          <w:tcPr>
            <w:tcW w:type="dxa" w:w="576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指标、阈值、时间、来源与贡献</w:t>
            </w:r>
          </w:p>
        </w:tc>
      </w:tr>
      <w:tr>
        <w:tc>
          <w:tcPr>
            <w:tcW w:type="dxa" w:w="2088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7"/>
              </w:rPr>
              <w:t>gate_status</w:t>
            </w:r>
          </w:p>
        </w:tc>
        <w:tc>
          <w:tcPr>
            <w:tcW w:type="dxa" w:w="180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枚举</w:t>
            </w:r>
          </w:p>
        </w:tc>
        <w:tc>
          <w:tcPr>
            <w:tcW w:type="dxa" w:w="576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7"/>
              </w:rPr>
              <w:t>normal / notice / downgrade / block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11.2 颜色与状态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158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颜色</w:t>
            </w:r>
          </w:p>
        </w:tc>
        <w:tc>
          <w:tcPr>
            <w:tcW w:type="dxa" w:w="648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正常</w:t>
            </w:r>
          </w:p>
        </w:tc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绿色</w:t>
            </w:r>
          </w:p>
        </w:tc>
        <w:tc>
          <w:tcPr>
            <w:tcW w:type="dxa" w:w="64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未形成明显暴跌结构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关注</w:t>
            </w:r>
          </w:p>
        </w:tc>
        <w:tc>
          <w:tcPr>
            <w:tcW w:type="dxa" w:w="158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黄色</w:t>
            </w:r>
          </w:p>
        </w:tc>
        <w:tc>
          <w:tcPr>
            <w:tcW w:type="dxa" w:w="648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结构脆弱，尚未启动</w:t>
            </w:r>
          </w:p>
        </w:tc>
      </w:tr>
      <w:tr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警戒</w:t>
            </w:r>
          </w:p>
        </w:tc>
        <w:tc>
          <w:tcPr>
            <w:tcW w:type="dxa" w:w="158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橙色</w:t>
            </w:r>
          </w:p>
        </w:tc>
        <w:tc>
          <w:tcPr>
            <w:tcW w:type="dxa" w:w="648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触发器出现并得到部分确认</w:t>
            </w:r>
          </w:p>
        </w:tc>
      </w:tr>
      <w:tr>
        <w:tc>
          <w:tcPr>
            <w:tcW w:type="dxa" w:w="158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高危</w:t>
            </w:r>
          </w:p>
        </w:tc>
        <w:tc>
          <w:tcPr>
            <w:tcW w:type="dxa" w:w="158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红色</w:t>
            </w:r>
          </w:p>
        </w:tc>
        <w:tc>
          <w:tcPr>
            <w:tcW w:type="dxa" w:w="648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本地确认与强制卖出形成负反馈</w:t>
            </w:r>
          </w:p>
        </w:tc>
      </w:tr>
    </w:tbl>
    <w:p>
      <w:pPr>
        <w:spacing w:after="0"/>
      </w:pPr>
    </w:p>
    <w:p>
      <w:pPr>
        <w:pStyle w:val="Heading1"/>
        <w:spacing w:before="240" w:after="120"/>
      </w:pPr>
      <w:r>
        <w:rPr>
          <w:rFonts w:ascii="Noto Sans CJK SC" w:hAnsi="Noto Sans CJK SC" w:eastAsia="Noto Sans CJK SC"/>
          <w:b/>
          <w:color w:val="0F172A"/>
          <w:sz w:val="36"/>
        </w:rPr>
        <w:t>12. 分阶段开发路线图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9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20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5544"/>
            <w:shd w:fill="0F172A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交付内容</w:t>
            </w:r>
          </w:p>
        </w:tc>
      </w:tr>
      <w:tr>
        <w:tc>
          <w:tcPr>
            <w:tcW w:type="dxa" w:w="194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第一阶段：现有页面接入</w:t>
            </w:r>
          </w:p>
        </w:tc>
        <w:tc>
          <w:tcPr>
            <w:tcW w:type="dxa" w:w="25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以最小改动上线风险能力</w:t>
            </w:r>
          </w:p>
        </w:tc>
        <w:tc>
          <w:tcPr>
            <w:tcW w:type="dxa" w:w="554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右侧风险环境概览；股票表风险字段；风险闸门标签；详情抽屉；顶部高危对象和风险拦截</w:t>
            </w:r>
          </w:p>
        </w:tc>
      </w:tr>
      <w:tr>
        <w:tc>
          <w:tcPr>
            <w:tcW w:type="dxa" w:w="194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第二阶段：风险中心</w:t>
            </w:r>
          </w:p>
        </w:tc>
        <w:tc>
          <w:tcPr>
            <w:tcW w:type="dxa" w:w="25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形成独立风险工作台</w:t>
            </w:r>
          </w:p>
        </w:tc>
        <w:tc>
          <w:tcPr>
            <w:tcW w:type="dxa" w:w="554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风险趋势；板块矩阵；五层分解；传导链；预警事件；市场/板块/个股下钻</w:t>
            </w:r>
          </w:p>
        </w:tc>
      </w:tr>
      <w:tr>
        <w:tc>
          <w:tcPr>
            <w:tcW w:type="dxa" w:w="194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第三阶段：规则与回测</w:t>
            </w:r>
          </w:p>
        </w:tc>
        <w:tc>
          <w:tcPr>
            <w:tcW w:type="dxa" w:w="2520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形成可配置、可验证闭环</w:t>
            </w:r>
          </w:p>
        </w:tc>
        <w:tc>
          <w:tcPr>
            <w:tcW w:type="dxa" w:w="5544"/>
            <w:shd w:fill="FFFFFF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风险规则编辑器；闸门规则；事件生命周期；回测前后对比；误报和提前量分析</w:t>
            </w:r>
          </w:p>
        </w:tc>
      </w:tr>
      <w:tr>
        <w:tc>
          <w:tcPr>
            <w:tcW w:type="dxa" w:w="194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0F172A"/>
                <w:sz w:val="18"/>
              </w:rPr>
              <w:t>第四阶段：自动化运营</w:t>
            </w:r>
          </w:p>
        </w:tc>
        <w:tc>
          <w:tcPr>
            <w:tcW w:type="dxa" w:w="2520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形成实时预警与复盘能力</w:t>
            </w:r>
          </w:p>
        </w:tc>
        <w:tc>
          <w:tcPr>
            <w:tcW w:type="dxa" w:w="5544"/>
            <w:shd w:fill="F8FAFC"/>
            <w:tcMar>
              <w:top w:w="85" w:type="dxa"/>
              <w:start w:w="90" w:type="dxa"/>
              <w:bottom w:w="85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 w:val="0"/>
                <w:color w:val="334155"/>
                <w:sz w:val="18"/>
              </w:rPr>
              <w:t>消息推送；AI风险摘要；异常数据检测；风险解除；模型监控</w:t>
            </w:r>
          </w:p>
        </w:tc>
      </w:tr>
    </w:tbl>
    <w:p>
      <w:pPr>
        <w:spacing w:after="0"/>
      </w:pPr>
    </w:p>
    <w:p>
      <w:pPr>
        <w:pStyle w:val="Heading2"/>
        <w:spacing w:before="160" w:after="120"/>
      </w:pPr>
      <w:r>
        <w:rPr>
          <w:rFonts w:ascii="Noto Sans CJK SC" w:hAnsi="Noto Sans CJK SC" w:eastAsia="Noto Sans CJK SC"/>
          <w:b/>
          <w:color w:val="246BFD"/>
          <w:sz w:val="27"/>
        </w:rPr>
        <w:t>12.1 MVP优先级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P0：市场风险、板块风险、综合风险、风险闸门状态。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P0：本地确认C与卖出放大A，因为它们决定风险是否已从脆弱转为踩踏。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P1：风险中心首页、传导链、事件中心和数据完整度。</w:t>
      </w:r>
    </w:p>
    <w:p>
      <w:pPr>
        <w:pStyle w:val="ListBullet"/>
        <w:spacing w:after="40" w:line="288" w:lineRule="auto"/>
      </w:pPr>
      <w:r>
        <w:rPr>
          <w:rFonts w:ascii="Noto Sans CJK SC" w:hAnsi="Noto Sans CJK SC" w:eastAsia="Noto Sans CJK SC"/>
          <w:b w:val="0"/>
          <w:color w:val="334155"/>
          <w:sz w:val="20"/>
        </w:rPr>
        <w:t>P2：公司特有风险、规则编辑器、衍生品与高级流动性指标。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"/>
        <w:gridCol w:w="9648"/>
      </w:tblGrid>
      <w:tr>
        <w:tc>
          <w:tcPr>
            <w:tcW w:type="dxa" w:w="4917"/>
            <w:shd w:fill="246BFD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4917"/>
            <w:shd w:fill="F8FAFC"/>
            <w:tcMar>
              <w:top w:w="130" w:type="dxa"/>
              <w:start w:w="160" w:type="dxa"/>
              <w:bottom w:w="130" w:type="dxa"/>
              <w:end w:w="16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rPr>
                <w:rFonts w:ascii="Noto Sans CJK SC" w:hAnsi="Noto Sans CJK SC" w:eastAsia="Noto Sans CJK SC"/>
                <w:b/>
                <w:color w:val="246BFD"/>
                <w:sz w:val="23"/>
              </w:rPr>
              <w:t>最终产品结构</w:t>
            </w:r>
            <w:r>
              <w:rPr>
                <w:rFonts w:ascii="Noto Sans CJK SC" w:hAnsi="Noto Sans CJK SC" w:eastAsia="Noto Sans CJK SC"/>
                <w:b w:val="0"/>
                <w:color w:val="334155"/>
                <w:sz w:val="20"/>
              </w:rPr>
              <w:br/>
              <w:t>行情、财务、资金和事件数据进入暴跌风险引擎；系统分别生成市场、板块和个股风险；风险闸门对原始股票信号执行提示、降级或拦截；结果统一呈现在信号看板、风险中心、股票研究、预警通知和回测报告中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94A3B8"/>
        <w:sz w:val="17"/>
      </w:rPr>
      <w:t>暴跌风险预警框架 · 系统整合与UI设计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4748B"/>
        <w:sz w:val="17"/>
      </w:rPr>
      <w:t>股票规则控制台｜产品设计方案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