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/>
        <w:jc w:val="center"/>
      </w:pPr>
      <w:r>
        <w:rPr>
          <w:rFonts w:ascii="Noto Serif CJK SC" w:hAnsi="Noto Serif CJK SC" w:eastAsia="Noto Serif CJK SC"/>
          <w:b/>
          <w:i w:val="0"/>
          <w:color w:val="17365D"/>
          <w:sz w:val="52"/>
        </w:rPr>
        <w:t>通用暴跌风险预警框架</w:t>
      </w:r>
    </w:p>
    <w:p>
      <w:pPr>
        <w:keepNext w:val="0"/>
        <w:spacing w:before="0" w:after="140" w:line="288" w:lineRule="auto"/>
        <w:jc w:val="center"/>
      </w:pPr>
      <w:r>
        <w:rPr>
          <w:rFonts w:ascii="Noto Sans CJK SC" w:hAnsi="Noto Sans CJK SC" w:eastAsia="Noto Sans CJK SC"/>
          <w:b/>
          <w:i w:val="0"/>
          <w:color w:val="2F75B5"/>
          <w:sz w:val="28"/>
        </w:rPr>
        <w:t>五层因果模型与门控预警系统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3005"/>
            <w:shd w:fill="D6A84B"/>
          </w:tcPr>
          <w:p>
            <w:r>
              <w:rPr>
                <w:rFonts w:ascii="Noto Sans CJK SC" w:hAnsi="Noto Sans CJK SC" w:eastAsia="Noto Sans CJK SC"/>
                <w:sz w:val="18"/>
              </w:rPr>
            </w:r>
          </w:p>
        </w:tc>
      </w:tr>
    </w:tbl>
    <w:p>
      <w:pPr>
        <w:spacing w:before="400"/>
        <w:jc w:val="center"/>
      </w:pPr>
      <w:r>
        <w:rPr>
          <w:rFonts w:ascii="Noto Sans CJK SC" w:hAnsi="Noto Sans CJK SC" w:eastAsia="Noto Sans CJK SC"/>
          <w:b w:val="0"/>
          <w:i w:val="0"/>
          <w:color w:val="666666"/>
          <w:sz w:val="22"/>
        </w:rPr>
        <w:t>适用于股票指数、行业板块、风格因子及部分跨资产风险监测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8220"/>
            <w:shd w:fill="EEF5FB"/>
            <w:tcBorders>
              <w:top w:val="single" w:sz="10" w:color="2F75B5"/>
              <w:left w:val="single" w:sz="10" w:color="2F75B5"/>
              <w:bottom w:val="single" w:sz="10" w:color="2F75B5"/>
              <w:right w:val="single" w:sz="10" w:color="2F75B5"/>
            </w:tcBorders>
            <w:tcMar>
              <w:top w:w="210" w:type="dxa"/>
              <w:start w:w="260" w:type="dxa"/>
              <w:bottom w:w="210" w:type="dxa"/>
              <w:end w:w="260" w:type="dxa"/>
            </w:tcMar>
          </w:tcPr>
          <w:p>
            <w:pPr>
              <w:keepNext w:val="0"/>
              <w:spacing w:before="0" w:after="14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24"/>
              </w:rPr>
              <w:t>核心判断</w:t>
            </w:r>
          </w:p>
          <w:p>
            <w:pPr>
              <w:keepNext w:val="0"/>
              <w:spacing w:before="0" w:after="0" w:line="37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22222"/>
                <w:sz w:val="24"/>
              </w:rPr>
              <w:t>暴跌通常不是由单一利空造成，而是“结构脆弱性 × 实质触发器 × 市场确认 × 强制卖出”的非线性结果。</w:t>
            </w:r>
          </w:p>
        </w:tc>
      </w:tr>
    </w:tbl>
    <w:p>
      <w:pPr>
        <w:spacing w:before="900"/>
        <w:jc w:val="center"/>
      </w:pPr>
      <w:r>
        <w:rPr>
          <w:rFonts w:ascii="Noto Sans CJK SC" w:hAnsi="Noto Sans CJK SC" w:eastAsia="Noto Sans CJK SC"/>
          <w:b w:val="0"/>
          <w:i w:val="0"/>
          <w:color w:val="666666"/>
          <w:sz w:val="19"/>
        </w:rPr>
        <w:t>版本 1.1  |  2026年7月18日</w:t>
      </w:r>
    </w:p>
    <w:p>
      <w:pPr>
        <w:spacing w:before="840"/>
        <w:jc w:val="center"/>
      </w:pPr>
      <w:r>
        <w:rPr>
          <w:rFonts w:ascii="Noto Sans CJK SC" w:hAnsi="Noto Sans CJK SC" w:eastAsia="Noto Sans CJK SC"/>
          <w:b w:val="0"/>
          <w:i/>
          <w:color w:val="666666"/>
          <w:sz w:val="18"/>
        </w:rPr>
        <w:t>用途边界：用于识别尾部风险环境与预警升级，不预测精确顶部、最低点或必然跌幅。</w:t>
      </w:r>
    </w:p>
    <w:p>
      <w:r>
        <w:rPr>
          <w:rFonts w:ascii="Noto Sans CJK SC" w:hAnsi="Noto Sans CJK SC" w:eastAsia="Noto Sans CJK SC"/>
          <w:sz w:val="21"/>
        </w:rPr>
        <w:br w:type="page"/>
      </w:r>
    </w:p>
    <w:p>
      <w:pPr>
        <w:pStyle w:val="Heading1"/>
        <w:keepNext/>
        <w:spacing w:before="220" w:after="100" w:line="288" w:lineRule="auto"/>
      </w:pPr>
      <w:r>
        <w:rPr>
          <w:rFonts w:ascii="Noto Serif CJK SC" w:hAnsi="Noto Serif CJK SC" w:eastAsia="Noto Serif CJK SC"/>
          <w:b/>
          <w:color w:val="17365D"/>
          <w:sz w:val="32"/>
        </w:rPr>
        <w:t>执行摘要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9524"/>
            <w:shd w:fill="EEF5FB"/>
            <w:tcBorders>
              <w:top w:val="single" w:sz="8" w:color="2F75B5"/>
              <w:left w:val="single" w:sz="18" w:color="2F75B5"/>
              <w:bottom w:val="single" w:sz="8" w:color="2F75B5"/>
              <w:right w:val="single" w:sz="8" w:color="2F75B5"/>
            </w:tcBorders>
            <w:tcMar>
              <w:top w:w="120" w:type="dxa"/>
              <w:start w:w="170" w:type="dxa"/>
              <w:bottom w:w="120" w:type="dxa"/>
              <w:end w:w="160" w:type="dxa"/>
            </w:tcMar>
          </w:tcPr>
          <w:p>
            <w:pPr>
              <w:keepNext w:val="0"/>
              <w:spacing w:before="0" w:after="60" w:line="30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F75B5"/>
                <w:sz w:val="22"/>
              </w:rPr>
              <w:t>核心模型</w:t>
            </w:r>
          </w:p>
          <w:p>
            <w:pPr>
              <w:keepNext w:val="0"/>
              <w:spacing w:before="0" w:after="0" w:line="32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0"/>
              </w:rPr>
              <w:t>暴跌风险由五层变量共同决定：结构脆弱性V、实质触发器T、外部传导S、本地市场确认C、强制卖出放大器A；财报、解禁和制度生效等时间窗口以M系数修正风险强度。</w:t>
            </w:r>
          </w:p>
        </w:tc>
      </w:tr>
    </w:tbl>
    <w:p>
      <w:pPr>
        <w:spacing w:after="20"/>
      </w:pPr>
    </w:p>
    <w:p>
      <w:pPr>
        <w:pStyle w:val="BodyText"/>
        <w:keepNext w:val="0"/>
        <w:spacing w:before="0" w:after="100" w:line="341" w:lineRule="auto"/>
      </w:pP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本框架将暴跌风险拆分为五个层次：V（结构脆弱性）、T（实质触发器）、S（外部传导）、C（本地市场确认）、A（强制卖出放大器）。财报、解禁、政策生效等时间窗口作为M修正系数使用，而不是与底层机制并列的独立原因。</w:t>
      </w:r>
    </w:p>
    <w:p>
      <w:pPr>
        <w:pStyle w:val="ListBullet"/>
        <w:keepNext w:val="0"/>
        <w:spacing w:before="0" w:after="50" w:line="324" w:lineRule="auto"/>
      </w:pP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慢变量：估值、预期、拥挤、杠杆存量和流动性错配决定市场脆弱程度。</w:t>
      </w:r>
    </w:p>
    <w:p>
      <w:pPr>
        <w:pStyle w:val="ListBullet"/>
        <w:keepNext w:val="0"/>
        <w:spacing w:before="0" w:after="50" w:line="324" w:lineRule="auto"/>
      </w:pP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快变量：现金流、折现率、融资条件或市场信任受到冲击后，风险开始进入重新定价阶段。</w:t>
      </w:r>
    </w:p>
    <w:p>
      <w:pPr>
        <w:pStyle w:val="ListBullet"/>
        <w:keepNext w:val="0"/>
        <w:spacing w:before="0" w:after="50" w:line="324" w:lineRule="auto"/>
      </w:pP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确认变量：龙头、市场宽度、成交量、相对强弱和趋势破位用于判断冲击是否已被本地市场接受。</w:t>
      </w:r>
    </w:p>
    <w:p>
      <w:pPr>
        <w:pStyle w:val="ListBullet"/>
        <w:keepNext w:val="0"/>
        <w:spacing w:before="0" w:after="50" w:line="324" w:lineRule="auto"/>
      </w:pP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放大变量：融资平仓、基金赎回、趋势降仓、衍生品对冲和流动性下降决定是否进入踩踏。</w:t>
      </w:r>
    </w:p>
    <w:p>
      <w:pPr>
        <w:pStyle w:val="ListBullet"/>
        <w:keepNext w:val="0"/>
        <w:spacing w:before="0" w:after="50" w:line="324" w:lineRule="auto"/>
      </w:pP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预警升级采用门控条件：单一新闻、单一海外下跌、单一技术破位或时间窗口均不得直接触发红色预警。</w:t>
      </w:r>
    </w:p>
    <w:p>
      <w:pPr>
        <w:pStyle w:val="Heading2"/>
        <w:keepNext/>
        <w:spacing w:before="140" w:after="100" w:line="288" w:lineRule="auto"/>
      </w:pPr>
      <w:r>
        <w:rPr>
          <w:rFonts w:ascii="Noto Serif CJK SC" w:hAnsi="Noto Serif CJK SC" w:eastAsia="Noto Serif CJK SC"/>
          <w:b/>
          <w:color w:val="17365D"/>
          <w:sz w:val="26"/>
        </w:rPr>
        <w:t>目录</w:t>
      </w:r>
    </w:p>
    <w:p>
      <w:pPr>
        <w:keepNext w:val="0"/>
        <w:spacing w:before="0" w:after="40" w:line="300" w:lineRule="auto"/>
      </w:pPr>
      <w:r>
        <w:rPr>
          <w:rFonts w:ascii="Noto Sans CJK SC" w:hAnsi="Noto Sans CJK SC" w:eastAsia="Noto Sans CJK SC"/>
          <w:b w:val="0"/>
          <w:i w:val="0"/>
          <w:color w:val="17365D"/>
          <w:sz w:val="19"/>
        </w:rPr>
        <w:t>1. 框架目标与使用边界</w:t>
      </w:r>
    </w:p>
    <w:p>
      <w:pPr>
        <w:keepNext w:val="0"/>
        <w:spacing w:before="0" w:after="40" w:line="300" w:lineRule="auto"/>
      </w:pPr>
      <w:r>
        <w:rPr>
          <w:rFonts w:ascii="Noto Sans CJK SC" w:hAnsi="Noto Sans CJK SC" w:eastAsia="Noto Sans CJK SC"/>
          <w:b w:val="0"/>
          <w:i w:val="0"/>
          <w:color w:val="17365D"/>
          <w:sz w:val="19"/>
        </w:rPr>
        <w:t>2. 五层因果模型</w:t>
      </w:r>
    </w:p>
    <w:p>
      <w:pPr>
        <w:keepNext w:val="0"/>
        <w:spacing w:before="0" w:after="40" w:line="300" w:lineRule="auto"/>
      </w:pPr>
      <w:r>
        <w:rPr>
          <w:rFonts w:ascii="Noto Sans CJK SC" w:hAnsi="Noto Sans CJK SC" w:eastAsia="Noto Sans CJK SC"/>
          <w:b w:val="0"/>
          <w:i w:val="0"/>
          <w:color w:val="17365D"/>
          <w:sz w:val="19"/>
        </w:rPr>
        <w:t>3. 各维度变量、指标与评分</w:t>
      </w:r>
    </w:p>
    <w:p>
      <w:pPr>
        <w:keepNext w:val="0"/>
        <w:spacing w:before="0" w:after="40" w:line="300" w:lineRule="auto"/>
      </w:pPr>
      <w:r>
        <w:rPr>
          <w:rFonts w:ascii="Noto Sans CJK SC" w:hAnsi="Noto Sans CJK SC" w:eastAsia="Noto Sans CJK SC"/>
          <w:b w:val="0"/>
          <w:i w:val="0"/>
          <w:color w:val="17365D"/>
          <w:sz w:val="19"/>
        </w:rPr>
        <w:t>4. 预警等级与门控规则</w:t>
      </w:r>
    </w:p>
    <w:p>
      <w:pPr>
        <w:keepNext w:val="0"/>
        <w:spacing w:before="0" w:after="40" w:line="300" w:lineRule="auto"/>
      </w:pPr>
      <w:r>
        <w:rPr>
          <w:rFonts w:ascii="Noto Sans CJK SC" w:hAnsi="Noto Sans CJK SC" w:eastAsia="Noto Sans CJK SC"/>
          <w:b w:val="0"/>
          <w:i w:val="0"/>
          <w:color w:val="17365D"/>
          <w:sz w:val="19"/>
        </w:rPr>
        <w:t>5. 七条通用预警规则</w:t>
      </w:r>
    </w:p>
    <w:p>
      <w:pPr>
        <w:keepNext w:val="0"/>
        <w:spacing w:before="0" w:after="40" w:line="300" w:lineRule="auto"/>
      </w:pPr>
      <w:r>
        <w:rPr>
          <w:rFonts w:ascii="Noto Sans CJK SC" w:hAnsi="Noto Sans CJK SC" w:eastAsia="Noto Sans CJK SC"/>
          <w:b w:val="0"/>
          <w:i w:val="0"/>
          <w:color w:val="17365D"/>
          <w:sz w:val="19"/>
        </w:rPr>
        <w:t>6. 日常监测流程与检查清单</w:t>
      </w:r>
    </w:p>
    <w:p>
      <w:pPr>
        <w:keepNext w:val="0"/>
        <w:spacing w:before="0" w:after="40" w:line="300" w:lineRule="auto"/>
      </w:pPr>
      <w:r>
        <w:rPr>
          <w:rFonts w:ascii="Noto Sans CJK SC" w:hAnsi="Noto Sans CJK SC" w:eastAsia="Noto Sans CJK SC"/>
          <w:b w:val="0"/>
          <w:i w:val="0"/>
          <w:color w:val="17365D"/>
          <w:sz w:val="19"/>
        </w:rPr>
        <w:t>7. 模型回测与验证规范</w:t>
      </w:r>
    </w:p>
    <w:p>
      <w:pPr>
        <w:keepNext w:val="0"/>
        <w:spacing w:before="0" w:after="40" w:line="300" w:lineRule="auto"/>
      </w:pPr>
      <w:r>
        <w:rPr>
          <w:rFonts w:ascii="Noto Sans CJK SC" w:hAnsi="Noto Sans CJK SC" w:eastAsia="Noto Sans CJK SC"/>
          <w:b w:val="0"/>
          <w:i w:val="0"/>
          <w:color w:val="17365D"/>
          <w:sz w:val="19"/>
        </w:rPr>
        <w:t>8. 使用限制与实施建议</w:t>
      </w:r>
    </w:p>
    <w:p>
      <w:pPr>
        <w:keepNext w:val="0"/>
        <w:spacing w:before="0" w:after="40" w:line="300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9"/>
        </w:rPr>
        <w:t>附录A：可直接录入表格的评分卡</w:t>
      </w:r>
    </w:p>
    <w:p>
      <w:pPr>
        <w:keepNext w:val="0"/>
        <w:spacing w:before="0" w:after="40" w:line="300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9"/>
        </w:rPr>
        <w:t>附录B：伪代码与示范情境</w:t>
      </w:r>
    </w:p>
    <w:p>
      <w:r>
        <w:rPr>
          <w:rFonts w:ascii="Noto Sans CJK SC" w:hAnsi="Noto Sans CJK SC" w:eastAsia="Noto Sans CJK SC"/>
          <w:sz w:val="21"/>
        </w:rPr>
        <w:br w:type="page"/>
      </w:r>
    </w:p>
    <w:p>
      <w:pPr>
        <w:pStyle w:val="Heading1"/>
        <w:keepNext/>
        <w:spacing w:before="220" w:after="100" w:line="288" w:lineRule="auto"/>
      </w:pPr>
      <w:r>
        <w:rPr>
          <w:rFonts w:ascii="Noto Serif CJK SC" w:hAnsi="Noto Serif CJK SC" w:eastAsia="Noto Serif CJK SC"/>
          <w:b/>
          <w:color w:val="17365D"/>
          <w:sz w:val="32"/>
        </w:rPr>
        <w:t>1. 框架目标与使用边界</w:t>
      </w:r>
    </w:p>
    <w:p>
      <w:pPr>
        <w:pStyle w:val="Heading2"/>
        <w:keepNext/>
        <w:spacing w:before="140" w:after="100" w:line="288" w:lineRule="auto"/>
      </w:pPr>
      <w:r>
        <w:rPr>
          <w:rFonts w:ascii="Noto Serif CJK SC" w:hAnsi="Noto Serif CJK SC" w:eastAsia="Noto Serif CJK SC"/>
          <w:b/>
          <w:color w:val="17365D"/>
          <w:sz w:val="26"/>
        </w:rPr>
        <w:t>1.1 目标</w:t>
      </w:r>
    </w:p>
    <w:p>
      <w:pPr>
        <w:pStyle w:val="BodyText"/>
        <w:keepNext w:val="0"/>
        <w:spacing w:before="0" w:after="100" w:line="341" w:lineRule="auto"/>
      </w:pP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本框架的目标不是预测“明天一定暴跌”，而是识别一个市场何时从正常波动进入尾部风险显著升高的状态，并把风险演化划分为可观测、可升级、可复核的阶段。</w:t>
      </w:r>
    </w:p>
    <w:p>
      <w:pPr>
        <w:pStyle w:val="ListBullet"/>
        <w:keepNext w:val="0"/>
        <w:spacing w:before="0" w:after="50" w:line="324" w:lineRule="auto"/>
      </w:pP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跨市场：可用于A股、港股、美股、欧洲市场及相关跨资产传导。</w:t>
      </w:r>
    </w:p>
    <w:p>
      <w:pPr>
        <w:pStyle w:val="ListBullet"/>
        <w:keepNext w:val="0"/>
        <w:spacing w:before="0" w:after="50" w:line="324" w:lineRule="auto"/>
      </w:pP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跨行业：不依赖AI、新能源、地产或金融等具体叙事。</w:t>
      </w:r>
    </w:p>
    <w:p>
      <w:pPr>
        <w:pStyle w:val="ListBullet"/>
        <w:keepNext w:val="0"/>
        <w:spacing w:before="0" w:after="50" w:line="324" w:lineRule="auto"/>
      </w:pP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跨周期：既覆盖估值泡沫，也覆盖信用事件、政策冲击与流动性危机。</w:t>
      </w:r>
    </w:p>
    <w:p>
      <w:pPr>
        <w:pStyle w:val="ListBullet"/>
        <w:keepNext w:val="0"/>
        <w:spacing w:before="0" w:after="50" w:line="324" w:lineRule="auto"/>
      </w:pP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可执行：每个维度均要求映射到可取得的数据，而不是只使用抽象故事。</w:t>
      </w:r>
    </w:p>
    <w:p>
      <w:pPr>
        <w:pStyle w:val="Heading2"/>
        <w:keepNext/>
        <w:spacing w:before="140" w:after="100" w:line="288" w:lineRule="auto"/>
      </w:pPr>
      <w:r>
        <w:rPr>
          <w:rFonts w:ascii="Noto Serif CJK SC" w:hAnsi="Noto Serif CJK SC" w:eastAsia="Noto Serif CJK SC"/>
          <w:b/>
          <w:color w:val="17365D"/>
          <w:sz w:val="26"/>
        </w:rPr>
        <w:t>1.2 三个明确边界</w:t>
      </w:r>
    </w:p>
    <w:p>
      <w:pPr>
        <w:pStyle w:val="ListNumber"/>
        <w:keepNext w:val="0"/>
        <w:spacing w:before="0" w:after="50" w:line="324" w:lineRule="auto"/>
      </w:pP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预警不是方向预测。高风险状态可以持续，价格也可能先上涨后下跌。</w:t>
      </w:r>
    </w:p>
    <w:p>
      <w:pPr>
        <w:pStyle w:val="ListNumber"/>
        <w:keepNext w:val="0"/>
        <w:spacing w:before="0" w:after="50" w:line="324" w:lineRule="auto"/>
      </w:pP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预警不是交易指令。仓位、期限、风险承受能力和执行成本仍需独立决策。</w:t>
      </w:r>
    </w:p>
    <w:p>
      <w:pPr>
        <w:pStyle w:val="ListNumber"/>
        <w:keepNext w:val="0"/>
        <w:spacing w:before="0" w:after="50" w:line="324" w:lineRule="auto"/>
      </w:pP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风险分数不是概率本身。没有经过严格校准前，不应把“70分”解释成“70%的暴跌概率”。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9524"/>
            <w:shd w:fill="F8F0DC"/>
            <w:tcBorders>
              <w:top w:val="single" w:sz="8" w:color="D6A84B"/>
              <w:left w:val="single" w:sz="18" w:color="D6A84B"/>
              <w:bottom w:val="single" w:sz="8" w:color="D6A84B"/>
              <w:right w:val="single" w:sz="8" w:color="D6A84B"/>
            </w:tcBorders>
            <w:tcMar>
              <w:top w:w="120" w:type="dxa"/>
              <w:start w:w="170" w:type="dxa"/>
              <w:bottom w:w="120" w:type="dxa"/>
              <w:end w:w="160" w:type="dxa"/>
            </w:tcMar>
          </w:tcPr>
          <w:p>
            <w:pPr>
              <w:keepNext w:val="0"/>
              <w:spacing w:before="0" w:after="60" w:line="30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D6A84B"/>
                <w:sz w:val="22"/>
              </w:rPr>
              <w:t>最重要的区分</w:t>
            </w:r>
          </w:p>
          <w:p>
            <w:pPr>
              <w:keepNext w:val="0"/>
              <w:spacing w:before="0" w:after="0" w:line="32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0"/>
              </w:rPr>
              <w:t>“市场很脆弱”与“暴跌已经启动”是两件事。脆弱性是慢变量；触发、确认和去杠杆是快变量。只有快慢变量形成完整链条，预警才应升级。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00" w:line="288" w:lineRule="auto"/>
      </w:pPr>
      <w:r>
        <w:rPr>
          <w:rFonts w:ascii="Noto Serif CJK SC" w:hAnsi="Noto Serif CJK SC" w:eastAsia="Noto Serif CJK SC"/>
          <w:b/>
          <w:color w:val="17365D"/>
          <w:sz w:val="32"/>
        </w:rPr>
        <w:t>2. 五层因果模型</w:t>
      </w:r>
    </w:p>
    <w:p>
      <w:pPr>
        <w:pStyle w:val="BodyText"/>
        <w:keepNext w:val="0"/>
        <w:spacing w:before="0" w:after="100" w:line="341" w:lineRule="auto"/>
      </w:pP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风险模型按照形成顺序组织变量：结构脆弱性提供“燃料”，触发器或外部冲击提供“火花”，本地市场确认判断冲击是否已经进入定价，强制卖出机制决定下跌是否演化为踩踏。</w:t>
      </w:r>
    </w:p>
    <w:p>
      <w:pPr>
        <w:keepNext w:val="0"/>
        <w:spacing w:before="0" w:after="120" w:line="324" w:lineRule="auto"/>
        <w:jc w:val="center"/>
      </w:pPr>
      <w:r>
        <w:rPr>
          <w:rFonts w:ascii="Noto Sans CJK SC" w:hAnsi="Noto Sans CJK SC" w:eastAsia="Noto Sans CJK SC"/>
          <w:sz w:val="21"/>
        </w:rPr>
        <w:drawing>
          <wp:inline xmlns:a="http://schemas.openxmlformats.org/drawingml/2006/main" xmlns:pic="http://schemas.openxmlformats.org/drawingml/2006/picture">
            <wp:extent cx="6120000" cy="16526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ash_risk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65263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F8F0DC"/>
            <w:tcBorders>
              <w:top w:val="single" w:sz="8" w:color="D6A84B"/>
              <w:left w:val="single" w:sz="8" w:color="D6A84B"/>
              <w:bottom w:val="single" w:sz="8" w:color="D6A84B"/>
              <w:right w:val="single" w:sz="8" w:color="D6A84B"/>
            </w:tcBorders>
            <w:tcMar>
              <w:top w:w="125" w:type="dxa"/>
              <w:start w:w="160" w:type="dxa"/>
              <w:bottom w:w="125" w:type="dxa"/>
              <w:end w:w="160" w:type="dxa"/>
            </w:tcMar>
          </w:tcPr>
          <w:p>
            <w:pPr>
              <w:keepNext w:val="0"/>
              <w:spacing w:before="0" w:after="4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26"/>
              </w:rPr>
              <w:t>Risk = M × (0.30V + 0.20T + 0.15S + 0.20C + 0.15A)</w:t>
            </w:r>
          </w:p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666666"/>
                <w:sz w:val="19"/>
              </w:rPr>
              <w:t>V、T、S、C、A均为0—100分；M为0.90—1.20的时间窗口修正系数。总分用于衡量强度，门控条件决定预警等级。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 w:line="288" w:lineRule="auto"/>
      </w:pPr>
      <w:r>
        <w:rPr>
          <w:rFonts w:ascii="Noto Serif CJK SC" w:hAnsi="Noto Serif CJK SC" w:eastAsia="Noto Serif CJK SC"/>
          <w:b/>
          <w:color w:val="17365D"/>
          <w:sz w:val="26"/>
        </w:rPr>
        <w:t>2.1 五层定义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1871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模块</w:t>
            </w:r>
          </w:p>
        </w:tc>
        <w:tc>
          <w:tcPr>
            <w:tcW w:type="dxa" w:w="7483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V 结构脆弱性</w:t>
            </w:r>
          </w:p>
        </w:tc>
        <w:tc>
          <w:tcPr>
            <w:tcW w:type="dxa" w:w="7483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估值、预期、前期涨幅、仓位拥挤、杠杆存量和流动性错配。通常按周或按日缓慢更新。</w:t>
            </w:r>
          </w:p>
        </w:tc>
      </w:tr>
      <w:tr>
        <w:trPr>
          <w:cantSplit/>
        </w:trPr>
        <w:tc>
          <w:tcPr>
            <w:tcW w:type="dxa" w:w="187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T 实质触发器</w:t>
            </w:r>
          </w:p>
        </w:tc>
        <w:tc>
          <w:tcPr>
            <w:tcW w:type="dxa" w:w="7483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能够降低未来现金流、提高折现率、收紧融资条件或损害市场信任的事件。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S 外部传导</w:t>
            </w:r>
          </w:p>
        </w:tc>
        <w:tc>
          <w:tcPr>
            <w:tcW w:type="dxa" w:w="7483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由具有价格发现能力的相关资产发出的异常信号，经动态关联和产业映射向目标市场传递。</w:t>
            </w:r>
          </w:p>
        </w:tc>
      </w:tr>
      <w:tr>
        <w:trPr>
          <w:cantSplit/>
        </w:trPr>
        <w:tc>
          <w:tcPr>
            <w:tcW w:type="dxa" w:w="187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C 本地确认</w:t>
            </w:r>
          </w:p>
        </w:tc>
        <w:tc>
          <w:tcPr>
            <w:tcW w:type="dxa" w:w="7483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目标市场自身出现龙头转弱、宽度恶化、放量下跌、相对强弱下降或趋势破位。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A 强制卖出</w:t>
            </w:r>
          </w:p>
        </w:tc>
        <w:tc>
          <w:tcPr>
            <w:tcW w:type="dxa" w:w="7483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融资平仓、基金赎回、趋势策略降仓、衍生品对冲和流动性下降形成的机械负反馈。</w:t>
            </w:r>
          </w:p>
        </w:tc>
      </w:tr>
      <w:tr>
        <w:trPr>
          <w:cantSplit/>
        </w:trPr>
        <w:tc>
          <w:tcPr>
            <w:tcW w:type="dxa" w:w="187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M 时间修正</w:t>
            </w:r>
          </w:p>
        </w:tc>
        <w:tc>
          <w:tcPr>
            <w:tcW w:type="dxa" w:w="7483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财报密集期、解禁、政策生效、再平衡或结算窗口，仅在实际暴露存在时提高风险强度。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40" w:after="100" w:line="288" w:lineRule="auto"/>
      </w:pPr>
      <w:r>
        <w:rPr>
          <w:rFonts w:ascii="Noto Serif CJK SC" w:hAnsi="Noto Serif CJK SC" w:eastAsia="Noto Serif CJK SC"/>
          <w:b/>
          <w:color w:val="17365D"/>
          <w:sz w:val="26"/>
        </w:rPr>
        <w:t>2.2 事件翻译规则</w:t>
      </w:r>
    </w:p>
    <w:p>
      <w:pPr>
        <w:pStyle w:val="BodyText"/>
        <w:keepNext w:val="0"/>
        <w:spacing w:before="0" w:after="100" w:line="341" w:lineRule="auto"/>
      </w:pP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任何新闻或叙事都不能直接进入高等级预警，必须先翻译成以下四类经济含义之一。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1984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经济含义</w:t>
            </w:r>
          </w:p>
        </w:tc>
        <w:tc>
          <w:tcPr>
            <w:tcW w:type="dxa" w:w="7370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可观测结果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现金流下降</w:t>
            </w:r>
          </w:p>
        </w:tc>
        <w:tc>
          <w:tcPr>
            <w:tcW w:type="dxa" w:w="7370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收入、订单、价格、毛利率、成本、库存、产能利用率或市场份额恶化。</w:t>
            </w:r>
          </w:p>
        </w:tc>
      </w:tr>
      <w:tr>
        <w:trPr>
          <w:cantSplit/>
        </w:trPr>
        <w:tc>
          <w:tcPr>
            <w:tcW w:type="dxa" w:w="1984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折现率上升</w:t>
            </w:r>
          </w:p>
        </w:tc>
        <w:tc>
          <w:tcPr>
            <w:tcW w:type="dxa" w:w="7370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实际利率、信用利差、风险溢价、汇率压力或宏观不确定性上升。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融资条件收紧</w:t>
            </w:r>
          </w:p>
        </w:tc>
        <w:tc>
          <w:tcPr>
            <w:tcW w:type="dxa" w:w="7370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债务融资成本上升、授信下降、保证金要求提高、流动性供给减少。</w:t>
            </w:r>
          </w:p>
        </w:tc>
      </w:tr>
      <w:tr>
        <w:trPr>
          <w:cantSplit/>
        </w:trPr>
        <w:tc>
          <w:tcPr>
            <w:tcW w:type="dxa" w:w="1984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市场信任受损</w:t>
            </w:r>
          </w:p>
        </w:tc>
        <w:tc>
          <w:tcPr>
            <w:tcW w:type="dxa" w:w="7370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财务真实性、兑付能力、审计、治理、监管合规或信息披露受到质疑。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20" w:after="100" w:line="288" w:lineRule="auto"/>
      </w:pPr>
      <w:r>
        <w:rPr>
          <w:rFonts w:ascii="Noto Serif CJK SC" w:hAnsi="Noto Serif CJK SC" w:eastAsia="Noto Serif CJK SC"/>
          <w:b/>
          <w:color w:val="17365D"/>
          <w:sz w:val="32"/>
        </w:rPr>
        <w:t>3. 各维度变量、指标与评分</w:t>
      </w:r>
    </w:p>
    <w:p>
      <w:pPr>
        <w:pStyle w:val="BodyText"/>
        <w:keepNext w:val="0"/>
        <w:spacing w:before="0" w:after="100" w:line="341" w:lineRule="auto"/>
      </w:pP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所有指标优先采用历史分位、波动率标准化和边际变化，而不是跨市场直接使用固定绝对阈值。建议使用3—5年滚动窗口，并保留不同市场的独立参数。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F8F0DC"/>
            <w:tcBorders>
              <w:top w:val="single" w:sz="8" w:color="D6A84B"/>
              <w:left w:val="single" w:sz="8" w:color="D6A84B"/>
              <w:bottom w:val="single" w:sz="8" w:color="D6A84B"/>
              <w:right w:val="single" w:sz="8" w:color="D6A84B"/>
            </w:tcBorders>
            <w:tcMar>
              <w:top w:w="125" w:type="dxa"/>
              <w:start w:w="160" w:type="dxa"/>
              <w:bottom w:w="125" w:type="dxa"/>
              <w:end w:w="160" w:type="dxa"/>
            </w:tcMar>
          </w:tcPr>
          <w:p>
            <w:pPr>
              <w:keepNext w:val="0"/>
              <w:spacing w:before="0" w:after="4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26"/>
              </w:rPr>
              <w:t>异常波动 = 当期收益率 ÷ 过去60日实现波动率</w:t>
            </w:r>
          </w:p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666666"/>
                <w:sz w:val="19"/>
              </w:rPr>
              <w:t>用于比较不同市场和不同波动环境中的冲击强度；也可使用历史百分位或稳健Z分数。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 w:line="288" w:lineRule="auto"/>
      </w:pPr>
      <w:r>
        <w:rPr>
          <w:rFonts w:ascii="Noto Serif CJK SC" w:hAnsi="Noto Serif CJK SC" w:eastAsia="Noto Serif CJK SC"/>
          <w:b/>
          <w:color w:val="17365D"/>
          <w:sz w:val="26"/>
        </w:rPr>
        <w:t>3.1 V：结构脆弱性（0—100）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  <w:cantSplit/>
        </w:trPr>
        <w:tc>
          <w:tcPr>
            <w:tcW w:type="dxa" w:w="1701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子项</w:t>
            </w:r>
          </w:p>
        </w:tc>
        <w:tc>
          <w:tcPr>
            <w:tcW w:type="dxa" w:w="794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权重</w:t>
            </w:r>
          </w:p>
        </w:tc>
        <w:tc>
          <w:tcPr>
            <w:tcW w:type="dxa" w:w="3231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主要指标</w:t>
            </w:r>
          </w:p>
        </w:tc>
        <w:tc>
          <w:tcPr>
            <w:tcW w:type="dxa" w:w="3685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评分提示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6"/>
              </w:rPr>
              <w:t>估值与风险溢价</w:t>
            </w:r>
          </w:p>
        </w:tc>
        <w:tc>
          <w:tcPr>
            <w:tcW w:type="dxa" w:w="794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20</w:t>
            </w:r>
          </w:p>
        </w:tc>
        <w:tc>
          <w:tcPr>
            <w:tcW w:type="dxa" w:w="3231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估值历史分位、股权风险溢价、信用利差、相对同类估值</w:t>
            </w:r>
          </w:p>
        </w:tc>
        <w:tc>
          <w:tcPr>
            <w:tcW w:type="dxa" w:w="3685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85%分位以上开始明显加分；95%分位以上接近满分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6"/>
              </w:rPr>
              <w:t>预期饱和</w:t>
            </w:r>
          </w:p>
        </w:tc>
        <w:tc>
          <w:tcPr>
            <w:tcW w:type="dxa" w:w="794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15</w:t>
            </w:r>
          </w:p>
        </w:tc>
        <w:tc>
          <w:tcPr>
            <w:tcW w:type="dxa" w:w="323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盈利预测一致性、目标价一致性、利好反应衰减、超预期门槛</w:t>
            </w:r>
          </w:p>
        </w:tc>
        <w:tc>
          <w:tcPr>
            <w:tcW w:type="dxa" w:w="3685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“好消息不涨”连续出现，或预测上调但价格不再响应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6"/>
              </w:rPr>
              <w:t>前期超额涨幅</w:t>
            </w:r>
          </w:p>
        </w:tc>
        <w:tc>
          <w:tcPr>
            <w:tcW w:type="dxa" w:w="794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15</w:t>
            </w:r>
          </w:p>
        </w:tc>
        <w:tc>
          <w:tcPr>
            <w:tcW w:type="dxa" w:w="3231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20/60/120日相对收益、趋势斜率、上涨持续时间</w:t>
            </w:r>
          </w:p>
        </w:tc>
        <w:tc>
          <w:tcPr>
            <w:tcW w:type="dxa" w:w="3685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相对收益进入历史90%分位，同时波动开始扩大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6"/>
              </w:rPr>
              <w:t>持仓与成交拥挤</w:t>
            </w:r>
          </w:p>
        </w:tc>
        <w:tc>
          <w:tcPr>
            <w:tcW w:type="dxa" w:w="794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20</w:t>
            </w:r>
          </w:p>
        </w:tc>
        <w:tc>
          <w:tcPr>
            <w:tcW w:type="dxa" w:w="323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基金超配、ETF流入集中、成交额占比、收益相关性</w:t>
            </w:r>
          </w:p>
        </w:tc>
        <w:tc>
          <w:tcPr>
            <w:tcW w:type="dxa" w:w="3685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多个拥挤代理同时进入历史90%分位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6"/>
              </w:rPr>
              <w:t>杠杆存量</w:t>
            </w:r>
          </w:p>
        </w:tc>
        <w:tc>
          <w:tcPr>
            <w:tcW w:type="dxa" w:w="794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15</w:t>
            </w:r>
          </w:p>
        </w:tc>
        <w:tc>
          <w:tcPr>
            <w:tcW w:type="dxa" w:w="3231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融资余额、保证金头寸、杠杆产品规模、企业债务</w:t>
            </w:r>
          </w:p>
        </w:tc>
        <w:tc>
          <w:tcPr>
            <w:tcW w:type="dxa" w:w="3685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水平高且新增杠杆推动价格的效率下降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6"/>
              </w:rPr>
              <w:t>流动性错配</w:t>
            </w:r>
          </w:p>
        </w:tc>
        <w:tc>
          <w:tcPr>
            <w:tcW w:type="dxa" w:w="794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15</w:t>
            </w:r>
          </w:p>
        </w:tc>
        <w:tc>
          <w:tcPr>
            <w:tcW w:type="dxa" w:w="323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基金可赎回性、底层成交深度、买卖价差、冲击成本</w:t>
            </w:r>
          </w:p>
        </w:tc>
        <w:tc>
          <w:tcPr>
            <w:tcW w:type="dxa" w:w="3685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可每日赎回资金规模大于底层资产可快速变现能力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40" w:after="100" w:line="288" w:lineRule="auto"/>
      </w:pPr>
      <w:r>
        <w:rPr>
          <w:rFonts w:ascii="Noto Serif CJK SC" w:hAnsi="Noto Serif CJK SC" w:eastAsia="Noto Serif CJK SC"/>
          <w:b/>
          <w:color w:val="17365D"/>
          <w:sz w:val="26"/>
        </w:rPr>
        <w:t>3.2 T：实质触发器（0—100）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  <w:cantSplit/>
        </w:trPr>
        <w:tc>
          <w:tcPr>
            <w:tcW w:type="dxa" w:w="1701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子项</w:t>
            </w:r>
          </w:p>
        </w:tc>
        <w:tc>
          <w:tcPr>
            <w:tcW w:type="dxa" w:w="794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权重</w:t>
            </w:r>
          </w:p>
        </w:tc>
        <w:tc>
          <w:tcPr>
            <w:tcW w:type="dxa" w:w="3402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主要指标</w:t>
            </w:r>
          </w:p>
        </w:tc>
        <w:tc>
          <w:tcPr>
            <w:tcW w:type="dxa" w:w="3515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评分提示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6"/>
              </w:rPr>
              <w:t>现金流冲击</w:t>
            </w:r>
          </w:p>
        </w:tc>
        <w:tc>
          <w:tcPr>
            <w:tcW w:type="dxa" w:w="794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30</w:t>
            </w:r>
          </w:p>
        </w:tc>
        <w:tc>
          <w:tcPr>
            <w:tcW w:type="dxa" w:w="3402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盈利预警、订单取消、降价、成本上升、库存恶化</w:t>
            </w:r>
          </w:p>
        </w:tc>
        <w:tc>
          <w:tcPr>
            <w:tcW w:type="dxa" w:w="3515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按未来12个月盈利预测下修幅度及影响范围评分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6"/>
              </w:rPr>
              <w:t>折现率冲击</w:t>
            </w:r>
          </w:p>
        </w:tc>
        <w:tc>
          <w:tcPr>
            <w:tcW w:type="dxa" w:w="794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25</w:t>
            </w:r>
          </w:p>
        </w:tc>
        <w:tc>
          <w:tcPr>
            <w:tcW w:type="dxa" w:w="3402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实际利率、信用利差、风险溢价、汇率和通胀</w:t>
            </w:r>
          </w:p>
        </w:tc>
        <w:tc>
          <w:tcPr>
            <w:tcW w:type="dxa" w:w="3515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使用波动率调整后的变化，而非固定基点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6"/>
              </w:rPr>
              <w:t>融资条件冲击</w:t>
            </w:r>
          </w:p>
        </w:tc>
        <w:tc>
          <w:tcPr>
            <w:tcW w:type="dxa" w:w="794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20</w:t>
            </w:r>
          </w:p>
        </w:tc>
        <w:tc>
          <w:tcPr>
            <w:tcW w:type="dxa" w:w="3402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债券发行困难、授信收紧、保证金上调、流动性工具退出</w:t>
            </w:r>
          </w:p>
        </w:tc>
        <w:tc>
          <w:tcPr>
            <w:tcW w:type="dxa" w:w="3515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影响融资可得性和再融资成本时加分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6"/>
              </w:rPr>
              <w:t>信任冲击</w:t>
            </w:r>
          </w:p>
        </w:tc>
        <w:tc>
          <w:tcPr>
            <w:tcW w:type="dxa" w:w="794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25</w:t>
            </w:r>
          </w:p>
        </w:tc>
        <w:tc>
          <w:tcPr>
            <w:tcW w:type="dxa" w:w="3402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违约、审计、造假、治理、监管执法、兑付疑虑</w:t>
            </w:r>
          </w:p>
        </w:tc>
        <w:tc>
          <w:tcPr>
            <w:tcW w:type="dxa" w:w="3515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6"/>
              </w:rPr>
              <w:t>一旦影响数据可信度或资金安全，可快速给高分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40" w:after="100" w:line="288" w:lineRule="auto"/>
      </w:pPr>
      <w:r>
        <w:rPr>
          <w:rFonts w:ascii="Noto Serif CJK SC" w:hAnsi="Noto Serif CJK SC" w:eastAsia="Noto Serif CJK SC"/>
          <w:b/>
          <w:color w:val="17365D"/>
          <w:sz w:val="26"/>
        </w:rPr>
        <w:t>3.3 S：外部传导（0—100）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子项</w:t>
            </w:r>
          </w:p>
        </w:tc>
        <w:tc>
          <w:tcPr>
            <w:tcW w:type="dxa" w:w="907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权重</w:t>
            </w:r>
          </w:p>
        </w:tc>
        <w:tc>
          <w:tcPr>
            <w:tcW w:type="dxa" w:w="6236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度量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7"/>
              </w:rPr>
              <w:t>领先资产异常跌幅</w:t>
            </w:r>
          </w:p>
        </w:tc>
        <w:tc>
          <w:tcPr>
            <w:tcW w:type="dxa" w:w="907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30</w:t>
            </w:r>
          </w:p>
        </w:tc>
        <w:tc>
          <w:tcPr>
            <w:tcW w:type="dxa" w:w="6236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相关海外指数、期货、ETF或信用产品的标准化跌幅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7"/>
              </w:rPr>
              <w:t>动态关联强度</w:t>
            </w:r>
          </w:p>
        </w:tc>
        <w:tc>
          <w:tcPr>
            <w:tcW w:type="dxa" w:w="907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25</w:t>
            </w:r>
          </w:p>
        </w:tc>
        <w:tc>
          <w:tcPr>
            <w:tcW w:type="dxa" w:w="6236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滚动Beta、滞后相关、共同因子暴露；不只看同期相关系数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7"/>
              </w:rPr>
              <w:t>产业链或资金映射</w:t>
            </w:r>
          </w:p>
        </w:tc>
        <w:tc>
          <w:tcPr>
            <w:tcW w:type="dxa" w:w="907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20</w:t>
            </w:r>
          </w:p>
        </w:tc>
        <w:tc>
          <w:tcPr>
            <w:tcW w:type="dxa" w:w="6236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收入、成本、供应链、同一投资者群体或同一风格因子连接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7"/>
              </w:rPr>
              <w:t>跨市场同步</w:t>
            </w:r>
          </w:p>
        </w:tc>
        <w:tc>
          <w:tcPr>
            <w:tcW w:type="dxa" w:w="907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15</w:t>
            </w:r>
          </w:p>
        </w:tc>
        <w:tc>
          <w:tcPr>
            <w:tcW w:type="dxa" w:w="6236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至少两个独立相关市场出现同方向异常变化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7"/>
              </w:rPr>
              <w:t>信息时效</w:t>
            </w:r>
          </w:p>
        </w:tc>
        <w:tc>
          <w:tcPr>
            <w:tcW w:type="dxa" w:w="907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10</w:t>
            </w:r>
          </w:p>
        </w:tc>
        <w:tc>
          <w:tcPr>
            <w:tcW w:type="dxa" w:w="6236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信号是否发生在目标市场定价之前，且尚未被充分消化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9524"/>
            <w:shd w:fill="F8F0DC"/>
            <w:tcBorders>
              <w:top w:val="single" w:sz="8" w:color="D6A84B"/>
              <w:left w:val="single" w:sz="18" w:color="D6A84B"/>
              <w:bottom w:val="single" w:sz="8" w:color="D6A84B"/>
              <w:right w:val="single" w:sz="8" w:color="D6A84B"/>
            </w:tcBorders>
            <w:tcMar>
              <w:top w:w="120" w:type="dxa"/>
              <w:start w:w="170" w:type="dxa"/>
              <w:bottom w:w="120" w:type="dxa"/>
              <w:end w:w="160" w:type="dxa"/>
            </w:tcMar>
          </w:tcPr>
          <w:p>
            <w:pPr>
              <w:keepNext w:val="0"/>
              <w:spacing w:before="0" w:after="60" w:line="30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D6A84B"/>
                <w:sz w:val="22"/>
              </w:rPr>
              <w:t>信息与价格发现传导</w:t>
            </w:r>
          </w:p>
          <w:p>
            <w:pPr>
              <w:keepNext w:val="0"/>
              <w:spacing w:before="0" w:after="0" w:line="32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0"/>
              </w:rPr>
              <w:t>判断外部信号时，应确认信息吸收速度、价格发现能力，以及目标市场对该资产是否具有稳定且可解释的风险暴露。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 w:line="288" w:lineRule="auto"/>
      </w:pPr>
      <w:r>
        <w:rPr>
          <w:rFonts w:ascii="Noto Serif CJK SC" w:hAnsi="Noto Serif CJK SC" w:eastAsia="Noto Serif CJK SC"/>
          <w:b/>
          <w:color w:val="17365D"/>
          <w:sz w:val="26"/>
        </w:rPr>
        <w:t>3.4 C：本地市场确认（0—100）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子项</w:t>
            </w:r>
          </w:p>
        </w:tc>
        <w:tc>
          <w:tcPr>
            <w:tcW w:type="dxa" w:w="907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权重</w:t>
            </w:r>
          </w:p>
        </w:tc>
        <w:tc>
          <w:tcPr>
            <w:tcW w:type="dxa" w:w="6236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主要观察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7"/>
              </w:rPr>
              <w:t>龙头转弱</w:t>
            </w:r>
          </w:p>
        </w:tc>
        <w:tc>
          <w:tcPr>
            <w:tcW w:type="dxa" w:w="907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20</w:t>
            </w:r>
          </w:p>
        </w:tc>
        <w:tc>
          <w:tcPr>
            <w:tcW w:type="dxa" w:w="6236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利好后不涨、相对板块走弱、放量破位、无法带动扩散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7"/>
              </w:rPr>
              <w:t>市场宽度恶化</w:t>
            </w:r>
          </w:p>
        </w:tc>
        <w:tc>
          <w:tcPr>
            <w:tcW w:type="dxa" w:w="907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20</w:t>
            </w:r>
          </w:p>
        </w:tc>
        <w:tc>
          <w:tcPr>
            <w:tcW w:type="dxa" w:w="6236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上涨家数、创新高/新低、均线之上比例、等权指数表现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7"/>
              </w:rPr>
              <w:t>成交量与卖压</w:t>
            </w:r>
          </w:p>
        </w:tc>
        <w:tc>
          <w:tcPr>
            <w:tcW w:type="dxa" w:w="907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15</w:t>
            </w:r>
          </w:p>
        </w:tc>
        <w:tc>
          <w:tcPr>
            <w:tcW w:type="dxa" w:w="6236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下跌量能相对20日均值、主动卖出占比、收盘位置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7"/>
              </w:rPr>
              <w:t>相对强弱下降</w:t>
            </w:r>
          </w:p>
        </w:tc>
        <w:tc>
          <w:tcPr>
            <w:tcW w:type="dxa" w:w="907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15</w:t>
            </w:r>
          </w:p>
        </w:tc>
        <w:tc>
          <w:tcPr>
            <w:tcW w:type="dxa" w:w="6236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目标资产相对基准的3日、5日、20日收益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7"/>
              </w:rPr>
              <w:t>趋势与缺口</w:t>
            </w:r>
          </w:p>
        </w:tc>
        <w:tc>
          <w:tcPr>
            <w:tcW w:type="dxa" w:w="907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15</w:t>
            </w:r>
          </w:p>
        </w:tc>
        <w:tc>
          <w:tcPr>
            <w:tcW w:type="dxa" w:w="6236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跌破中期趋势、连续跳空、反弹无法收复关键位置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7"/>
              </w:rPr>
              <w:t>波动与衍生品确认</w:t>
            </w:r>
          </w:p>
        </w:tc>
        <w:tc>
          <w:tcPr>
            <w:tcW w:type="dxa" w:w="907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15</w:t>
            </w:r>
          </w:p>
        </w:tc>
        <w:tc>
          <w:tcPr>
            <w:tcW w:type="dxa" w:w="6236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隐含波动率、偏度、期货基差、保护性期权需求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40" w:after="100" w:line="288" w:lineRule="auto"/>
      </w:pPr>
      <w:r>
        <w:rPr>
          <w:rFonts w:ascii="Noto Serif CJK SC" w:hAnsi="Noto Serif CJK SC" w:eastAsia="Noto Serif CJK SC"/>
          <w:b/>
          <w:color w:val="17365D"/>
          <w:sz w:val="26"/>
        </w:rPr>
        <w:t>3.5 A：强制卖出放大器（0—100）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子项</w:t>
            </w:r>
          </w:p>
        </w:tc>
        <w:tc>
          <w:tcPr>
            <w:tcW w:type="dxa" w:w="907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权重</w:t>
            </w:r>
          </w:p>
        </w:tc>
        <w:tc>
          <w:tcPr>
            <w:tcW w:type="dxa" w:w="6236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主要观察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7"/>
              </w:rPr>
              <w:t>杠杆实际去化</w:t>
            </w:r>
          </w:p>
        </w:tc>
        <w:tc>
          <w:tcPr>
            <w:tcW w:type="dxa" w:w="907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25</w:t>
            </w:r>
          </w:p>
        </w:tc>
        <w:tc>
          <w:tcPr>
            <w:tcW w:type="dxa" w:w="6236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融资余额下降、保证金压力、强平迹象、高杠杆资产领跌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7"/>
              </w:rPr>
              <w:t>基金与ETF赎回</w:t>
            </w:r>
          </w:p>
        </w:tc>
        <w:tc>
          <w:tcPr>
            <w:tcW w:type="dxa" w:w="907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20</w:t>
            </w:r>
          </w:p>
        </w:tc>
        <w:tc>
          <w:tcPr>
            <w:tcW w:type="dxa" w:w="6236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连续净流出、现金仓位下降、被动产品折溢价变化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7"/>
              </w:rPr>
              <w:t>趋势与波动率降仓</w:t>
            </w:r>
          </w:p>
        </w:tc>
        <w:tc>
          <w:tcPr>
            <w:tcW w:type="dxa" w:w="907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15</w:t>
            </w:r>
          </w:p>
        </w:tc>
        <w:tc>
          <w:tcPr>
            <w:tcW w:type="dxa" w:w="6236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趋势破位、波动率目标策略降仓、风险预算超限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7"/>
              </w:rPr>
              <w:t>市场深度下降</w:t>
            </w:r>
          </w:p>
        </w:tc>
        <w:tc>
          <w:tcPr>
            <w:tcW w:type="dxa" w:w="907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20</w:t>
            </w:r>
          </w:p>
        </w:tc>
        <w:tc>
          <w:tcPr>
            <w:tcW w:type="dxa" w:w="6236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买卖价差扩大、盘口深度下降、冲击成本和跌停数量上升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7"/>
              </w:rPr>
              <w:t>相关性急升</w:t>
            </w:r>
          </w:p>
        </w:tc>
        <w:tc>
          <w:tcPr>
            <w:tcW w:type="dxa" w:w="907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20</w:t>
            </w:r>
          </w:p>
        </w:tc>
        <w:tc>
          <w:tcPr>
            <w:tcW w:type="dxa" w:w="6236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成分股同步下跌、分散化失效、优质资产也被无差别出售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40" w:after="100" w:line="288" w:lineRule="auto"/>
      </w:pPr>
      <w:r>
        <w:rPr>
          <w:rFonts w:ascii="Noto Serif CJK SC" w:hAnsi="Noto Serif CJK SC" w:eastAsia="Noto Serif CJK SC"/>
          <w:b/>
          <w:color w:val="17365D"/>
          <w:sz w:val="26"/>
        </w:rPr>
        <w:t>3.6 M：时间窗口修正系数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1814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M取值</w:t>
            </w:r>
          </w:p>
        </w:tc>
        <w:tc>
          <w:tcPr>
            <w:tcW w:type="dxa" w:w="7597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适用条件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0.90—0.95</w:t>
            </w:r>
          </w:p>
        </w:tc>
        <w:tc>
          <w:tcPr>
            <w:tcW w:type="dxa" w:w="7597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风险释放窗口结束、重大不确定性已经落地，或供给压力低于常态</w:t>
            </w:r>
          </w:p>
        </w:tc>
      </w:tr>
      <w:tr>
        <w:trPr>
          <w:cantSplit/>
        </w:trPr>
        <w:tc>
          <w:tcPr>
            <w:tcW w:type="dxa" w:w="1814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1.00</w:t>
            </w:r>
          </w:p>
        </w:tc>
        <w:tc>
          <w:tcPr>
            <w:tcW w:type="dxa" w:w="7597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普通时期，无特殊时间性脆弱因素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1.05</w:t>
            </w:r>
          </w:p>
        </w:tc>
        <w:tc>
          <w:tcPr>
            <w:tcW w:type="dxa" w:w="7597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财报密集期、指数再平衡、季度末等一般验证窗口</w:t>
            </w:r>
          </w:p>
        </w:tc>
      </w:tr>
      <w:tr>
        <w:trPr>
          <w:cantSplit/>
        </w:trPr>
        <w:tc>
          <w:tcPr>
            <w:tcW w:type="dxa" w:w="1814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1.10</w:t>
            </w:r>
          </w:p>
        </w:tc>
        <w:tc>
          <w:tcPr>
            <w:tcW w:type="dxa" w:w="7597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重大解禁且有真实减持迹象，或制度变更直接影响主流策略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1.15—1.20</w:t>
            </w:r>
          </w:p>
        </w:tc>
        <w:tc>
          <w:tcPr>
            <w:tcW w:type="dxa" w:w="7597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多个窗口重叠，并已通过资金流或价格行为确认</w:t>
            </w:r>
          </w:p>
        </w:tc>
      </w:tr>
    </w:tbl>
    <w:p>
      <w:pPr>
        <w:spacing w:after="40"/>
      </w:pPr>
    </w:p>
    <w:p>
      <w:pPr>
        <w:pStyle w:val="BodyText"/>
        <w:keepNext w:val="0"/>
        <w:spacing w:before="0" w:after="100" w:line="341" w:lineRule="auto"/>
      </w:pP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限制：仅仅“进入财报季”或“存在解禁”不能自动给予高修正。必须验证业绩分歧、实际减持、策略影响或供给压力确实存在。</w:t>
      </w:r>
    </w:p>
    <w:p>
      <w:pPr>
        <w:pStyle w:val="Heading1"/>
        <w:keepNext/>
        <w:spacing w:before="220" w:after="100" w:line="288" w:lineRule="auto"/>
      </w:pPr>
      <w:r>
        <w:rPr>
          <w:rFonts w:ascii="Noto Serif CJK SC" w:hAnsi="Noto Serif CJK SC" w:eastAsia="Noto Serif CJK SC"/>
          <w:b/>
          <w:color w:val="17365D"/>
          <w:sz w:val="32"/>
        </w:rPr>
        <w:t>4. 预警等级与门控规则</w:t>
      </w:r>
    </w:p>
    <w:p>
      <w:pPr>
        <w:pStyle w:val="BodyText"/>
        <w:keepNext w:val="0"/>
        <w:spacing w:before="0" w:after="100" w:line="341" w:lineRule="auto"/>
      </w:pP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加权总分用于表示风险强度，但预警等级由因果顺序决定。门控规则可防止高估值、财报期或单一海外事件在没有本地确认时产生红色误报。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1701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等级</w:t>
            </w:r>
          </w:p>
        </w:tc>
        <w:tc>
          <w:tcPr>
            <w:tcW w:type="dxa" w:w="4082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必要条件</w:t>
            </w:r>
          </w:p>
        </w:tc>
        <w:tc>
          <w:tcPr>
            <w:tcW w:type="dxa" w:w="3969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解释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7"/>
              </w:rPr>
              <w:t>绿色：正常</w:t>
            </w:r>
          </w:p>
        </w:tc>
        <w:tc>
          <w:tcPr>
            <w:tcW w:type="dxa" w:w="4082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V &lt; 60，且未形成明显触发—确认链条</w:t>
            </w:r>
          </w:p>
        </w:tc>
        <w:tc>
          <w:tcPr>
            <w:tcW w:type="dxa" w:w="3969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常规监测；不因单一波动改变状态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7"/>
              </w:rPr>
              <w:t>黄色：结构脆弱</w:t>
            </w:r>
          </w:p>
        </w:tc>
        <w:tc>
          <w:tcPr>
            <w:tcW w:type="dxa" w:w="4082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V ≥ 60</w:t>
            </w:r>
          </w:p>
        </w:tc>
        <w:tc>
          <w:tcPr>
            <w:tcW w:type="dxa" w:w="3969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市场承受意外的能力下降；提高监测频率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7"/>
              </w:rPr>
              <w:t>橙色：重新定价</w:t>
            </w:r>
          </w:p>
        </w:tc>
        <w:tc>
          <w:tcPr>
            <w:tcW w:type="dxa" w:w="4082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V ≥ 60；且 max(T,S) ≥ 50；且 C ≥ 40</w:t>
            </w:r>
          </w:p>
        </w:tc>
        <w:tc>
          <w:tcPr>
            <w:tcW w:type="dxa" w:w="3969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冲击已被目标市场部分接受；关注扩散和流动性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7"/>
              </w:rPr>
              <w:t>红色：踩踏风险</w:t>
            </w:r>
          </w:p>
        </w:tc>
        <w:tc>
          <w:tcPr>
            <w:tcW w:type="dxa" w:w="4082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V ≥ 60；max(T,S) ≥ 50；C ≥ 60；A ≥ 40；调整后总分通常≥65</w:t>
            </w:r>
          </w:p>
        </w:tc>
        <w:tc>
          <w:tcPr>
            <w:tcW w:type="dxa" w:w="3969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机械卖出与流动性负反馈已形成，尾部风险显著上升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40" w:after="100" w:line="288" w:lineRule="auto"/>
      </w:pPr>
      <w:r>
        <w:rPr>
          <w:rFonts w:ascii="Noto Serif CJK SC" w:hAnsi="Noto Serif CJK SC" w:eastAsia="Noto Serif CJK SC"/>
          <w:b/>
          <w:color w:val="17365D"/>
          <w:sz w:val="26"/>
        </w:rPr>
        <w:t>4.1 四条防误报约束</w:t>
      </w:r>
    </w:p>
    <w:p>
      <w:pPr>
        <w:pStyle w:val="ListBullet"/>
        <w:keepNext w:val="0"/>
        <w:spacing w:before="0" w:after="50" w:line="324" w:lineRule="auto"/>
      </w:pP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单一新闻不得触发红色预警。新闻必须映射到经济变量并得到价格或资金确认。</w:t>
      </w:r>
    </w:p>
    <w:p>
      <w:pPr>
        <w:pStyle w:val="ListBullet"/>
        <w:keepNext w:val="0"/>
        <w:spacing w:before="0" w:after="50" w:line="324" w:lineRule="auto"/>
      </w:pP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单一海外市场下跌不得触发红色预警。必须有稳定关联和本地市场反应。</w:t>
      </w:r>
    </w:p>
    <w:p>
      <w:pPr>
        <w:pStyle w:val="ListBullet"/>
        <w:keepNext w:val="0"/>
        <w:spacing w:before="0" w:after="50" w:line="324" w:lineRule="auto"/>
      </w:pP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单一技术破位不得触发红色预警。至少需要宽度、成交量或资金流中的一个额外维度。</w:t>
      </w:r>
    </w:p>
    <w:p>
      <w:pPr>
        <w:pStyle w:val="ListBullet"/>
        <w:keepNext w:val="0"/>
        <w:spacing w:before="0" w:after="50" w:line="324" w:lineRule="auto"/>
      </w:pP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时间窗口不得单独触发红色预警。财报、解禁和制度变化仅改变M。</w:t>
      </w:r>
    </w:p>
    <w:p>
      <w:pPr>
        <w:pStyle w:val="Heading2"/>
        <w:keepNext/>
        <w:spacing w:before="140" w:after="100" w:line="288" w:lineRule="auto"/>
      </w:pPr>
      <w:r>
        <w:rPr>
          <w:rFonts w:ascii="Noto Serif CJK SC" w:hAnsi="Noto Serif CJK SC" w:eastAsia="Noto Serif CJK SC"/>
          <w:b/>
          <w:color w:val="17365D"/>
          <w:sz w:val="26"/>
        </w:rPr>
        <w:t>4.2 连续确认原则</w:t>
      </w:r>
    </w:p>
    <w:p>
      <w:pPr>
        <w:pStyle w:val="BodyText"/>
        <w:keepNext w:val="0"/>
        <w:spacing w:before="0" w:after="100" w:line="341" w:lineRule="auto"/>
      </w:pP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为降低盘中噪声，建议满足以下任一确认方式后再升级：</w:t>
      </w:r>
    </w:p>
    <w:p>
      <w:pPr>
        <w:pStyle w:val="ListBullet"/>
        <w:keepNext w:val="0"/>
        <w:spacing w:before="0" w:after="50" w:line="324" w:lineRule="auto"/>
      </w:pP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连续2—3个交易日恶化；</w:t>
      </w:r>
    </w:p>
    <w:p>
      <w:pPr>
        <w:pStyle w:val="ListBullet"/>
        <w:keepNext w:val="0"/>
        <w:spacing w:before="0" w:after="50" w:line="324" w:lineRule="auto"/>
      </w:pP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两个独立相关市场同时确认；</w:t>
      </w:r>
    </w:p>
    <w:p>
      <w:pPr>
        <w:pStyle w:val="ListBullet"/>
        <w:keepNext w:val="0"/>
        <w:spacing w:before="0" w:after="50" w:line="324" w:lineRule="auto"/>
      </w:pP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价格与资金流两个不同维度同时确认；</w:t>
      </w:r>
    </w:p>
    <w:p>
      <w:pPr>
        <w:pStyle w:val="ListBullet"/>
        <w:keepNext w:val="0"/>
        <w:spacing w:before="0" w:after="50" w:line="324" w:lineRule="auto"/>
      </w:pP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单日极端冲击达到历史99%分位，并伴随本地宽度和流动性快速恶化。</w:t>
      </w:r>
    </w:p>
    <w:p>
      <w:pPr>
        <w:pStyle w:val="Heading1"/>
        <w:keepNext/>
        <w:spacing w:before="220" w:after="100" w:line="288" w:lineRule="auto"/>
      </w:pPr>
      <w:r>
        <w:rPr>
          <w:rFonts w:ascii="Noto Serif CJK SC" w:hAnsi="Noto Serif CJK SC" w:eastAsia="Noto Serif CJK SC"/>
          <w:b/>
          <w:color w:val="17365D"/>
          <w:sz w:val="32"/>
        </w:rPr>
        <w:t>5. 七条通用预警规则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tblHeader w:val="true"/>
          <w:cantSplit/>
        </w:trPr>
        <w:tc>
          <w:tcPr>
            <w:tcW w:type="dxa" w:w="1814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规则</w:t>
            </w:r>
          </w:p>
        </w:tc>
        <w:tc>
          <w:tcPr>
            <w:tcW w:type="dxa" w:w="1757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触发</w:t>
            </w:r>
          </w:p>
        </w:tc>
        <w:tc>
          <w:tcPr>
            <w:tcW w:type="dxa" w:w="1871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过滤</w:t>
            </w:r>
          </w:p>
        </w:tc>
        <w:tc>
          <w:tcPr>
            <w:tcW w:type="dxa" w:w="1984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确认</w:t>
            </w:r>
          </w:p>
        </w:tc>
        <w:tc>
          <w:tcPr>
            <w:tcW w:type="dxa" w:w="2268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执行要点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5"/>
              </w:rPr>
              <w:t>R1 信息与价格发现传导</w:t>
            </w:r>
          </w:p>
        </w:tc>
        <w:tc>
          <w:tcPr>
            <w:tcW w:type="dxa" w:w="1757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相关领先资产出现异常波动</w:t>
            </w:r>
          </w:p>
        </w:tc>
        <w:tc>
          <w:tcPr>
            <w:tcW w:type="dxa" w:w="1871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动态Beta/产业链映射稳定</w:t>
            </w:r>
          </w:p>
        </w:tc>
        <w:tc>
          <w:tcPr>
            <w:tcW w:type="dxa" w:w="1984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本地相关板块出现相对弱势</w:t>
            </w:r>
          </w:p>
        </w:tc>
        <w:tc>
          <w:tcPr>
            <w:tcW w:type="dxa" w:w="2268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确认信息领先、关联稳定且本地市场出现响应</w:t>
            </w:r>
          </w:p>
        </w:tc>
      </w:tr>
      <w:tr>
        <w:trPr>
          <w:cantSplit/>
        </w:trPr>
        <w:tc>
          <w:tcPr>
            <w:tcW w:type="dxa" w:w="1814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5"/>
              </w:rPr>
              <w:t>R2 基本面或折现率重定价</w:t>
            </w:r>
          </w:p>
        </w:tc>
        <w:tc>
          <w:tcPr>
            <w:tcW w:type="dxa" w:w="1757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事件改变现金流、折现率、融资或信任</w:t>
            </w:r>
          </w:p>
        </w:tc>
        <w:tc>
          <w:tcPr>
            <w:tcW w:type="dxa" w:w="187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估值/预期处于高分位</w:t>
            </w:r>
          </w:p>
        </w:tc>
        <w:tc>
          <w:tcPr>
            <w:tcW w:type="dxa" w:w="1984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盈利预测或价格反应转弱</w:t>
            </w:r>
          </w:p>
        </w:tc>
        <w:tc>
          <w:tcPr>
            <w:tcW w:type="dxa" w:w="2268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事件必须落到可观测的盈利、利率、融资或信用变量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5"/>
              </w:rPr>
              <w:t>R3 拥挤与流动性踩踏</w:t>
            </w:r>
          </w:p>
        </w:tc>
        <w:tc>
          <w:tcPr>
            <w:tcW w:type="dxa" w:w="1757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拥挤代理进入历史极端</w:t>
            </w:r>
          </w:p>
        </w:tc>
        <w:tc>
          <w:tcPr>
            <w:tcW w:type="dxa" w:w="1871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流动性不足或持仓重合高</w:t>
            </w:r>
          </w:p>
        </w:tc>
        <w:tc>
          <w:tcPr>
            <w:tcW w:type="dxa" w:w="1984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相关性、冲击成本、卖压上升</w:t>
            </w:r>
          </w:p>
        </w:tc>
        <w:tc>
          <w:tcPr>
            <w:tcW w:type="dxa" w:w="2268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使用可观测拥挤代理，不预设固定跌幅倍数</w:t>
            </w:r>
          </w:p>
        </w:tc>
      </w:tr>
      <w:tr>
        <w:trPr>
          <w:cantSplit/>
        </w:trPr>
        <w:tc>
          <w:tcPr>
            <w:tcW w:type="dxa" w:w="1814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5"/>
              </w:rPr>
              <w:t>R4 业绩验证窗口</w:t>
            </w:r>
          </w:p>
        </w:tc>
        <w:tc>
          <w:tcPr>
            <w:tcW w:type="dxa" w:w="1757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进入披露或业绩验证期</w:t>
            </w:r>
          </w:p>
        </w:tc>
        <w:tc>
          <w:tcPr>
            <w:tcW w:type="dxa" w:w="187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预期分歧扩大且估值高</w:t>
            </w:r>
          </w:p>
        </w:tc>
        <w:tc>
          <w:tcPr>
            <w:tcW w:type="dxa" w:w="1984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业绩反应不对称或盈利下修</w:t>
            </w:r>
          </w:p>
        </w:tc>
        <w:tc>
          <w:tcPr>
            <w:tcW w:type="dxa" w:w="2268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作为M修正项，必须伴随业绩分歧或实际压力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5"/>
              </w:rPr>
              <w:t>R5 供给冲击</w:t>
            </w:r>
          </w:p>
        </w:tc>
        <w:tc>
          <w:tcPr>
            <w:tcW w:type="dxa" w:w="1757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解禁、减持、IPO、再融资等供给增加</w:t>
            </w:r>
          </w:p>
        </w:tc>
        <w:tc>
          <w:tcPr>
            <w:tcW w:type="dxa" w:w="1871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供给相对成交深度显著</w:t>
            </w:r>
          </w:p>
        </w:tc>
        <w:tc>
          <w:tcPr>
            <w:tcW w:type="dxa" w:w="1984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实际减持/折价/资金流确认</w:t>
            </w:r>
          </w:p>
        </w:tc>
        <w:tc>
          <w:tcPr>
            <w:tcW w:type="dxa" w:w="2268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以实际减持、折价或资金流作为确认条件</w:t>
            </w:r>
          </w:p>
        </w:tc>
      </w:tr>
      <w:tr>
        <w:trPr>
          <w:cantSplit/>
        </w:trPr>
        <w:tc>
          <w:tcPr>
            <w:tcW w:type="dxa" w:w="1814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5"/>
              </w:rPr>
              <w:t>R6 制度与监管扰动</w:t>
            </w:r>
          </w:p>
        </w:tc>
        <w:tc>
          <w:tcPr>
            <w:tcW w:type="dxa" w:w="1757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交易、监管、税收或做空规则变化</w:t>
            </w:r>
          </w:p>
        </w:tc>
        <w:tc>
          <w:tcPr>
            <w:tcW w:type="dxa" w:w="187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直接影响主流策略或融资机制</w:t>
            </w:r>
          </w:p>
        </w:tc>
        <w:tc>
          <w:tcPr>
            <w:tcW w:type="dxa" w:w="1984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仓位调整、成交深度或波动率变化</w:t>
            </w:r>
          </w:p>
        </w:tc>
        <w:tc>
          <w:tcPr>
            <w:tcW w:type="dxa" w:w="2268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分别监测公告、实施及市场适应阶段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5"/>
              </w:rPr>
              <w:t>R7 杠杆负反馈</w:t>
            </w:r>
          </w:p>
        </w:tc>
        <w:tc>
          <w:tcPr>
            <w:tcW w:type="dxa" w:w="1757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杠杆存量高且价格连续下跌</w:t>
            </w:r>
          </w:p>
        </w:tc>
        <w:tc>
          <w:tcPr>
            <w:tcW w:type="dxa" w:w="1871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担保/保证金接近约束</w:t>
            </w:r>
          </w:p>
        </w:tc>
        <w:tc>
          <w:tcPr>
            <w:tcW w:type="dxa" w:w="1984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融资下降、贴水、强平或流动性恶化</w:t>
            </w:r>
          </w:p>
        </w:tc>
        <w:tc>
          <w:tcPr>
            <w:tcW w:type="dxa" w:w="2268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杠杆存量计入V，实际去杠杆计入A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9524"/>
            <w:shd w:fill="EEF5FB"/>
            <w:tcBorders>
              <w:top w:val="single" w:sz="8" w:color="2F75B5"/>
              <w:left w:val="single" w:sz="18" w:color="2F75B5"/>
              <w:bottom w:val="single" w:sz="8" w:color="2F75B5"/>
              <w:right w:val="single" w:sz="8" w:color="2F75B5"/>
            </w:tcBorders>
            <w:tcMar>
              <w:top w:w="120" w:type="dxa"/>
              <w:start w:w="170" w:type="dxa"/>
              <w:bottom w:w="120" w:type="dxa"/>
              <w:end w:w="160" w:type="dxa"/>
            </w:tcMar>
          </w:tcPr>
          <w:p>
            <w:pPr>
              <w:keepNext w:val="0"/>
              <w:spacing w:before="0" w:after="60" w:line="30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F75B5"/>
                <w:sz w:val="22"/>
              </w:rPr>
              <w:t>统一逻辑骨架</w:t>
            </w:r>
          </w:p>
          <w:p>
            <w:pPr>
              <w:keepNext w:val="0"/>
              <w:spacing w:before="0" w:after="0" w:line="32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0"/>
              </w:rPr>
              <w:t>结构脆弱 → 经济含义明确的冲击 → 外部或本地价格确认 → 流动性与杠杆反馈。具体事件只是变量的实例，不能替代因果链本身。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00" w:line="288" w:lineRule="auto"/>
      </w:pPr>
      <w:r>
        <w:rPr>
          <w:rFonts w:ascii="Noto Serif CJK SC" w:hAnsi="Noto Serif CJK SC" w:eastAsia="Noto Serif CJK SC"/>
          <w:b/>
          <w:color w:val="17365D"/>
          <w:sz w:val="32"/>
        </w:rPr>
        <w:t>6. 日常监测流程与检查清单</w:t>
      </w:r>
    </w:p>
    <w:p>
      <w:pPr>
        <w:pStyle w:val="Heading2"/>
        <w:keepNext/>
        <w:spacing w:before="140" w:after="100" w:line="288" w:lineRule="auto"/>
      </w:pPr>
      <w:r>
        <w:rPr>
          <w:rFonts w:ascii="Noto Serif CJK SC" w:hAnsi="Noto Serif CJK SC" w:eastAsia="Noto Serif CJK SC"/>
          <w:b/>
          <w:color w:val="17365D"/>
          <w:sz w:val="26"/>
        </w:rPr>
        <w:t>6.1 监测频率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1474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频率</w:t>
            </w:r>
          </w:p>
        </w:tc>
        <w:tc>
          <w:tcPr>
            <w:tcW w:type="dxa" w:w="7937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任务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每周</w:t>
            </w:r>
          </w:p>
        </w:tc>
        <w:tc>
          <w:tcPr>
            <w:tcW w:type="dxa" w:w="7937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估值、盈利预期、持仓拥挤、杠杆存量、流动性错配，更新V。</w:t>
            </w:r>
          </w:p>
        </w:tc>
      </w:tr>
      <w:tr>
        <w:trPr>
          <w:cantSplit/>
        </w:trPr>
        <w:tc>
          <w:tcPr>
            <w:tcW w:type="dxa" w:w="1474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盘前</w:t>
            </w:r>
          </w:p>
        </w:tc>
        <w:tc>
          <w:tcPr>
            <w:tcW w:type="dxa" w:w="7937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海外相关资产、期货、汇率、利率、信用和重大事件，更新T与S。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盘中</w:t>
            </w:r>
          </w:p>
        </w:tc>
        <w:tc>
          <w:tcPr>
            <w:tcW w:type="dxa" w:w="7937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开盘缺口、龙头、宽度、成交量、相对强弱和波动率，更新C。</w:t>
            </w:r>
          </w:p>
        </w:tc>
      </w:tr>
      <w:tr>
        <w:trPr>
          <w:cantSplit/>
        </w:trPr>
        <w:tc>
          <w:tcPr>
            <w:tcW w:type="dxa" w:w="1474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盘后</w:t>
            </w:r>
          </w:p>
        </w:tc>
        <w:tc>
          <w:tcPr>
            <w:tcW w:type="dxa" w:w="7937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融资变化、ETF/基金流、期货基差、跌停与相关性，更新A。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事件日</w:t>
            </w:r>
          </w:p>
        </w:tc>
        <w:tc>
          <w:tcPr>
            <w:tcW w:type="dxa" w:w="7937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评估事件是否影响现金流、折现率、融资条件或信任，并记录当时可得信息。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40" w:after="100" w:line="288" w:lineRule="auto"/>
      </w:pPr>
      <w:r>
        <w:rPr>
          <w:rFonts w:ascii="Noto Serif CJK SC" w:hAnsi="Noto Serif CJK SC" w:eastAsia="Noto Serif CJK SC"/>
          <w:b/>
          <w:color w:val="17365D"/>
          <w:sz w:val="26"/>
        </w:rPr>
        <w:t>6.2 12项快速检查</w:t>
      </w:r>
    </w:p>
    <w:p>
      <w:pPr>
        <w:pStyle w:val="BodyText"/>
        <w:keepNext w:val="0"/>
        <w:spacing w:before="0" w:after="40" w:line="300" w:lineRule="auto"/>
      </w:pPr>
      <w:r>
        <w:rPr>
          <w:rFonts w:ascii="Noto Sans CJK SC" w:hAnsi="Noto Sans CJK SC" w:eastAsia="Noto Sans CJK SC"/>
          <w:b/>
          <w:i w:val="0"/>
          <w:color w:val="666666"/>
          <w:sz w:val="22"/>
        </w:rPr>
        <w:t xml:space="preserve">□ </w:t>
      </w:r>
      <w:r>
        <w:rPr>
          <w:rFonts w:ascii="Noto Sans CJK SC" w:hAnsi="Noto Sans CJK SC" w:eastAsia="Noto Sans CJK SC"/>
          <w:b w:val="0"/>
          <w:i w:val="0"/>
          <w:color w:val="222222"/>
          <w:sz w:val="19"/>
        </w:rPr>
        <w:t>1. 估值或风险溢价是否处于自身历史高风险分位？</w:t>
      </w:r>
    </w:p>
    <w:p>
      <w:pPr>
        <w:pStyle w:val="BodyText"/>
        <w:keepNext w:val="0"/>
        <w:spacing w:before="0" w:after="40" w:line="300" w:lineRule="auto"/>
      </w:pPr>
      <w:r>
        <w:rPr>
          <w:rFonts w:ascii="Noto Sans CJK SC" w:hAnsi="Noto Sans CJK SC" w:eastAsia="Noto Sans CJK SC"/>
          <w:b/>
          <w:i w:val="0"/>
          <w:color w:val="666666"/>
          <w:sz w:val="22"/>
        </w:rPr>
        <w:t xml:space="preserve">□ </w:t>
      </w:r>
      <w:r>
        <w:rPr>
          <w:rFonts w:ascii="Noto Sans CJK SC" w:hAnsi="Noto Sans CJK SC" w:eastAsia="Noto Sans CJK SC"/>
          <w:b w:val="0"/>
          <w:i w:val="0"/>
          <w:color w:val="222222"/>
          <w:sz w:val="19"/>
        </w:rPr>
        <w:t>2. 市场是否需要持续大幅超预期才能维持价格？</w:t>
      </w:r>
    </w:p>
    <w:p>
      <w:pPr>
        <w:pStyle w:val="BodyText"/>
        <w:keepNext w:val="0"/>
        <w:spacing w:before="0" w:after="40" w:line="300" w:lineRule="auto"/>
      </w:pPr>
      <w:r>
        <w:rPr>
          <w:rFonts w:ascii="Noto Sans CJK SC" w:hAnsi="Noto Sans CJK SC" w:eastAsia="Noto Sans CJK SC"/>
          <w:b/>
          <w:i w:val="0"/>
          <w:color w:val="666666"/>
          <w:sz w:val="22"/>
        </w:rPr>
        <w:t xml:space="preserve">□ </w:t>
      </w:r>
      <w:r>
        <w:rPr>
          <w:rFonts w:ascii="Noto Sans CJK SC" w:hAnsi="Noto Sans CJK SC" w:eastAsia="Noto Sans CJK SC"/>
          <w:b w:val="0"/>
          <w:i w:val="0"/>
          <w:color w:val="222222"/>
          <w:sz w:val="19"/>
        </w:rPr>
        <w:t>3. 目标资产是否在20/60/120日显著跑赢基准？</w:t>
      </w:r>
    </w:p>
    <w:p>
      <w:pPr>
        <w:pStyle w:val="BodyText"/>
        <w:keepNext w:val="0"/>
        <w:spacing w:before="0" w:after="40" w:line="300" w:lineRule="auto"/>
      </w:pPr>
      <w:r>
        <w:rPr>
          <w:rFonts w:ascii="Noto Sans CJK SC" w:hAnsi="Noto Sans CJK SC" w:eastAsia="Noto Sans CJK SC"/>
          <w:b/>
          <w:i w:val="0"/>
          <w:color w:val="666666"/>
          <w:sz w:val="22"/>
        </w:rPr>
        <w:t xml:space="preserve">□ </w:t>
      </w:r>
      <w:r>
        <w:rPr>
          <w:rFonts w:ascii="Noto Sans CJK SC" w:hAnsi="Noto Sans CJK SC" w:eastAsia="Noto Sans CJK SC"/>
          <w:b w:val="0"/>
          <w:i w:val="0"/>
          <w:color w:val="222222"/>
          <w:sz w:val="19"/>
        </w:rPr>
        <w:t>4. 持仓、ETF流入、成交额或收益相关性是否高度集中？</w:t>
      </w:r>
    </w:p>
    <w:p>
      <w:pPr>
        <w:pStyle w:val="BodyText"/>
        <w:keepNext w:val="0"/>
        <w:spacing w:before="0" w:after="40" w:line="300" w:lineRule="auto"/>
      </w:pPr>
      <w:r>
        <w:rPr>
          <w:rFonts w:ascii="Noto Sans CJK SC" w:hAnsi="Noto Sans CJK SC" w:eastAsia="Noto Sans CJK SC"/>
          <w:b/>
          <w:i w:val="0"/>
          <w:color w:val="666666"/>
          <w:sz w:val="22"/>
        </w:rPr>
        <w:t xml:space="preserve">□ </w:t>
      </w:r>
      <w:r>
        <w:rPr>
          <w:rFonts w:ascii="Noto Sans CJK SC" w:hAnsi="Noto Sans CJK SC" w:eastAsia="Noto Sans CJK SC"/>
          <w:b w:val="0"/>
          <w:i w:val="0"/>
          <w:color w:val="222222"/>
          <w:sz w:val="19"/>
        </w:rPr>
        <w:t>5. 杠杆存量是否高，且新增杠杆推动价格的效率下降？</w:t>
      </w:r>
    </w:p>
    <w:p>
      <w:pPr>
        <w:pStyle w:val="BodyText"/>
        <w:keepNext w:val="0"/>
        <w:spacing w:before="0" w:after="40" w:line="300" w:lineRule="auto"/>
      </w:pPr>
      <w:r>
        <w:rPr>
          <w:rFonts w:ascii="Noto Sans CJK SC" w:hAnsi="Noto Sans CJK SC" w:eastAsia="Noto Sans CJK SC"/>
          <w:b/>
          <w:i w:val="0"/>
          <w:color w:val="666666"/>
          <w:sz w:val="22"/>
        </w:rPr>
        <w:t xml:space="preserve">□ </w:t>
      </w:r>
      <w:r>
        <w:rPr>
          <w:rFonts w:ascii="Noto Sans CJK SC" w:hAnsi="Noto Sans CJK SC" w:eastAsia="Noto Sans CJK SC"/>
          <w:b w:val="0"/>
          <w:i w:val="0"/>
          <w:color w:val="222222"/>
          <w:sz w:val="19"/>
        </w:rPr>
        <w:t>6. 是否出现影响现金流、折现率、融资或信任的实质事件？</w:t>
      </w:r>
    </w:p>
    <w:p>
      <w:pPr>
        <w:pStyle w:val="BodyText"/>
        <w:keepNext w:val="0"/>
        <w:spacing w:before="0" w:after="40" w:line="300" w:lineRule="auto"/>
      </w:pPr>
      <w:r>
        <w:rPr>
          <w:rFonts w:ascii="Noto Sans CJK SC" w:hAnsi="Noto Sans CJK SC" w:eastAsia="Noto Sans CJK SC"/>
          <w:b/>
          <w:i w:val="0"/>
          <w:color w:val="666666"/>
          <w:sz w:val="22"/>
        </w:rPr>
        <w:t xml:space="preserve">□ </w:t>
      </w:r>
      <w:r>
        <w:rPr>
          <w:rFonts w:ascii="Noto Sans CJK SC" w:hAnsi="Noto Sans CJK SC" w:eastAsia="Noto Sans CJK SC"/>
          <w:b w:val="0"/>
          <w:i w:val="0"/>
          <w:color w:val="222222"/>
          <w:sz w:val="19"/>
        </w:rPr>
        <w:t>7. 相关的价格发现领先资产是否出现标准化异常波动？</w:t>
      </w:r>
    </w:p>
    <w:p>
      <w:pPr>
        <w:pStyle w:val="BodyText"/>
        <w:keepNext w:val="0"/>
        <w:spacing w:before="0" w:after="40" w:line="300" w:lineRule="auto"/>
      </w:pPr>
      <w:r>
        <w:rPr>
          <w:rFonts w:ascii="Noto Sans CJK SC" w:hAnsi="Noto Sans CJK SC" w:eastAsia="Noto Sans CJK SC"/>
          <w:b/>
          <w:i w:val="0"/>
          <w:color w:val="666666"/>
          <w:sz w:val="22"/>
        </w:rPr>
        <w:t xml:space="preserve">□ </w:t>
      </w:r>
      <w:r>
        <w:rPr>
          <w:rFonts w:ascii="Noto Sans CJK SC" w:hAnsi="Noto Sans CJK SC" w:eastAsia="Noto Sans CJK SC"/>
          <w:b w:val="0"/>
          <w:i w:val="0"/>
          <w:color w:val="222222"/>
          <w:sz w:val="19"/>
        </w:rPr>
        <w:t>8. 目标市场龙头是否出现好消息不涨或相对转弱？</w:t>
      </w:r>
    </w:p>
    <w:p>
      <w:pPr>
        <w:pStyle w:val="BodyText"/>
        <w:keepNext w:val="0"/>
        <w:spacing w:before="0" w:after="40" w:line="300" w:lineRule="auto"/>
      </w:pPr>
      <w:r>
        <w:rPr>
          <w:rFonts w:ascii="Noto Sans CJK SC" w:hAnsi="Noto Sans CJK SC" w:eastAsia="Noto Sans CJK SC"/>
          <w:b/>
          <w:i w:val="0"/>
          <w:color w:val="666666"/>
          <w:sz w:val="22"/>
        </w:rPr>
        <w:t xml:space="preserve">□ </w:t>
      </w:r>
      <w:r>
        <w:rPr>
          <w:rFonts w:ascii="Noto Sans CJK SC" w:hAnsi="Noto Sans CJK SC" w:eastAsia="Noto Sans CJK SC"/>
          <w:b w:val="0"/>
          <w:i w:val="0"/>
          <w:color w:val="222222"/>
          <w:sz w:val="19"/>
        </w:rPr>
        <w:t>9. 市场宽度是否恶化，等权表现是否弱于权重指数？</w:t>
      </w:r>
    </w:p>
    <w:p>
      <w:pPr>
        <w:pStyle w:val="BodyText"/>
        <w:keepNext w:val="0"/>
        <w:spacing w:before="0" w:after="40" w:line="300" w:lineRule="auto"/>
      </w:pPr>
      <w:r>
        <w:rPr>
          <w:rFonts w:ascii="Noto Sans CJK SC" w:hAnsi="Noto Sans CJK SC" w:eastAsia="Noto Sans CJK SC"/>
          <w:b/>
          <w:i w:val="0"/>
          <w:color w:val="666666"/>
          <w:sz w:val="22"/>
        </w:rPr>
        <w:t xml:space="preserve">□ </w:t>
      </w:r>
      <w:r>
        <w:rPr>
          <w:rFonts w:ascii="Noto Sans CJK SC" w:hAnsi="Noto Sans CJK SC" w:eastAsia="Noto Sans CJK SC"/>
          <w:b w:val="0"/>
          <w:i w:val="0"/>
          <w:color w:val="222222"/>
          <w:sz w:val="19"/>
        </w:rPr>
        <w:t>10. 下跌是否放量，且目标资产明显跑输基准？</w:t>
      </w:r>
    </w:p>
    <w:p>
      <w:pPr>
        <w:pStyle w:val="BodyText"/>
        <w:keepNext w:val="0"/>
        <w:spacing w:before="0" w:after="40" w:line="300" w:lineRule="auto"/>
      </w:pPr>
      <w:r>
        <w:rPr>
          <w:rFonts w:ascii="Noto Sans CJK SC" w:hAnsi="Noto Sans CJK SC" w:eastAsia="Noto Sans CJK SC"/>
          <w:b/>
          <w:i w:val="0"/>
          <w:color w:val="666666"/>
          <w:sz w:val="22"/>
        </w:rPr>
        <w:t xml:space="preserve">□ </w:t>
      </w:r>
      <w:r>
        <w:rPr>
          <w:rFonts w:ascii="Noto Sans CJK SC" w:hAnsi="Noto Sans CJK SC" w:eastAsia="Noto Sans CJK SC"/>
          <w:b w:val="0"/>
          <w:i w:val="0"/>
          <w:color w:val="222222"/>
          <w:sz w:val="19"/>
        </w:rPr>
        <w:t>11. 融资、基金、ETF或衍生品是否出现实际去杠杆？</w:t>
      </w:r>
    </w:p>
    <w:p>
      <w:pPr>
        <w:pStyle w:val="BodyText"/>
        <w:keepNext w:val="0"/>
        <w:spacing w:before="0" w:after="40" w:line="300" w:lineRule="auto"/>
      </w:pPr>
      <w:r>
        <w:rPr>
          <w:rFonts w:ascii="Noto Sans CJK SC" w:hAnsi="Noto Sans CJK SC" w:eastAsia="Noto Sans CJK SC"/>
          <w:b/>
          <w:i w:val="0"/>
          <w:color w:val="666666"/>
          <w:sz w:val="22"/>
        </w:rPr>
        <w:t xml:space="preserve">□ </w:t>
      </w:r>
      <w:r>
        <w:rPr>
          <w:rFonts w:ascii="Noto Sans CJK SC" w:hAnsi="Noto Sans CJK SC" w:eastAsia="Noto Sans CJK SC"/>
          <w:b w:val="0"/>
          <w:i w:val="0"/>
          <w:color w:val="222222"/>
          <w:sz w:val="19"/>
        </w:rPr>
        <w:t>12. 市场深度是否下降、相关性是否急升并出现无差别抛售？</w:t>
      </w:r>
    </w:p>
    <w:p>
      <w:pPr>
        <w:pStyle w:val="Heading2"/>
        <w:keepNext/>
        <w:spacing w:before="140" w:after="100" w:line="288" w:lineRule="auto"/>
      </w:pPr>
      <w:r>
        <w:rPr>
          <w:rFonts w:ascii="Noto Serif CJK SC" w:hAnsi="Noto Serif CJK SC" w:eastAsia="Noto Serif CJK SC"/>
          <w:b/>
          <w:color w:val="17365D"/>
          <w:sz w:val="26"/>
        </w:rPr>
        <w:t>6.3 快速状态判断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F8F0DC"/>
            <w:tcBorders>
              <w:top w:val="single" w:sz="8" w:color="D6A84B"/>
              <w:left w:val="single" w:sz="8" w:color="D6A84B"/>
              <w:bottom w:val="single" w:sz="8" w:color="D6A84B"/>
              <w:right w:val="single" w:sz="8" w:color="D6A84B"/>
            </w:tcBorders>
            <w:tcMar>
              <w:top w:w="125" w:type="dxa"/>
              <w:start w:w="160" w:type="dxa"/>
              <w:bottom w:w="125" w:type="dxa"/>
              <w:end w:w="160" w:type="dxa"/>
            </w:tcMar>
          </w:tcPr>
          <w:p>
            <w:pPr>
              <w:keepNext w:val="0"/>
              <w:spacing w:before="0" w:after="4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26"/>
              </w:rPr>
              <w:t>前5项多数为“是” → 黄色；第6—10项形成链条 → 橙色；第11—12项确认 → 红色</w:t>
            </w:r>
          </w:p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666666"/>
                <w:sz w:val="19"/>
              </w:rPr>
              <w:t>简化判断只用于快速筛查，正式等级仍以五层评分和门控条件为准。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00" w:line="288" w:lineRule="auto"/>
      </w:pPr>
      <w:r>
        <w:rPr>
          <w:rFonts w:ascii="Noto Serif CJK SC" w:hAnsi="Noto Serif CJK SC" w:eastAsia="Noto Serif CJK SC"/>
          <w:b/>
          <w:color w:val="17365D"/>
          <w:sz w:val="32"/>
        </w:rPr>
        <w:t>7. 模型回测与验证规范</w:t>
      </w:r>
    </w:p>
    <w:p>
      <w:pPr>
        <w:pStyle w:val="BodyText"/>
        <w:keepNext w:val="0"/>
        <w:spacing w:before="0" w:after="100" w:line="341" w:lineRule="auto"/>
      </w:pP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模型验证必须同时覆盖暴跌与未暴跌时期，使用当时可获得的数据，并检验参数在滚动样本外环境中的稳定性。</w:t>
      </w:r>
    </w:p>
    <w:p>
      <w:pPr>
        <w:pStyle w:val="Heading2"/>
        <w:keepNext/>
        <w:spacing w:before="140" w:after="100" w:line="288" w:lineRule="auto"/>
      </w:pPr>
      <w:r>
        <w:rPr>
          <w:rFonts w:ascii="Noto Serif CJK SC" w:hAnsi="Noto Serif CJK SC" w:eastAsia="Noto Serif CJK SC"/>
          <w:b/>
          <w:color w:val="17365D"/>
          <w:sz w:val="26"/>
        </w:rPr>
        <w:t>7.1 最低验证要求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1814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要求</w:t>
            </w:r>
          </w:p>
        </w:tc>
        <w:tc>
          <w:tcPr>
            <w:tcW w:type="dxa" w:w="7597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时间点数据</w:t>
            </w:r>
          </w:p>
        </w:tc>
        <w:tc>
          <w:tcPr>
            <w:tcW w:type="dxa" w:w="7597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所有指标必须使用当时已公布的数据，禁止使用后续修订值和事后叙事。</w:t>
            </w:r>
          </w:p>
        </w:tc>
      </w:tr>
      <w:tr>
        <w:trPr>
          <w:cantSplit/>
        </w:trPr>
        <w:tc>
          <w:tcPr>
            <w:tcW w:type="dxa" w:w="1814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正负样本</w:t>
            </w:r>
          </w:p>
        </w:tc>
        <w:tc>
          <w:tcPr>
            <w:tcW w:type="dxa" w:w="7597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既包含暴跌窗口，也包含高估值但没有暴跌、海外大跌但本地未跟随等反例。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目标定义</w:t>
            </w:r>
          </w:p>
        </w:tc>
        <w:tc>
          <w:tcPr>
            <w:tcW w:type="dxa" w:w="7597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提前定义暴跌，例如未来5/10/20日最大回撤超过动态阈值，而非事后挑选日期。</w:t>
            </w:r>
          </w:p>
        </w:tc>
      </w:tr>
      <w:tr>
        <w:trPr>
          <w:cantSplit/>
        </w:trPr>
        <w:tc>
          <w:tcPr>
            <w:tcW w:type="dxa" w:w="1814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滚动样本外</w:t>
            </w:r>
          </w:p>
        </w:tc>
        <w:tc>
          <w:tcPr>
            <w:tcW w:type="dxa" w:w="7597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使用走步验证：过去训练、下一阶段测试，再向前滚动。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参数稳定性</w:t>
            </w:r>
          </w:p>
        </w:tc>
        <w:tc>
          <w:tcPr>
            <w:tcW w:type="dxa" w:w="7597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改变阈值、窗口和权重后，结果不应剧烈崩溃。</w:t>
            </w:r>
          </w:p>
        </w:tc>
      </w:tr>
      <w:tr>
        <w:trPr>
          <w:cantSplit/>
        </w:trPr>
        <w:tc>
          <w:tcPr>
            <w:tcW w:type="dxa" w:w="1814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交易可行性</w:t>
            </w:r>
          </w:p>
        </w:tc>
        <w:tc>
          <w:tcPr>
            <w:tcW w:type="dxa" w:w="7597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考虑信号时间、开盘跳空、成交成本、涨跌停和可交易性。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40" w:after="100" w:line="288" w:lineRule="auto"/>
      </w:pPr>
      <w:r>
        <w:rPr>
          <w:rFonts w:ascii="Noto Serif CJK SC" w:hAnsi="Noto Serif CJK SC" w:eastAsia="Noto Serif CJK SC"/>
          <w:b/>
          <w:color w:val="17365D"/>
          <w:sz w:val="26"/>
        </w:rPr>
        <w:t>7.2 应报告的指标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2041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指标</w:t>
            </w:r>
          </w:p>
        </w:tc>
        <w:tc>
          <w:tcPr>
            <w:tcW w:type="dxa" w:w="7370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041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命中率 Precision</w:t>
            </w:r>
          </w:p>
        </w:tc>
        <w:tc>
          <w:tcPr>
            <w:tcW w:type="dxa" w:w="7370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发出橙/红色预警后，实际发生目标暴跌的比例。</w:t>
            </w:r>
          </w:p>
        </w:tc>
      </w:tr>
      <w:tr>
        <w:trPr>
          <w:cantSplit/>
        </w:trPr>
        <w:tc>
          <w:tcPr>
            <w:tcW w:type="dxa" w:w="204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召回率 Recall</w:t>
            </w:r>
          </w:p>
        </w:tc>
        <w:tc>
          <w:tcPr>
            <w:tcW w:type="dxa" w:w="7370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实际暴跌事件中，模型提前捕捉到的比例。</w:t>
            </w:r>
          </w:p>
        </w:tc>
      </w:tr>
      <w:tr>
        <w:trPr>
          <w:cantSplit/>
        </w:trPr>
        <w:tc>
          <w:tcPr>
            <w:tcW w:type="dxa" w:w="2041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误报率</w:t>
            </w:r>
          </w:p>
        </w:tc>
        <w:tc>
          <w:tcPr>
            <w:tcW w:type="dxa" w:w="7370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高风险预警后未发生显著回撤的比例。</w:t>
            </w:r>
          </w:p>
        </w:tc>
      </w:tr>
      <w:tr>
        <w:trPr>
          <w:cantSplit/>
        </w:trPr>
        <w:tc>
          <w:tcPr>
            <w:tcW w:type="dxa" w:w="204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平均提前期</w:t>
            </w:r>
          </w:p>
        </w:tc>
        <w:tc>
          <w:tcPr>
            <w:tcW w:type="dxa" w:w="7370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从首次预警到回撤开始或加速的交易日数。</w:t>
            </w:r>
          </w:p>
        </w:tc>
      </w:tr>
      <w:tr>
        <w:trPr>
          <w:cantSplit/>
        </w:trPr>
        <w:tc>
          <w:tcPr>
            <w:tcW w:type="dxa" w:w="2041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条件回撤</w:t>
            </w:r>
          </w:p>
        </w:tc>
        <w:tc>
          <w:tcPr>
            <w:tcW w:type="dxa" w:w="7370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不同等级信号后未来5/10/20日的最大回撤分布。</w:t>
            </w:r>
          </w:p>
        </w:tc>
      </w:tr>
      <w:tr>
        <w:trPr>
          <w:cantSplit/>
        </w:trPr>
        <w:tc>
          <w:tcPr>
            <w:tcW w:type="dxa" w:w="204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校准度</w:t>
            </w:r>
          </w:p>
        </w:tc>
        <w:tc>
          <w:tcPr>
            <w:tcW w:type="dxa" w:w="7370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不同分数区间对应的经验风险是否单调上升。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40" w:after="100" w:line="288" w:lineRule="auto"/>
      </w:pPr>
      <w:r>
        <w:rPr>
          <w:rFonts w:ascii="Noto Serif CJK SC" w:hAnsi="Noto Serif CJK SC" w:eastAsia="Noto Serif CJK SC"/>
          <w:b/>
          <w:color w:val="17365D"/>
          <w:sz w:val="26"/>
        </w:rPr>
        <w:t>7.3 防止过拟合</w:t>
      </w:r>
    </w:p>
    <w:p>
      <w:pPr>
        <w:pStyle w:val="ListBullet"/>
        <w:keepNext w:val="0"/>
        <w:spacing w:before="0" w:after="50" w:line="324" w:lineRule="auto"/>
      </w:pP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阈值优先使用简单分位，避免为少数历史事件精细调参。</w:t>
      </w:r>
    </w:p>
    <w:p>
      <w:pPr>
        <w:pStyle w:val="ListBullet"/>
        <w:keepNext w:val="0"/>
        <w:spacing w:before="0" w:after="50" w:line="324" w:lineRule="auto"/>
      </w:pP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同一经济因素只进入一个主要维度；相关指标可合成为子分数，避免重复计分。</w:t>
      </w:r>
    </w:p>
    <w:p>
      <w:pPr>
        <w:pStyle w:val="ListBullet"/>
        <w:keepNext w:val="0"/>
        <w:spacing w:before="0" w:after="50" w:line="324" w:lineRule="auto"/>
      </w:pP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模型先冻结，再测试新的市场和新的时期。</w:t>
      </w:r>
    </w:p>
    <w:p>
      <w:pPr>
        <w:pStyle w:val="ListBullet"/>
        <w:keepNext w:val="0"/>
        <w:spacing w:before="0" w:after="50" w:line="324" w:lineRule="auto"/>
      </w:pP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保留“未触发”样本和失败案例，不只展示成功预警。</w:t>
      </w:r>
    </w:p>
    <w:p>
      <w:pPr>
        <w:pStyle w:val="ListBullet"/>
        <w:keepNext w:val="0"/>
        <w:spacing w:before="0" w:after="50" w:line="324" w:lineRule="auto"/>
      </w:pP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定性变量必须有明确标注规则、双人复核或文本分类标准。</w:t>
      </w:r>
    </w:p>
    <w:p>
      <w:pPr>
        <w:pStyle w:val="Heading1"/>
        <w:keepNext/>
        <w:spacing w:before="220" w:after="100" w:line="288" w:lineRule="auto"/>
      </w:pPr>
      <w:r>
        <w:rPr>
          <w:rFonts w:ascii="Noto Serif CJK SC" w:hAnsi="Noto Serif CJK SC" w:eastAsia="Noto Serif CJK SC"/>
          <w:b/>
          <w:color w:val="17365D"/>
          <w:sz w:val="32"/>
        </w:rPr>
        <w:t>8. 使用限制与实施建议</w:t>
      </w:r>
    </w:p>
    <w:p>
      <w:pPr>
        <w:pStyle w:val="Heading2"/>
        <w:keepNext/>
        <w:spacing w:before="140" w:after="100" w:line="288" w:lineRule="auto"/>
      </w:pPr>
      <w:r>
        <w:rPr>
          <w:rFonts w:ascii="Noto Serif CJK SC" w:hAnsi="Noto Serif CJK SC" w:eastAsia="Noto Serif CJK SC"/>
          <w:b/>
          <w:color w:val="17365D"/>
          <w:sz w:val="26"/>
        </w:rPr>
        <w:t>8.1 典型误判来源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2041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来源</w:t>
            </w:r>
          </w:p>
        </w:tc>
        <w:tc>
          <w:tcPr>
            <w:tcW w:type="dxa" w:w="7370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高估值长期化</w:t>
            </w:r>
          </w:p>
        </w:tc>
        <w:tc>
          <w:tcPr>
            <w:tcW w:type="dxa" w:w="7370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估值极端可以持续数月甚至更久，因此V高不代表立即下跌。</w:t>
            </w:r>
          </w:p>
        </w:tc>
      </w:tr>
      <w:tr>
        <w:trPr>
          <w:cantSplit/>
        </w:trPr>
        <w:tc>
          <w:tcPr>
            <w:tcW w:type="dxa" w:w="204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政策托底或流动性注入</w:t>
            </w:r>
          </w:p>
        </w:tc>
        <w:tc>
          <w:tcPr>
            <w:tcW w:type="dxa" w:w="7370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外部冲击可能被政策快速吸收，导致传导链中断。</w:t>
            </w:r>
          </w:p>
        </w:tc>
      </w:tr>
      <w:tr>
        <w:trPr>
          <w:cantSplit/>
        </w:trPr>
        <w:tc>
          <w:tcPr>
            <w:tcW w:type="dxa" w:w="2041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结构性轮动</w:t>
            </w:r>
          </w:p>
        </w:tc>
        <w:tc>
          <w:tcPr>
            <w:tcW w:type="dxa" w:w="7370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某板块暴跌不一定代表系统性风险，需区分局部风险与全市场风险。</w:t>
            </w:r>
          </w:p>
        </w:tc>
      </w:tr>
      <w:tr>
        <w:trPr>
          <w:cantSplit/>
        </w:trPr>
        <w:tc>
          <w:tcPr>
            <w:tcW w:type="dxa" w:w="204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数据不可观测</w:t>
            </w:r>
          </w:p>
        </w:tc>
        <w:tc>
          <w:tcPr>
            <w:tcW w:type="dxa" w:w="7370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真实量化模型相关性、场外杠杆和赎回压力往往只能使用代理变量。</w:t>
            </w:r>
          </w:p>
        </w:tc>
      </w:tr>
      <w:tr>
        <w:trPr>
          <w:cantSplit/>
        </w:trPr>
        <w:tc>
          <w:tcPr>
            <w:tcW w:type="dxa" w:w="2041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制度差异</w:t>
            </w:r>
          </w:p>
        </w:tc>
        <w:tc>
          <w:tcPr>
            <w:tcW w:type="dxa" w:w="7370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涨跌停、T+1、做空限制和市场参与者结构会改变反馈速度。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40" w:after="100" w:line="288" w:lineRule="auto"/>
      </w:pPr>
      <w:r>
        <w:rPr>
          <w:rFonts w:ascii="Noto Serif CJK SC" w:hAnsi="Noto Serif CJK SC" w:eastAsia="Noto Serif CJK SC"/>
          <w:b/>
          <w:color w:val="17365D"/>
          <w:sz w:val="26"/>
        </w:rPr>
        <w:t>8.2 推荐实施顺序</w:t>
      </w:r>
    </w:p>
    <w:p>
      <w:pPr>
        <w:pStyle w:val="BodyText"/>
        <w:keepNext w:val="0"/>
        <w:spacing w:before="0" w:after="50" w:line="324" w:lineRule="auto"/>
        <w:ind w:firstLine="0" w:left="312"/>
      </w:pP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1. 先选定明确对象：全市场、行业板块、风格指数或具体资产，避免混用不同层级。</w:t>
      </w:r>
    </w:p>
    <w:p>
      <w:pPr>
        <w:pStyle w:val="BodyText"/>
        <w:keepNext w:val="0"/>
        <w:spacing w:before="0" w:after="50" w:line="324" w:lineRule="auto"/>
        <w:ind w:firstLine="0" w:left="312"/>
      </w:pP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2. 建立慢变量仪表盘：V每周更新，使用3—5年滚动分位。</w:t>
      </w:r>
    </w:p>
    <w:p>
      <w:pPr>
        <w:pStyle w:val="BodyText"/>
        <w:keepNext w:val="0"/>
        <w:spacing w:before="0" w:after="50" w:line="324" w:lineRule="auto"/>
        <w:ind w:firstLine="0" w:left="312"/>
      </w:pP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3. 建立事件字典：所有事件必须映射到现金流、折现率、融资或信任。</w:t>
      </w:r>
    </w:p>
    <w:p>
      <w:pPr>
        <w:pStyle w:val="BodyText"/>
        <w:keepNext w:val="0"/>
        <w:spacing w:before="0" w:after="50" w:line="324" w:lineRule="auto"/>
        <w:ind w:firstLine="0" w:left="312"/>
      </w:pP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4. 建立本地确认面板：龙头、宽度、量能、相对强弱和波动率。</w:t>
      </w:r>
    </w:p>
    <w:p>
      <w:pPr>
        <w:pStyle w:val="BodyText"/>
        <w:keepNext w:val="0"/>
        <w:spacing w:before="0" w:after="50" w:line="324" w:lineRule="auto"/>
        <w:ind w:firstLine="0" w:left="312"/>
      </w:pP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5. 建立去杠杆代理：融资、ETF流、基差、流动性和相关性。</w:t>
      </w:r>
    </w:p>
    <w:p>
      <w:pPr>
        <w:pStyle w:val="BodyText"/>
        <w:keepNext w:val="0"/>
        <w:spacing w:before="0" w:after="50" w:line="324" w:lineRule="auto"/>
        <w:ind w:firstLine="0" w:left="312"/>
      </w:pP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6. 先运行观察期，再做样本外回测，最后才讨论阈值和策略动作。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9524"/>
            <w:shd w:fill="F4CCCC"/>
            <w:tcBorders>
              <w:top w:val="single" w:sz="8" w:color="A61C1C"/>
              <w:left w:val="single" w:sz="18" w:color="A61C1C"/>
              <w:bottom w:val="single" w:sz="8" w:color="A61C1C"/>
              <w:right w:val="single" w:sz="8" w:color="A61C1C"/>
            </w:tcBorders>
            <w:tcMar>
              <w:top w:w="120" w:type="dxa"/>
              <w:start w:w="170" w:type="dxa"/>
              <w:bottom w:w="120" w:type="dxa"/>
              <w:end w:w="160" w:type="dxa"/>
            </w:tcMar>
          </w:tcPr>
          <w:p>
            <w:pPr>
              <w:keepNext w:val="0"/>
              <w:spacing w:before="0" w:after="60" w:line="30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A61C1C"/>
                <w:sz w:val="22"/>
              </w:rPr>
              <w:t>最终原则</w:t>
            </w:r>
          </w:p>
          <w:p>
            <w:pPr>
              <w:keepNext w:val="0"/>
              <w:spacing w:before="0" w:after="0" w:line="32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0"/>
              </w:rPr>
              <w:t>不要预警“坏新闻”；要预警“脆弱市场遇到实质冲击，并得到本地价格和资金确认，随后出现机械卖出”。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00" w:line="288" w:lineRule="auto"/>
      </w:pPr>
      <w:r>
        <w:rPr>
          <w:rFonts w:ascii="Noto Serif CJK SC" w:hAnsi="Noto Serif CJK SC" w:eastAsia="Noto Serif CJK SC"/>
          <w:b/>
          <w:color w:val="17365D"/>
          <w:sz w:val="32"/>
        </w:rPr>
        <w:t>附录A：可直接录入表格的评分卡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73"/>
        <w:gridCol w:w="1673"/>
        <w:gridCol w:w="1673"/>
        <w:gridCol w:w="1673"/>
        <w:gridCol w:w="1673"/>
        <w:gridCol w:w="1673"/>
      </w:tblGrid>
      <w:tr>
        <w:trPr>
          <w:tblHeader w:val="true"/>
          <w:cantSplit/>
        </w:trPr>
        <w:tc>
          <w:tcPr>
            <w:tcW w:type="dxa" w:w="680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代码</w:t>
            </w:r>
          </w:p>
        </w:tc>
        <w:tc>
          <w:tcPr>
            <w:tcW w:type="dxa" w:w="1701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变量</w:t>
            </w:r>
          </w:p>
        </w:tc>
        <w:tc>
          <w:tcPr>
            <w:tcW w:type="dxa" w:w="680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模块</w:t>
            </w:r>
          </w:p>
        </w:tc>
        <w:tc>
          <w:tcPr>
            <w:tcW w:type="dxa" w:w="680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权重</w:t>
            </w:r>
          </w:p>
        </w:tc>
        <w:tc>
          <w:tcPr>
            <w:tcW w:type="dxa" w:w="1134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频率</w:t>
            </w:r>
          </w:p>
        </w:tc>
        <w:tc>
          <w:tcPr>
            <w:tcW w:type="dxa" w:w="4649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建议数据</w:t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5"/>
              </w:rPr>
              <w:t>V1</w:t>
            </w:r>
          </w:p>
        </w:tc>
        <w:tc>
          <w:tcPr>
            <w:tcW w:type="dxa" w:w="1701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估值与风险溢价</w:t>
            </w:r>
          </w:p>
        </w:tc>
        <w:tc>
          <w:tcPr>
            <w:tcW w:type="dxa" w:w="680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V</w:t>
            </w:r>
          </w:p>
        </w:tc>
        <w:tc>
          <w:tcPr>
            <w:tcW w:type="dxa" w:w="680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20</w:t>
            </w:r>
          </w:p>
        </w:tc>
        <w:tc>
          <w:tcPr>
            <w:tcW w:type="dxa" w:w="1134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周</w:t>
            </w:r>
          </w:p>
        </w:tc>
        <w:tc>
          <w:tcPr>
            <w:tcW w:type="dxa" w:w="4649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历史分位/风险溢价</w:t>
            </w:r>
          </w:p>
        </w:tc>
      </w:tr>
      <w:tr>
        <w:trPr>
          <w:cantSplit/>
        </w:trPr>
        <w:tc>
          <w:tcPr>
            <w:tcW w:type="dxa" w:w="680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5"/>
              </w:rPr>
              <w:t>V2</w:t>
            </w:r>
          </w:p>
        </w:tc>
        <w:tc>
          <w:tcPr>
            <w:tcW w:type="dxa" w:w="170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预期饱和</w:t>
            </w:r>
          </w:p>
        </w:tc>
        <w:tc>
          <w:tcPr>
            <w:tcW w:type="dxa" w:w="680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V</w:t>
            </w:r>
          </w:p>
        </w:tc>
        <w:tc>
          <w:tcPr>
            <w:tcW w:type="dxa" w:w="680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15</w:t>
            </w:r>
          </w:p>
        </w:tc>
        <w:tc>
          <w:tcPr>
            <w:tcW w:type="dxa" w:w="1134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周/事件</w:t>
            </w:r>
          </w:p>
        </w:tc>
        <w:tc>
          <w:tcPr>
            <w:tcW w:type="dxa" w:w="4649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利好反应、预测分歧</w:t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5"/>
              </w:rPr>
              <w:t>V3</w:t>
            </w:r>
          </w:p>
        </w:tc>
        <w:tc>
          <w:tcPr>
            <w:tcW w:type="dxa" w:w="1701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前期超额涨幅</w:t>
            </w:r>
          </w:p>
        </w:tc>
        <w:tc>
          <w:tcPr>
            <w:tcW w:type="dxa" w:w="680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V</w:t>
            </w:r>
          </w:p>
        </w:tc>
        <w:tc>
          <w:tcPr>
            <w:tcW w:type="dxa" w:w="680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15</w:t>
            </w:r>
          </w:p>
        </w:tc>
        <w:tc>
          <w:tcPr>
            <w:tcW w:type="dxa" w:w="1134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日</w:t>
            </w:r>
          </w:p>
        </w:tc>
        <w:tc>
          <w:tcPr>
            <w:tcW w:type="dxa" w:w="4649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相对收益分位</w:t>
            </w:r>
          </w:p>
        </w:tc>
      </w:tr>
      <w:tr>
        <w:trPr>
          <w:cantSplit/>
        </w:trPr>
        <w:tc>
          <w:tcPr>
            <w:tcW w:type="dxa" w:w="680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5"/>
              </w:rPr>
              <w:t>V4</w:t>
            </w:r>
          </w:p>
        </w:tc>
        <w:tc>
          <w:tcPr>
            <w:tcW w:type="dxa" w:w="170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持仓与成交拥挤</w:t>
            </w:r>
          </w:p>
        </w:tc>
        <w:tc>
          <w:tcPr>
            <w:tcW w:type="dxa" w:w="680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V</w:t>
            </w:r>
          </w:p>
        </w:tc>
        <w:tc>
          <w:tcPr>
            <w:tcW w:type="dxa" w:w="680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20</w:t>
            </w:r>
          </w:p>
        </w:tc>
        <w:tc>
          <w:tcPr>
            <w:tcW w:type="dxa" w:w="1134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周</w:t>
            </w:r>
          </w:p>
        </w:tc>
        <w:tc>
          <w:tcPr>
            <w:tcW w:type="dxa" w:w="4649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持仓、ETF、成交、相关性</w:t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5"/>
              </w:rPr>
              <w:t>V5</w:t>
            </w:r>
          </w:p>
        </w:tc>
        <w:tc>
          <w:tcPr>
            <w:tcW w:type="dxa" w:w="1701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杠杆存量</w:t>
            </w:r>
          </w:p>
        </w:tc>
        <w:tc>
          <w:tcPr>
            <w:tcW w:type="dxa" w:w="680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V</w:t>
            </w:r>
          </w:p>
        </w:tc>
        <w:tc>
          <w:tcPr>
            <w:tcW w:type="dxa" w:w="680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15</w:t>
            </w:r>
          </w:p>
        </w:tc>
        <w:tc>
          <w:tcPr>
            <w:tcW w:type="dxa" w:w="1134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周</w:t>
            </w:r>
          </w:p>
        </w:tc>
        <w:tc>
          <w:tcPr>
            <w:tcW w:type="dxa" w:w="4649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融资/保证金/杠杆产品</w:t>
            </w:r>
          </w:p>
        </w:tc>
      </w:tr>
      <w:tr>
        <w:trPr>
          <w:cantSplit/>
        </w:trPr>
        <w:tc>
          <w:tcPr>
            <w:tcW w:type="dxa" w:w="680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5"/>
              </w:rPr>
              <w:t>V6</w:t>
            </w:r>
          </w:p>
        </w:tc>
        <w:tc>
          <w:tcPr>
            <w:tcW w:type="dxa" w:w="170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流动性错配</w:t>
            </w:r>
          </w:p>
        </w:tc>
        <w:tc>
          <w:tcPr>
            <w:tcW w:type="dxa" w:w="680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V</w:t>
            </w:r>
          </w:p>
        </w:tc>
        <w:tc>
          <w:tcPr>
            <w:tcW w:type="dxa" w:w="680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15</w:t>
            </w:r>
          </w:p>
        </w:tc>
        <w:tc>
          <w:tcPr>
            <w:tcW w:type="dxa" w:w="1134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周</w:t>
            </w:r>
          </w:p>
        </w:tc>
        <w:tc>
          <w:tcPr>
            <w:tcW w:type="dxa" w:w="4649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规模与成交深度</w:t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5"/>
              </w:rPr>
              <w:t>T1</w:t>
            </w:r>
          </w:p>
        </w:tc>
        <w:tc>
          <w:tcPr>
            <w:tcW w:type="dxa" w:w="1701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现金流冲击</w:t>
            </w:r>
          </w:p>
        </w:tc>
        <w:tc>
          <w:tcPr>
            <w:tcW w:type="dxa" w:w="680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T</w:t>
            </w:r>
          </w:p>
        </w:tc>
        <w:tc>
          <w:tcPr>
            <w:tcW w:type="dxa" w:w="680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30</w:t>
            </w:r>
          </w:p>
        </w:tc>
        <w:tc>
          <w:tcPr>
            <w:tcW w:type="dxa" w:w="1134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事件</w:t>
            </w:r>
          </w:p>
        </w:tc>
        <w:tc>
          <w:tcPr>
            <w:tcW w:type="dxa" w:w="4649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盈利、订单、价格、成本</w:t>
            </w:r>
          </w:p>
        </w:tc>
      </w:tr>
      <w:tr>
        <w:trPr>
          <w:cantSplit/>
        </w:trPr>
        <w:tc>
          <w:tcPr>
            <w:tcW w:type="dxa" w:w="680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5"/>
              </w:rPr>
              <w:t>T2</w:t>
            </w:r>
          </w:p>
        </w:tc>
        <w:tc>
          <w:tcPr>
            <w:tcW w:type="dxa" w:w="170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折现率冲击</w:t>
            </w:r>
          </w:p>
        </w:tc>
        <w:tc>
          <w:tcPr>
            <w:tcW w:type="dxa" w:w="680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T</w:t>
            </w:r>
          </w:p>
        </w:tc>
        <w:tc>
          <w:tcPr>
            <w:tcW w:type="dxa" w:w="680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25</w:t>
            </w:r>
          </w:p>
        </w:tc>
        <w:tc>
          <w:tcPr>
            <w:tcW w:type="dxa" w:w="1134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日</w:t>
            </w:r>
          </w:p>
        </w:tc>
        <w:tc>
          <w:tcPr>
            <w:tcW w:type="dxa" w:w="4649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利率、信用、风险溢价</w:t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5"/>
              </w:rPr>
              <w:t>T3</w:t>
            </w:r>
          </w:p>
        </w:tc>
        <w:tc>
          <w:tcPr>
            <w:tcW w:type="dxa" w:w="1701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融资条件冲击</w:t>
            </w:r>
          </w:p>
        </w:tc>
        <w:tc>
          <w:tcPr>
            <w:tcW w:type="dxa" w:w="680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T</w:t>
            </w:r>
          </w:p>
        </w:tc>
        <w:tc>
          <w:tcPr>
            <w:tcW w:type="dxa" w:w="680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20</w:t>
            </w:r>
          </w:p>
        </w:tc>
        <w:tc>
          <w:tcPr>
            <w:tcW w:type="dxa" w:w="1134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事件</w:t>
            </w:r>
          </w:p>
        </w:tc>
        <w:tc>
          <w:tcPr>
            <w:tcW w:type="dxa" w:w="4649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融资可得性与成本</w:t>
            </w:r>
          </w:p>
        </w:tc>
      </w:tr>
      <w:tr>
        <w:trPr>
          <w:cantSplit/>
        </w:trPr>
        <w:tc>
          <w:tcPr>
            <w:tcW w:type="dxa" w:w="680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5"/>
              </w:rPr>
              <w:t>T4</w:t>
            </w:r>
          </w:p>
        </w:tc>
        <w:tc>
          <w:tcPr>
            <w:tcW w:type="dxa" w:w="170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信任冲击</w:t>
            </w:r>
          </w:p>
        </w:tc>
        <w:tc>
          <w:tcPr>
            <w:tcW w:type="dxa" w:w="680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T</w:t>
            </w:r>
          </w:p>
        </w:tc>
        <w:tc>
          <w:tcPr>
            <w:tcW w:type="dxa" w:w="680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25</w:t>
            </w:r>
          </w:p>
        </w:tc>
        <w:tc>
          <w:tcPr>
            <w:tcW w:type="dxa" w:w="1134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事件</w:t>
            </w:r>
          </w:p>
        </w:tc>
        <w:tc>
          <w:tcPr>
            <w:tcW w:type="dxa" w:w="4649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违约、审计、治理、监管</w:t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5"/>
              </w:rPr>
              <w:t>S1</w:t>
            </w:r>
          </w:p>
        </w:tc>
        <w:tc>
          <w:tcPr>
            <w:tcW w:type="dxa" w:w="1701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领先资产异常波动</w:t>
            </w:r>
          </w:p>
        </w:tc>
        <w:tc>
          <w:tcPr>
            <w:tcW w:type="dxa" w:w="680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S</w:t>
            </w:r>
          </w:p>
        </w:tc>
        <w:tc>
          <w:tcPr>
            <w:tcW w:type="dxa" w:w="680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30</w:t>
            </w:r>
          </w:p>
        </w:tc>
        <w:tc>
          <w:tcPr>
            <w:tcW w:type="dxa" w:w="1134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盘前/日</w:t>
            </w:r>
          </w:p>
        </w:tc>
        <w:tc>
          <w:tcPr>
            <w:tcW w:type="dxa" w:w="4649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标准化收益</w:t>
            </w:r>
          </w:p>
        </w:tc>
      </w:tr>
      <w:tr>
        <w:trPr>
          <w:cantSplit/>
        </w:trPr>
        <w:tc>
          <w:tcPr>
            <w:tcW w:type="dxa" w:w="680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5"/>
              </w:rPr>
              <w:t>S2</w:t>
            </w:r>
          </w:p>
        </w:tc>
        <w:tc>
          <w:tcPr>
            <w:tcW w:type="dxa" w:w="170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动态关联强度</w:t>
            </w:r>
          </w:p>
        </w:tc>
        <w:tc>
          <w:tcPr>
            <w:tcW w:type="dxa" w:w="680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S</w:t>
            </w:r>
          </w:p>
        </w:tc>
        <w:tc>
          <w:tcPr>
            <w:tcW w:type="dxa" w:w="680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25</w:t>
            </w:r>
          </w:p>
        </w:tc>
        <w:tc>
          <w:tcPr>
            <w:tcW w:type="dxa" w:w="1134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周</w:t>
            </w:r>
          </w:p>
        </w:tc>
        <w:tc>
          <w:tcPr>
            <w:tcW w:type="dxa" w:w="4649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Beta、滞后相关</w:t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5"/>
              </w:rPr>
              <w:t>S3</w:t>
            </w:r>
          </w:p>
        </w:tc>
        <w:tc>
          <w:tcPr>
            <w:tcW w:type="dxa" w:w="1701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产业/资金映射</w:t>
            </w:r>
          </w:p>
        </w:tc>
        <w:tc>
          <w:tcPr>
            <w:tcW w:type="dxa" w:w="680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S</w:t>
            </w:r>
          </w:p>
        </w:tc>
        <w:tc>
          <w:tcPr>
            <w:tcW w:type="dxa" w:w="680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20</w:t>
            </w:r>
          </w:p>
        </w:tc>
        <w:tc>
          <w:tcPr>
            <w:tcW w:type="dxa" w:w="1134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月/事件</w:t>
            </w:r>
          </w:p>
        </w:tc>
        <w:tc>
          <w:tcPr>
            <w:tcW w:type="dxa" w:w="4649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基本面或投资者连接</w:t>
            </w:r>
          </w:p>
        </w:tc>
      </w:tr>
      <w:tr>
        <w:trPr>
          <w:cantSplit/>
        </w:trPr>
        <w:tc>
          <w:tcPr>
            <w:tcW w:type="dxa" w:w="680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5"/>
              </w:rPr>
              <w:t>S4</w:t>
            </w:r>
          </w:p>
        </w:tc>
        <w:tc>
          <w:tcPr>
            <w:tcW w:type="dxa" w:w="170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跨市场同步</w:t>
            </w:r>
          </w:p>
        </w:tc>
        <w:tc>
          <w:tcPr>
            <w:tcW w:type="dxa" w:w="680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S</w:t>
            </w:r>
          </w:p>
        </w:tc>
        <w:tc>
          <w:tcPr>
            <w:tcW w:type="dxa" w:w="680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15</w:t>
            </w:r>
          </w:p>
        </w:tc>
        <w:tc>
          <w:tcPr>
            <w:tcW w:type="dxa" w:w="1134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日</w:t>
            </w:r>
          </w:p>
        </w:tc>
        <w:tc>
          <w:tcPr>
            <w:tcW w:type="dxa" w:w="4649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独立市场确认数</w:t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5"/>
              </w:rPr>
              <w:t>S5</w:t>
            </w:r>
          </w:p>
        </w:tc>
        <w:tc>
          <w:tcPr>
            <w:tcW w:type="dxa" w:w="1701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信息时效</w:t>
            </w:r>
          </w:p>
        </w:tc>
        <w:tc>
          <w:tcPr>
            <w:tcW w:type="dxa" w:w="680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S</w:t>
            </w:r>
          </w:p>
        </w:tc>
        <w:tc>
          <w:tcPr>
            <w:tcW w:type="dxa" w:w="680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10</w:t>
            </w:r>
          </w:p>
        </w:tc>
        <w:tc>
          <w:tcPr>
            <w:tcW w:type="dxa" w:w="1134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事件</w:t>
            </w:r>
          </w:p>
        </w:tc>
        <w:tc>
          <w:tcPr>
            <w:tcW w:type="dxa" w:w="4649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是否尚未充分定价</w:t>
            </w:r>
          </w:p>
        </w:tc>
      </w:tr>
      <w:tr>
        <w:trPr>
          <w:cantSplit/>
        </w:trPr>
        <w:tc>
          <w:tcPr>
            <w:tcW w:type="dxa" w:w="680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5"/>
              </w:rPr>
              <w:t>C1</w:t>
            </w:r>
          </w:p>
        </w:tc>
        <w:tc>
          <w:tcPr>
            <w:tcW w:type="dxa" w:w="170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龙头转弱</w:t>
            </w:r>
          </w:p>
        </w:tc>
        <w:tc>
          <w:tcPr>
            <w:tcW w:type="dxa" w:w="680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C</w:t>
            </w:r>
          </w:p>
        </w:tc>
        <w:tc>
          <w:tcPr>
            <w:tcW w:type="dxa" w:w="680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20</w:t>
            </w:r>
          </w:p>
        </w:tc>
        <w:tc>
          <w:tcPr>
            <w:tcW w:type="dxa" w:w="1134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盘中/日</w:t>
            </w:r>
          </w:p>
        </w:tc>
        <w:tc>
          <w:tcPr>
            <w:tcW w:type="dxa" w:w="4649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相对强弱、利好反应</w:t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5"/>
              </w:rPr>
              <w:t>C2</w:t>
            </w:r>
          </w:p>
        </w:tc>
        <w:tc>
          <w:tcPr>
            <w:tcW w:type="dxa" w:w="1701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市场宽度恶化</w:t>
            </w:r>
          </w:p>
        </w:tc>
        <w:tc>
          <w:tcPr>
            <w:tcW w:type="dxa" w:w="680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C</w:t>
            </w:r>
          </w:p>
        </w:tc>
        <w:tc>
          <w:tcPr>
            <w:tcW w:type="dxa" w:w="680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20</w:t>
            </w:r>
          </w:p>
        </w:tc>
        <w:tc>
          <w:tcPr>
            <w:tcW w:type="dxa" w:w="1134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盘中/日</w:t>
            </w:r>
          </w:p>
        </w:tc>
        <w:tc>
          <w:tcPr>
            <w:tcW w:type="dxa" w:w="4649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上涨家数、新高新低、均线</w:t>
            </w:r>
          </w:p>
        </w:tc>
      </w:tr>
      <w:tr>
        <w:trPr>
          <w:cantSplit/>
        </w:trPr>
        <w:tc>
          <w:tcPr>
            <w:tcW w:type="dxa" w:w="680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5"/>
              </w:rPr>
              <w:t>C3</w:t>
            </w:r>
          </w:p>
        </w:tc>
        <w:tc>
          <w:tcPr>
            <w:tcW w:type="dxa" w:w="170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下跌量能</w:t>
            </w:r>
          </w:p>
        </w:tc>
        <w:tc>
          <w:tcPr>
            <w:tcW w:type="dxa" w:w="680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C</w:t>
            </w:r>
          </w:p>
        </w:tc>
        <w:tc>
          <w:tcPr>
            <w:tcW w:type="dxa" w:w="680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15</w:t>
            </w:r>
          </w:p>
        </w:tc>
        <w:tc>
          <w:tcPr>
            <w:tcW w:type="dxa" w:w="1134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盘中/日</w:t>
            </w:r>
          </w:p>
        </w:tc>
        <w:tc>
          <w:tcPr>
            <w:tcW w:type="dxa" w:w="4649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量比、主动卖压</w:t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5"/>
              </w:rPr>
              <w:t>C4</w:t>
            </w:r>
          </w:p>
        </w:tc>
        <w:tc>
          <w:tcPr>
            <w:tcW w:type="dxa" w:w="1701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相对强弱下降</w:t>
            </w:r>
          </w:p>
        </w:tc>
        <w:tc>
          <w:tcPr>
            <w:tcW w:type="dxa" w:w="680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C</w:t>
            </w:r>
          </w:p>
        </w:tc>
        <w:tc>
          <w:tcPr>
            <w:tcW w:type="dxa" w:w="680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15</w:t>
            </w:r>
          </w:p>
        </w:tc>
        <w:tc>
          <w:tcPr>
            <w:tcW w:type="dxa" w:w="1134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日</w:t>
            </w:r>
          </w:p>
        </w:tc>
        <w:tc>
          <w:tcPr>
            <w:tcW w:type="dxa" w:w="4649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相对基准收益</w:t>
            </w:r>
          </w:p>
        </w:tc>
      </w:tr>
      <w:tr>
        <w:trPr>
          <w:cantSplit/>
        </w:trPr>
        <w:tc>
          <w:tcPr>
            <w:tcW w:type="dxa" w:w="680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5"/>
              </w:rPr>
              <w:t>C5</w:t>
            </w:r>
          </w:p>
        </w:tc>
        <w:tc>
          <w:tcPr>
            <w:tcW w:type="dxa" w:w="170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趋势与缺口</w:t>
            </w:r>
          </w:p>
        </w:tc>
        <w:tc>
          <w:tcPr>
            <w:tcW w:type="dxa" w:w="680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C</w:t>
            </w:r>
          </w:p>
        </w:tc>
        <w:tc>
          <w:tcPr>
            <w:tcW w:type="dxa" w:w="680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15</w:t>
            </w:r>
          </w:p>
        </w:tc>
        <w:tc>
          <w:tcPr>
            <w:tcW w:type="dxa" w:w="1134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日</w:t>
            </w:r>
          </w:p>
        </w:tc>
        <w:tc>
          <w:tcPr>
            <w:tcW w:type="dxa" w:w="4649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趋势破位、跳空</w:t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5"/>
              </w:rPr>
              <w:t>C6</w:t>
            </w:r>
          </w:p>
        </w:tc>
        <w:tc>
          <w:tcPr>
            <w:tcW w:type="dxa" w:w="1701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波动/衍生品</w:t>
            </w:r>
          </w:p>
        </w:tc>
        <w:tc>
          <w:tcPr>
            <w:tcW w:type="dxa" w:w="680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C</w:t>
            </w:r>
          </w:p>
        </w:tc>
        <w:tc>
          <w:tcPr>
            <w:tcW w:type="dxa" w:w="680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15</w:t>
            </w:r>
          </w:p>
        </w:tc>
        <w:tc>
          <w:tcPr>
            <w:tcW w:type="dxa" w:w="1134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盘中/日</w:t>
            </w:r>
          </w:p>
        </w:tc>
        <w:tc>
          <w:tcPr>
            <w:tcW w:type="dxa" w:w="4649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隐波、偏度、基差</w:t>
            </w:r>
          </w:p>
        </w:tc>
      </w:tr>
      <w:tr>
        <w:trPr>
          <w:cantSplit/>
        </w:trPr>
        <w:tc>
          <w:tcPr>
            <w:tcW w:type="dxa" w:w="680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5"/>
              </w:rPr>
              <w:t>A1</w:t>
            </w:r>
          </w:p>
        </w:tc>
        <w:tc>
          <w:tcPr>
            <w:tcW w:type="dxa" w:w="170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杠杆实际去化</w:t>
            </w:r>
          </w:p>
        </w:tc>
        <w:tc>
          <w:tcPr>
            <w:tcW w:type="dxa" w:w="680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A</w:t>
            </w:r>
          </w:p>
        </w:tc>
        <w:tc>
          <w:tcPr>
            <w:tcW w:type="dxa" w:w="680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25</w:t>
            </w:r>
          </w:p>
        </w:tc>
        <w:tc>
          <w:tcPr>
            <w:tcW w:type="dxa" w:w="1134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日</w:t>
            </w:r>
          </w:p>
        </w:tc>
        <w:tc>
          <w:tcPr>
            <w:tcW w:type="dxa" w:w="4649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融资下降、强平代理</w:t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5"/>
              </w:rPr>
              <w:t>A2</w:t>
            </w:r>
          </w:p>
        </w:tc>
        <w:tc>
          <w:tcPr>
            <w:tcW w:type="dxa" w:w="1701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基金与ETF赎回</w:t>
            </w:r>
          </w:p>
        </w:tc>
        <w:tc>
          <w:tcPr>
            <w:tcW w:type="dxa" w:w="680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A</w:t>
            </w:r>
          </w:p>
        </w:tc>
        <w:tc>
          <w:tcPr>
            <w:tcW w:type="dxa" w:w="680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20</w:t>
            </w:r>
          </w:p>
        </w:tc>
        <w:tc>
          <w:tcPr>
            <w:tcW w:type="dxa" w:w="1134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日</w:t>
            </w:r>
          </w:p>
        </w:tc>
        <w:tc>
          <w:tcPr>
            <w:tcW w:type="dxa" w:w="4649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净流出、折溢价</w:t>
            </w:r>
          </w:p>
        </w:tc>
      </w:tr>
      <w:tr>
        <w:trPr>
          <w:cantSplit/>
        </w:trPr>
        <w:tc>
          <w:tcPr>
            <w:tcW w:type="dxa" w:w="680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5"/>
              </w:rPr>
              <w:t>A3</w:t>
            </w:r>
          </w:p>
        </w:tc>
        <w:tc>
          <w:tcPr>
            <w:tcW w:type="dxa" w:w="170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趋势/波动率降仓</w:t>
            </w:r>
          </w:p>
        </w:tc>
        <w:tc>
          <w:tcPr>
            <w:tcW w:type="dxa" w:w="680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A</w:t>
            </w:r>
          </w:p>
        </w:tc>
        <w:tc>
          <w:tcPr>
            <w:tcW w:type="dxa" w:w="680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15</w:t>
            </w:r>
          </w:p>
        </w:tc>
        <w:tc>
          <w:tcPr>
            <w:tcW w:type="dxa" w:w="1134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日</w:t>
            </w:r>
          </w:p>
        </w:tc>
        <w:tc>
          <w:tcPr>
            <w:tcW w:type="dxa" w:w="4649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趋势与风险预算代理</w:t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5"/>
              </w:rPr>
              <w:t>A4</w:t>
            </w:r>
          </w:p>
        </w:tc>
        <w:tc>
          <w:tcPr>
            <w:tcW w:type="dxa" w:w="1701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市场深度下降</w:t>
            </w:r>
          </w:p>
        </w:tc>
        <w:tc>
          <w:tcPr>
            <w:tcW w:type="dxa" w:w="680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A</w:t>
            </w:r>
          </w:p>
        </w:tc>
        <w:tc>
          <w:tcPr>
            <w:tcW w:type="dxa" w:w="680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20</w:t>
            </w:r>
          </w:p>
        </w:tc>
        <w:tc>
          <w:tcPr>
            <w:tcW w:type="dxa" w:w="1134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盘中/日</w:t>
            </w:r>
          </w:p>
        </w:tc>
        <w:tc>
          <w:tcPr>
            <w:tcW w:type="dxa" w:w="4649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价差、深度、冲击成本</w:t>
            </w:r>
          </w:p>
        </w:tc>
      </w:tr>
      <w:tr>
        <w:trPr>
          <w:cantSplit/>
        </w:trPr>
        <w:tc>
          <w:tcPr>
            <w:tcW w:type="dxa" w:w="680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5"/>
              </w:rPr>
              <w:t>A5</w:t>
            </w:r>
          </w:p>
        </w:tc>
        <w:tc>
          <w:tcPr>
            <w:tcW w:type="dxa" w:w="170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相关性急升</w:t>
            </w:r>
          </w:p>
        </w:tc>
        <w:tc>
          <w:tcPr>
            <w:tcW w:type="dxa" w:w="680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A</w:t>
            </w:r>
          </w:p>
        </w:tc>
        <w:tc>
          <w:tcPr>
            <w:tcW w:type="dxa" w:w="680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20</w:t>
            </w:r>
          </w:p>
        </w:tc>
        <w:tc>
          <w:tcPr>
            <w:tcW w:type="dxa" w:w="1134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日</w:t>
            </w:r>
          </w:p>
        </w:tc>
        <w:tc>
          <w:tcPr>
            <w:tcW w:type="dxa" w:w="4649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5"/>
              </w:rPr>
              <w:t>成分股同步程度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20" w:after="100" w:line="288" w:lineRule="auto"/>
      </w:pPr>
      <w:r>
        <w:rPr>
          <w:rFonts w:ascii="Noto Serif CJK SC" w:hAnsi="Noto Serif CJK SC" w:eastAsia="Noto Serif CJK SC"/>
          <w:b/>
          <w:color w:val="17365D"/>
          <w:sz w:val="32"/>
        </w:rPr>
        <w:t>附录B：伪代码与示范情境</w:t>
      </w:r>
    </w:p>
    <w:p>
      <w:pPr>
        <w:pStyle w:val="Heading2"/>
        <w:keepNext/>
        <w:spacing w:before="140" w:after="100" w:line="288" w:lineRule="auto"/>
      </w:pPr>
      <w:r>
        <w:rPr>
          <w:rFonts w:ascii="Noto Serif CJK SC" w:hAnsi="Noto Serif CJK SC" w:eastAsia="Noto Serif CJK SC"/>
          <w:b/>
          <w:color w:val="17365D"/>
          <w:sz w:val="26"/>
        </w:rPr>
        <w:t>B.1 预警逻辑伪代码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F5F7FA"/>
            <w:tcBorders>
              <w:top w:val="single" w:sz="8" w:color="B8C2CC"/>
              <w:left w:val="single" w:sz="8" w:color="B8C2CC"/>
              <w:bottom w:val="single" w:sz="8" w:color="B8C2CC"/>
              <w:right w:val="single" w:sz="8" w:color="B8C2CC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63238"/>
                <w:sz w:val="17"/>
              </w:rPr>
              <w:t>V = score_structural_fragility()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63238"/>
                <w:sz w:val="17"/>
              </w:rPr>
              <w:t>T = score_fundamental_trigger()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63238"/>
                <w:sz w:val="17"/>
              </w:rPr>
              <w:t>S = score_external_transmission()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63238"/>
                <w:sz w:val="17"/>
              </w:rPr>
              <w:t>C = score_local_confirmation()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63238"/>
                <w:sz w:val="17"/>
              </w:rPr>
              <w:t>A = score_forced_selling()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63238"/>
                <w:sz w:val="17"/>
              </w:rPr>
              <w:t>M = time_window_modifier()  # 0.90—1.20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63238"/>
                <w:sz w:val="17"/>
              </w:rPr>
              <w:t>raw_score = 0.30*V + 0.20*T + 0.15*S + 0.20*C + 0.15*A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63238"/>
                <w:sz w:val="17"/>
              </w:rPr>
              <w:t>adjusted_score = M * raw_score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63238"/>
                <w:sz w:val="17"/>
              </w:rPr>
              <w:t xml:space="preserve"> 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63238"/>
                <w:sz w:val="17"/>
              </w:rPr>
              <w:t>if V &gt;= 60 and max(T, S) &gt;= 50 and C &gt;= 60 and A &gt;= 40 and adjusted_score &gt;= 65: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63238"/>
                <w:sz w:val="17"/>
              </w:rPr>
              <w:t xml:space="preserve">    level = "红色：踩踏风险"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63238"/>
                <w:sz w:val="17"/>
              </w:rPr>
              <w:t>elif V &gt;= 60 and max(T, S) &gt;= 50 and C &gt;= 40: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63238"/>
                <w:sz w:val="17"/>
              </w:rPr>
              <w:t xml:space="preserve">    level = "橙色：重新定价"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63238"/>
                <w:sz w:val="17"/>
              </w:rPr>
              <w:t>elif V &gt;= 60: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63238"/>
                <w:sz w:val="17"/>
              </w:rPr>
              <w:t xml:space="preserve">    level = "黄色：结构脆弱"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63238"/>
                <w:sz w:val="17"/>
              </w:rPr>
              <w:t>else: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63238"/>
                <w:sz w:val="17"/>
              </w:rPr>
              <w:t xml:space="preserve">    level = "绿色：正常"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40" w:after="100" w:line="288" w:lineRule="auto"/>
      </w:pPr>
      <w:r>
        <w:rPr>
          <w:rFonts w:ascii="Noto Serif CJK SC" w:hAnsi="Noto Serif CJK SC" w:eastAsia="Noto Serif CJK SC"/>
          <w:b/>
          <w:color w:val="17365D"/>
          <w:sz w:val="26"/>
        </w:rPr>
        <w:t>B.2 三个示范情境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  <w:cantSplit/>
        </w:trPr>
        <w:tc>
          <w:tcPr>
            <w:tcW w:type="dxa" w:w="1928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情境</w:t>
            </w:r>
          </w:p>
        </w:tc>
        <w:tc>
          <w:tcPr>
            <w:tcW w:type="dxa" w:w="2835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输入</w:t>
            </w:r>
          </w:p>
        </w:tc>
        <w:tc>
          <w:tcPr>
            <w:tcW w:type="dxa" w:w="1247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等级</w:t>
            </w:r>
          </w:p>
        </w:tc>
        <w:tc>
          <w:tcPr>
            <w:tcW w:type="dxa" w:w="3515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解释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7"/>
              </w:rPr>
              <w:t>情境一：外部大跌但本地未确认</w:t>
            </w:r>
          </w:p>
        </w:tc>
        <w:tc>
          <w:tcPr>
            <w:tcW w:type="dxa" w:w="2835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V=72, T=35, S=68, C=28, A=15, M=1.00</w:t>
            </w:r>
          </w:p>
        </w:tc>
        <w:tc>
          <w:tcPr>
            <w:tcW w:type="dxa" w:w="1247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黄色</w:t>
            </w:r>
          </w:p>
        </w:tc>
        <w:tc>
          <w:tcPr>
            <w:tcW w:type="dxa" w:w="3515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海外信号强，但本地价格、宽度和资金未确认，不升级为橙色。</w:t>
            </w:r>
          </w:p>
        </w:tc>
      </w:tr>
      <w:tr>
        <w:trPr>
          <w:cantSplit/>
        </w:trPr>
        <w:tc>
          <w:tcPr>
            <w:tcW w:type="dxa" w:w="1928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7"/>
              </w:rPr>
              <w:t>情境二：重新定价开始</w:t>
            </w:r>
          </w:p>
        </w:tc>
        <w:tc>
          <w:tcPr>
            <w:tcW w:type="dxa" w:w="2835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V=72, T=55, S=61, C=48, A=22, M=1.05</w:t>
            </w:r>
          </w:p>
        </w:tc>
        <w:tc>
          <w:tcPr>
            <w:tcW w:type="dxa" w:w="1247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橙色</w:t>
            </w:r>
          </w:p>
        </w:tc>
        <w:tc>
          <w:tcPr>
            <w:tcW w:type="dxa" w:w="3515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结构脆弱、触发明确且本地已转弱，但机械卖出尚未成形。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7"/>
              </w:rPr>
              <w:t>情境三：踩踏链形成</w:t>
            </w:r>
          </w:p>
        </w:tc>
        <w:tc>
          <w:tcPr>
            <w:tcW w:type="dxa" w:w="2835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V=72, T=55, S=61, C=68, A=52, M=1.10</w:t>
            </w:r>
          </w:p>
        </w:tc>
        <w:tc>
          <w:tcPr>
            <w:tcW w:type="dxa" w:w="1247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红色</w:t>
            </w:r>
          </w:p>
        </w:tc>
        <w:tc>
          <w:tcPr>
            <w:tcW w:type="dxa" w:w="3515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9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7"/>
              </w:rPr>
              <w:t>本地确认与去杠杆均达到门槛，调整后总分约69.5。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40" w:after="100" w:line="288" w:lineRule="auto"/>
      </w:pPr>
      <w:r>
        <w:rPr>
          <w:rFonts w:ascii="Noto Serif CJK SC" w:hAnsi="Noto Serif CJK SC" w:eastAsia="Noto Serif CJK SC"/>
          <w:b/>
          <w:color w:val="17365D"/>
          <w:sz w:val="26"/>
        </w:rPr>
        <w:t>B.3 最终一句话规则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9524"/>
            <w:shd w:fill="EAF2E4"/>
            <w:tcBorders>
              <w:top w:val="single" w:sz="8" w:color="548235"/>
              <w:left w:val="single" w:sz="18" w:color="548235"/>
              <w:bottom w:val="single" w:sz="8" w:color="548235"/>
              <w:right w:val="single" w:sz="8" w:color="548235"/>
            </w:tcBorders>
            <w:tcMar>
              <w:top w:w="120" w:type="dxa"/>
              <w:start w:w="170" w:type="dxa"/>
              <w:bottom w:w="120" w:type="dxa"/>
              <w:end w:w="160" w:type="dxa"/>
            </w:tcMar>
          </w:tcPr>
          <w:p>
            <w:pPr>
              <w:keepNext w:val="0"/>
              <w:spacing w:before="0" w:after="60" w:line="30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548235"/>
                <w:sz w:val="22"/>
              </w:rPr>
              <w:t>可复用表述</w:t>
            </w:r>
          </w:p>
          <w:p>
            <w:pPr>
              <w:keepNext w:val="0"/>
              <w:spacing w:before="0" w:after="0" w:line="32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0"/>
              </w:rPr>
              <w:t>当一个高估值、高预期、高拥挤、高杠杆或低流动性的市场，遭遇能够改变现金流、折现率、融资条件或市场信任的冲击，并出现相关领先资产异常波动、本地龙头转弱、市场宽度恶化和放量下跌，随后又触发融资平仓、赎回、趋势降仓或流动性收缩时，暴跌风险会显著上升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79" w:right="935" w:bottom="822" w:left="935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819" w:val="center"/>
        <w:tab w:pos="9638" w:val="right"/>
      </w:tabs>
      <w:jc w:val="right"/>
    </w:pPr>
    <w:r>
      <w:rPr>
        <w:rFonts w:ascii="Noto Sans CJK SC" w:hAnsi="Noto Sans CJK SC" w:eastAsia="Noto Sans CJK SC"/>
        <w:b w:val="0"/>
        <w:i w:val="0"/>
        <w:color w:val="666666"/>
        <w:sz w:val="16"/>
      </w:rPr>
      <w:t>风险研究工具｜非投资建议</w:t>
    </w:r>
    <w:r>
      <w:rPr>
        <w:rFonts w:ascii="Noto Sans CJK SC" w:hAnsi="Noto Sans CJK SC" w:eastAsia="Noto Sans CJK SC"/>
        <w:b w:val="0"/>
        <w:i w:val="0"/>
        <w:color w:val="222222"/>
        <w:sz w:val="21"/>
      </w:rPr>
      <w:tab/>
    </w:r>
    <w:r>
      <w:rPr>
        <w:rFonts w:ascii="Noto Sans CJK SC" w:hAnsi="Noto Sans CJK SC" w:eastAsia="Noto Sans CJK SC"/>
        <w:b w:val="0"/>
        <w:i w:val="0"/>
        <w:color w:val="666666"/>
        <w:sz w:val="16"/>
      </w:rPr>
      <w:t>2026-07-18</w:t>
    </w:r>
    <w:r>
      <w:rPr>
        <w:rFonts w:ascii="Noto Sans CJK SC" w:hAnsi="Noto Sans CJK SC" w:eastAsia="Noto Sans CJK SC"/>
        <w:b w:val="0"/>
        <w:i w:val="0"/>
        <w:color w:val="222222"/>
        <w:sz w:val="21"/>
      </w:rPr>
      <w:tab/>
    </w:r>
    <w:r>
      <w:rPr>
        <w:rFonts w:ascii="Noto Sans CJK SC" w:hAnsi="Noto Sans CJK SC" w:eastAsia="Noto Sans CJK SC"/>
        <w:b w:val="0"/>
        <w:color w:val="666666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right"/>
    </w:pPr>
    <w:r>
      <w:rPr>
        <w:rFonts w:ascii="Noto Sans CJK SC" w:hAnsi="Noto Sans CJK SC" w:eastAsia="Noto Sans CJK SC"/>
        <w:b w:val="0"/>
        <w:i w:val="0"/>
        <w:color w:val="666666"/>
        <w:sz w:val="17"/>
      </w:rPr>
      <w:t>通用暴跌风险预警框架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80"/>
    </w:pPr>
    <w:rPr>
      <w:rFonts w:ascii="Noto Sans CJK SC" w:hAnsi="Noto Sans CJK SC" w:eastAsia="Noto Sans CJK SC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 w:line="276" w:lineRule="auto"/>
      <w:outlineLvl w:val="0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 w:line="276" w:lineRule="auto"/>
      <w:outlineLvl w:val="1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00" w:line="276" w:lineRule="auto"/>
      <w:outlineLvl w:val="2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2F75B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341" w:lineRule="auto"/>
      <w:ind w:firstLine="420"/>
    </w:pPr>
    <w:rPr>
      <w:rFonts w:ascii="Noto Sans CJK SC" w:hAnsi="Noto Sans CJK SC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425" w:hanging="215"/>
      <w:contextualSpacing/>
    </w:pPr>
    <w:rPr>
      <w:rFonts w:ascii="Noto Sans CJK SC" w:hAnsi="Noto Sans CJK SC" w:eastAsia="Noto Sans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ind w:left="765" w:hanging="215"/>
      <w:contextualSpacing/>
    </w:pPr>
    <w:rPr>
      <w:rFonts w:ascii="Noto Sans CJK SC" w:hAnsi="Noto Sans CJK SC" w:eastAsia="Noto Sans CJK S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ind w:left="425" w:hanging="215"/>
      <w:contextualSpacing/>
    </w:pPr>
    <w:rPr>
      <w:rFonts w:ascii="Noto Sans CJK SC" w:hAnsi="Noto Sans CJK SC" w:eastAsia="Noto Sans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ind w:left="765" w:hanging="215"/>
      <w:contextualSpacing/>
    </w:pPr>
    <w:rPr>
      <w:rFonts w:ascii="Noto Sans CJK SC" w:hAnsi="Noto Sans CJK SC" w:eastAsia="Noto Sans CJK SC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通用暴跌风险预警框架</dc:title>
  <dc:subject>五层因果模型、门控规则、评分卡与执行清单</dc:subject>
  <dc:creator>OpenAI</dc:creator>
  <cp:keywords>暴跌预警, 风险模型, 拥挤交易, 杠杆, 市场确认, 跨市场传导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