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A45C8" w14:textId="4C0CF805" w:rsidR="00345B06" w:rsidRDefault="00FF08F6" w:rsidP="00FF08F6">
      <w:pPr>
        <w:pStyle w:val="Tytu"/>
      </w:pPr>
      <w:r>
        <w:t>Biblioteka BDL_DLL</w:t>
      </w:r>
    </w:p>
    <w:p w14:paraId="2893B075" w14:textId="48600650" w:rsidR="00FF08F6" w:rsidRDefault="00FF08F6" w:rsidP="00FF08F6">
      <w:pPr>
        <w:pStyle w:val="Podtytu"/>
      </w:pPr>
      <w:r>
        <w:t>Opis działania</w:t>
      </w:r>
    </w:p>
    <w:p w14:paraId="26DF1982" w14:textId="57E26006" w:rsidR="00FF08F6" w:rsidRDefault="00FF08F6" w:rsidP="00FF08F6"/>
    <w:p w14:paraId="0776C8DC" w14:textId="125D7410" w:rsidR="00FF08F6" w:rsidRDefault="00714F1B" w:rsidP="0046133E">
      <w:pPr>
        <w:pStyle w:val="Nagwek1"/>
      </w:pPr>
      <w:r>
        <w:t>Wstęp</w:t>
      </w:r>
    </w:p>
    <w:p w14:paraId="73257333" w14:textId="141929E9" w:rsidR="008E4B57" w:rsidRDefault="00CA78C4" w:rsidP="00714F1B">
      <w:r>
        <w:t>System bazodanowy SQL serwer pozwala na dołączanie do baz tzw. assembly – wtyczek</w:t>
      </w:r>
      <w:r w:rsidR="008E4B57">
        <w:t>, bibliotek pisanych na platformę CLR (Common Language Runtime). Mogą być to biblioteki pisane w języku C#, ale również np. Visual Basic bądź też F#.</w:t>
      </w:r>
    </w:p>
    <w:p w14:paraId="263A3712" w14:textId="69694924" w:rsidR="00714F1B" w:rsidRDefault="008E4B57" w:rsidP="00714F1B">
      <w:r>
        <w:t>Niniejsza b</w:t>
      </w:r>
      <w:r w:rsidR="00BA5D2F">
        <w:t xml:space="preserve">iblioteka działa </w:t>
      </w:r>
      <w:r>
        <w:t xml:space="preserve">właśnie jako </w:t>
      </w:r>
      <w:r w:rsidR="002C6D84">
        <w:t>assembly. Językiem biblioteki jest C#</w:t>
      </w:r>
      <w:r w:rsidR="009839E5">
        <w:t>, użyte weń mechanizmy i składnia języka wymagają korzystania z .net Framework w wersji najwyższej (na czas pisania jest to 4.7).</w:t>
      </w:r>
    </w:p>
    <w:p w14:paraId="0727CDBD" w14:textId="76BBE525" w:rsidR="00735069" w:rsidRDefault="00D00B8A" w:rsidP="00714F1B">
      <w:r>
        <w:t xml:space="preserve">Metoda wykorzystania takiej wtyczki pozwoli na elastyczne i łatwe </w:t>
      </w:r>
      <w:r w:rsidR="00810A6E">
        <w:t>połączenie SQL Server z serwisem REST</w:t>
      </w:r>
      <w:r w:rsidR="00873BAB">
        <w:t xml:space="preserve"> Banku Danych Lokalnych. Biblioteka realizując zadanie łączenia się poprzez udostępnione API działa niezależnie od serwera SQL</w:t>
      </w:r>
      <w:r w:rsidR="00F01461">
        <w:t xml:space="preserve">. </w:t>
      </w:r>
      <w:r w:rsidR="0018149B">
        <w:t xml:space="preserve">Separacja </w:t>
      </w:r>
      <w:r w:rsidR="00F01461">
        <w:t xml:space="preserve">odpowiedzialności </w:t>
      </w:r>
      <w:r w:rsidR="00735069">
        <w:t>jest tu bardzo ważna</w:t>
      </w:r>
      <w:r w:rsidR="004C04C7">
        <w:t xml:space="preserve"> – każdy fragment </w:t>
      </w:r>
      <w:r w:rsidR="00DC19CC">
        <w:t xml:space="preserve">projektu </w:t>
      </w:r>
      <w:r w:rsidR="00E11A99">
        <w:t>wykonuje to co potrafi najlepiej</w:t>
      </w:r>
      <w:r w:rsidR="00184505">
        <w:t xml:space="preserve">. </w:t>
      </w:r>
      <w:r w:rsidR="00E11A99">
        <w:t xml:space="preserve">SQL Server odpowiada za sprawne zarządzanie danymi, natomiast </w:t>
      </w:r>
      <w:r w:rsidR="00184505">
        <w:t xml:space="preserve">w kwestii połączeń z serwisami REST biblioteki .net są bezkonkurencyjne </w:t>
      </w:r>
      <w:r w:rsidR="00356E9F">
        <w:t xml:space="preserve">- </w:t>
      </w:r>
      <w:r w:rsidR="00184505">
        <w:t>w porównaniu z wbudowanymi w SQL Server mechanizmami.</w:t>
      </w:r>
    </w:p>
    <w:p w14:paraId="39CB556B" w14:textId="5E85B233" w:rsidR="00F65121" w:rsidRDefault="00F65121" w:rsidP="00714F1B">
      <w:r>
        <w:t>Metoda ta jest również odporna na zmiany</w:t>
      </w:r>
      <w:r w:rsidR="00227B62">
        <w:t xml:space="preserve">. W przypadku zmiany sposobu łączenia się z API Banku Danych Lokalnych </w:t>
      </w:r>
      <w:r w:rsidR="00CC2177">
        <w:t>wystarczające będzie odpowiednie dostosowanie niniejszej biblioteki</w:t>
      </w:r>
      <w:r w:rsidR="00A74621">
        <w:t xml:space="preserve">, natomiast mechanizmy </w:t>
      </w:r>
      <w:r w:rsidR="00534C10">
        <w:t>po stronie SQL Server pozostaną bez zmian</w:t>
      </w:r>
      <w:r w:rsidR="00227B62">
        <w:t xml:space="preserve">. </w:t>
      </w:r>
    </w:p>
    <w:p w14:paraId="34C58EDD" w14:textId="48090E23" w:rsidR="0035648D" w:rsidRDefault="0035648D" w:rsidP="00714F1B">
      <w:r>
        <w:t xml:space="preserve">Biblioteka </w:t>
      </w:r>
      <w:r w:rsidR="00534C10">
        <w:t xml:space="preserve">niniejsza </w:t>
      </w:r>
      <w:r>
        <w:t>składa się z kilkunastu klas</w:t>
      </w:r>
      <w:r w:rsidR="00725563">
        <w:t xml:space="preserve">, wszystkie </w:t>
      </w:r>
      <w:r w:rsidR="00534C10">
        <w:t xml:space="preserve">znajdują się </w:t>
      </w:r>
      <w:r w:rsidR="00725563">
        <w:t xml:space="preserve">w jednej przestrzeni nazw. Biblioteka </w:t>
      </w:r>
      <w:r w:rsidR="00705E0A">
        <w:t xml:space="preserve">zawarta jest w ramach jednego projektu Visual Studio. Rolę pomocniczą </w:t>
      </w:r>
      <w:r w:rsidR="00B41B1D">
        <w:t xml:space="preserve">pełni inny projekt - testów jednostkowych, który jednak nie jest </w:t>
      </w:r>
      <w:r w:rsidR="00326898">
        <w:t>zawarty w wyjściowym artefakcie DLL.</w:t>
      </w:r>
    </w:p>
    <w:p w14:paraId="00F1FF02" w14:textId="77777777" w:rsidR="00735069" w:rsidRDefault="00735069">
      <w:r>
        <w:br w:type="page"/>
      </w:r>
    </w:p>
    <w:p w14:paraId="44B2FDDB" w14:textId="33832C2B" w:rsidR="00FF08F6" w:rsidRDefault="00CE4B41" w:rsidP="0046133E">
      <w:pPr>
        <w:pStyle w:val="Nagwek1"/>
      </w:pPr>
      <w:r>
        <w:lastRenderedPageBreak/>
        <w:t>Diagram klas</w:t>
      </w:r>
    </w:p>
    <w:p w14:paraId="4A424F1A" w14:textId="265F913D" w:rsidR="00BA5D2F" w:rsidRDefault="00BB033C" w:rsidP="00BA5D2F">
      <w:r>
        <w:t>Poniższy</w:t>
      </w:r>
      <w:r w:rsidR="000E027A">
        <w:t xml:space="preserve"> ogólny</w:t>
      </w:r>
      <w:r>
        <w:t xml:space="preserve"> diagram przedstawia klasy reprezentujące encje.</w:t>
      </w:r>
    </w:p>
    <w:p w14:paraId="10EABEB5" w14:textId="60747E0C" w:rsidR="00735069" w:rsidRDefault="004D3522">
      <w:r w:rsidRPr="004D3522">
        <w:rPr>
          <w:noProof/>
          <w:lang w:eastAsia="pl-PL"/>
        </w:rPr>
        <w:drawing>
          <wp:inline distT="0" distB="0" distL="0" distR="0" wp14:anchorId="67BAA59A" wp14:editId="7E6FFD47">
            <wp:extent cx="5039428" cy="5391902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069">
        <w:br w:type="page"/>
      </w:r>
    </w:p>
    <w:p w14:paraId="492C1F6E" w14:textId="358D8316" w:rsidR="00812756" w:rsidRDefault="000078A4" w:rsidP="00BA5D2F">
      <w:r>
        <w:lastRenderedPageBreak/>
        <w:t xml:space="preserve">Diagram przedstawiający klasy pomocnicze </w:t>
      </w:r>
      <w:r w:rsidR="00CC69C5">
        <w:t>oraz główną klasę wykorzystywaną po stronie SQL Server.</w:t>
      </w:r>
    </w:p>
    <w:p w14:paraId="15ACB07C" w14:textId="27DDF136" w:rsidR="000E027A" w:rsidRDefault="00B14D09" w:rsidP="00BA5D2F">
      <w:r w:rsidRPr="00B14D09">
        <w:rPr>
          <w:noProof/>
          <w:lang w:eastAsia="pl-PL"/>
        </w:rPr>
        <w:drawing>
          <wp:inline distT="0" distB="0" distL="0" distR="0" wp14:anchorId="7230B203" wp14:editId="6349F8E2">
            <wp:extent cx="5019675" cy="5153025"/>
            <wp:effectExtent l="0" t="0" r="9525" b="9525"/>
            <wp:docPr id="3" name="Obraz 3" descr="C:\Users\kuba\Desktop\BDL_DLL_Sche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ba\Desktop\BDL_DLL_Schem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1FBA" w14:textId="2FC446C0" w:rsidR="00CE4B41" w:rsidRDefault="00C46EC1" w:rsidP="0046133E">
      <w:pPr>
        <w:pStyle w:val="Nagwek1"/>
      </w:pPr>
      <w:r>
        <w:t>Opis klas encji</w:t>
      </w:r>
    </w:p>
    <w:p w14:paraId="16FFF876" w14:textId="6FD39E6D" w:rsidR="00BA5D2F" w:rsidRDefault="0013767A" w:rsidP="00BA5D2F">
      <w:r>
        <w:t>Są to klasy reprezentujące pojedyncze encje bazodanowe</w:t>
      </w:r>
      <w:r w:rsidR="000337D4">
        <w:t>. Każda instancja klasy reprezentuje jeden wiersz</w:t>
      </w:r>
      <w:r w:rsidR="00377C8B">
        <w:t>, który zwraca funkcja tabelaryczna bazodanowa.</w:t>
      </w:r>
      <w:r w:rsidR="000E027A">
        <w:t xml:space="preserve"> </w:t>
      </w:r>
      <w:r w:rsidR="00967C9B">
        <w:t>S</w:t>
      </w:r>
      <w:r w:rsidR="00DC2388">
        <w:t>ą to proste obiekty DTO</w:t>
      </w:r>
      <w:r w:rsidR="002C7C1D">
        <w:t xml:space="preserve"> (data transfer object)</w:t>
      </w:r>
      <w:r w:rsidR="0007073D">
        <w:t xml:space="preserve">. Rola tych obiektów sprowadza się </w:t>
      </w:r>
      <w:r w:rsidR="00E24683">
        <w:t xml:space="preserve">konwersji danych z odpowiedniej metody API REST Banku Danych Lokalnych i przechowywania tych danych na okres </w:t>
      </w:r>
      <w:r w:rsidR="008D07E6">
        <w:t>ich przetwarzania</w:t>
      </w:r>
      <w:r w:rsidR="00626F4D">
        <w:t>.</w:t>
      </w:r>
      <w:r w:rsidR="00045B54">
        <w:t xml:space="preserve"> Dane zapisane w klasie służą więc jako</w:t>
      </w:r>
      <w:r w:rsidR="00903E27">
        <w:t xml:space="preserve"> pośredniczące – odbierając </w:t>
      </w:r>
      <w:r w:rsidR="006145BA">
        <w:t>z serwisu BDL i przekazując je do SQL Servera.</w:t>
      </w:r>
    </w:p>
    <w:p w14:paraId="1F938F2B" w14:textId="7ABEA695" w:rsidR="00377C8B" w:rsidRDefault="00377C8B" w:rsidP="00377C8B">
      <w:pPr>
        <w:pStyle w:val="Nagwek2"/>
      </w:pPr>
      <w:r>
        <w:t>AttributeRow</w:t>
      </w:r>
    </w:p>
    <w:p w14:paraId="6BE2E788" w14:textId="5B28B6AE" w:rsidR="001C2354" w:rsidRDefault="00FB1CA4" w:rsidP="00FB1CA4">
      <w:r>
        <w:t>Klasa reprezentuje atrybut</w:t>
      </w:r>
      <w:r w:rsidR="00383698">
        <w:t>. Atrybutem</w:t>
      </w:r>
      <w:r w:rsidR="00DB3BB5">
        <w:t xml:space="preserve"> w sensie BDL</w:t>
      </w:r>
      <w:r w:rsidR="00312E3D">
        <w:t xml:space="preserve"> jest </w:t>
      </w:r>
      <w:r w:rsidR="006D725E">
        <w:t xml:space="preserve">opis specyficznych sytuacji w danych, które są powiązane z każdą wartością liczbową. 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E44B01" w14:paraId="5A70D1F1" w14:textId="77777777" w:rsidTr="004F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961A45" w14:textId="4C0F5E09" w:rsidR="00E44B01" w:rsidRDefault="005123A1" w:rsidP="00FB1CA4">
            <w:r>
              <w:t>Właściwość</w:t>
            </w:r>
          </w:p>
        </w:tc>
        <w:tc>
          <w:tcPr>
            <w:tcW w:w="1086" w:type="dxa"/>
          </w:tcPr>
          <w:p w14:paraId="6D7AAD3E" w14:textId="7E74AC20" w:rsidR="00E44B01" w:rsidRDefault="00E44B01" w:rsidP="00FB1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956" w:type="dxa"/>
          </w:tcPr>
          <w:p w14:paraId="16551E1C" w14:textId="5EC6C97D" w:rsidR="00E44B01" w:rsidRDefault="00E44B01" w:rsidP="00FB1C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E44B01" w14:paraId="5CE10637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32E61D" w14:textId="6787AC40" w:rsidR="00E44B01" w:rsidRDefault="00E44B01" w:rsidP="00FB1CA4">
            <w:r>
              <w:t>Id</w:t>
            </w:r>
          </w:p>
        </w:tc>
        <w:tc>
          <w:tcPr>
            <w:tcW w:w="1086" w:type="dxa"/>
          </w:tcPr>
          <w:p w14:paraId="7CB2BF06" w14:textId="01C5D504" w:rsidR="00E44B01" w:rsidRDefault="00E44B01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56" w:type="dxa"/>
          </w:tcPr>
          <w:p w14:paraId="705736DF" w14:textId="7A98968F" w:rsidR="00E44B01" w:rsidRDefault="000C427D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Unikalny identyfikator </w:t>
            </w:r>
          </w:p>
        </w:tc>
      </w:tr>
      <w:tr w:rsidR="00E44B01" w14:paraId="634C9F0B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FB859E7" w14:textId="5F975F47" w:rsidR="00E44B01" w:rsidRDefault="00E44B01" w:rsidP="00FB1CA4">
            <w:r>
              <w:t>Name</w:t>
            </w:r>
          </w:p>
        </w:tc>
        <w:tc>
          <w:tcPr>
            <w:tcW w:w="1086" w:type="dxa"/>
          </w:tcPr>
          <w:p w14:paraId="1E5DB84E" w14:textId="67BEF68E" w:rsidR="00E44B01" w:rsidRDefault="000C427D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0C744375" w14:textId="448043EB" w:rsidR="00E44B01" w:rsidRDefault="000C427D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atrybutu</w:t>
            </w:r>
          </w:p>
        </w:tc>
      </w:tr>
      <w:tr w:rsidR="00E44B01" w14:paraId="1102BD07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7E440A" w14:textId="52A5796B" w:rsidR="00E44B01" w:rsidRDefault="00E44B01" w:rsidP="00FB1CA4">
            <w:r>
              <w:t>Symbol</w:t>
            </w:r>
          </w:p>
        </w:tc>
        <w:tc>
          <w:tcPr>
            <w:tcW w:w="1086" w:type="dxa"/>
          </w:tcPr>
          <w:p w14:paraId="4004DB58" w14:textId="269A6C4D" w:rsidR="00E44B01" w:rsidRDefault="000C427D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155FA327" w14:textId="78BCBAE9" w:rsidR="00E44B01" w:rsidRDefault="000C427D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 atrybutu</w:t>
            </w:r>
          </w:p>
        </w:tc>
      </w:tr>
      <w:tr w:rsidR="00E44B01" w14:paraId="6ECB6D61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B2D6E4" w14:textId="409BC05A" w:rsidR="00E44B01" w:rsidRDefault="00E44B01" w:rsidP="00FB1CA4">
            <w:r>
              <w:t>Description</w:t>
            </w:r>
          </w:p>
        </w:tc>
        <w:tc>
          <w:tcPr>
            <w:tcW w:w="1086" w:type="dxa"/>
          </w:tcPr>
          <w:p w14:paraId="30EAD660" w14:textId="31387AD4" w:rsidR="00E44B01" w:rsidRDefault="000C427D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3C2EE9C8" w14:textId="4A622678" w:rsidR="00E44B01" w:rsidRDefault="000C427D" w:rsidP="00FB1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 atrybutu</w:t>
            </w:r>
          </w:p>
        </w:tc>
      </w:tr>
    </w:tbl>
    <w:p w14:paraId="7347466A" w14:textId="3FE6AF4E" w:rsidR="00573DC7" w:rsidRPr="00FB1CA4" w:rsidRDefault="00573DC7" w:rsidP="00FB1CA4"/>
    <w:p w14:paraId="6E6FB607" w14:textId="729EB10A" w:rsidR="00377C8B" w:rsidRDefault="00377C8B" w:rsidP="00577F34">
      <w:pPr>
        <w:pStyle w:val="Nagwek2"/>
      </w:pPr>
      <w:r>
        <w:lastRenderedPageBreak/>
        <w:t>MeasureUnitRow</w:t>
      </w:r>
    </w:p>
    <w:p w14:paraId="366ECB4E" w14:textId="74D5F411" w:rsidR="00573DC7" w:rsidRDefault="00EE1F16" w:rsidP="00573DC7">
      <w:r>
        <w:t xml:space="preserve">Klasa reprezentuje jednostkę miary. </w:t>
      </w:r>
      <w:r w:rsidR="00997B87">
        <w:t>Zwykle jest</w:t>
      </w:r>
      <w:r>
        <w:t xml:space="preserve"> to jednostka ze standardowego układu jednostek SI</w:t>
      </w:r>
      <w:r w:rsidR="00997B87">
        <w:t>, ale</w:t>
      </w:r>
      <w:r w:rsidR="003B4DE1">
        <w:t xml:space="preserve"> poza nimi</w:t>
      </w:r>
      <w:r w:rsidR="00997B87">
        <w:t xml:space="preserve"> występują również jednostki</w:t>
      </w:r>
      <w:r w:rsidR="00093F54">
        <w:t xml:space="preserve"> walutowe </w:t>
      </w:r>
      <w:r w:rsidR="003B4DE1">
        <w:t xml:space="preserve">(zł) </w:t>
      </w:r>
      <w:r w:rsidR="00093F54">
        <w:t xml:space="preserve">lub </w:t>
      </w:r>
      <w:r w:rsidR="003B4DE1">
        <w:t>opisujące liczby (promil).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EE1F16" w14:paraId="777663CC" w14:textId="77777777" w:rsidTr="004F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01F3FF" w14:textId="642F585A" w:rsidR="00EE1F16" w:rsidRDefault="005123A1" w:rsidP="006D75B4">
            <w:r>
              <w:t>Właściwość</w:t>
            </w:r>
          </w:p>
        </w:tc>
        <w:tc>
          <w:tcPr>
            <w:tcW w:w="1086" w:type="dxa"/>
          </w:tcPr>
          <w:p w14:paraId="0DFA4F29" w14:textId="77777777" w:rsidR="00EE1F16" w:rsidRDefault="00EE1F16" w:rsidP="006D7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956" w:type="dxa"/>
          </w:tcPr>
          <w:p w14:paraId="56BBA359" w14:textId="77777777" w:rsidR="00EE1F16" w:rsidRDefault="00EE1F16" w:rsidP="006D7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EE1F16" w14:paraId="2B01CBE8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DF7A7B" w14:textId="77777777" w:rsidR="00EE1F16" w:rsidRDefault="00EE1F16" w:rsidP="006D75B4">
            <w:r>
              <w:t>Id</w:t>
            </w:r>
          </w:p>
        </w:tc>
        <w:tc>
          <w:tcPr>
            <w:tcW w:w="1086" w:type="dxa"/>
          </w:tcPr>
          <w:p w14:paraId="7F6A6D6A" w14:textId="77777777" w:rsidR="00EE1F16" w:rsidRDefault="00EE1F16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56" w:type="dxa"/>
          </w:tcPr>
          <w:p w14:paraId="30F46635" w14:textId="77777777" w:rsidR="00EE1F16" w:rsidRDefault="00EE1F16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Unikalny identyfikator </w:t>
            </w:r>
          </w:p>
        </w:tc>
      </w:tr>
      <w:tr w:rsidR="00EE1F16" w14:paraId="5B9E0238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EF85626" w14:textId="77777777" w:rsidR="00EE1F16" w:rsidRDefault="00EE1F16" w:rsidP="006D75B4">
            <w:r>
              <w:t>Name</w:t>
            </w:r>
          </w:p>
        </w:tc>
        <w:tc>
          <w:tcPr>
            <w:tcW w:w="1086" w:type="dxa"/>
          </w:tcPr>
          <w:p w14:paraId="180DEBF7" w14:textId="77777777" w:rsidR="00EE1F16" w:rsidRDefault="00EE1F16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69221574" w14:textId="234968BA" w:rsidR="00EE1F16" w:rsidRDefault="00EE1F16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jednostki miary</w:t>
            </w:r>
          </w:p>
        </w:tc>
      </w:tr>
      <w:tr w:rsidR="00EE1F16" w14:paraId="31AA11B1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EBC1E1" w14:textId="77777777" w:rsidR="00EE1F16" w:rsidRDefault="00EE1F16" w:rsidP="006D75B4">
            <w:r>
              <w:t>Description</w:t>
            </w:r>
          </w:p>
        </w:tc>
        <w:tc>
          <w:tcPr>
            <w:tcW w:w="1086" w:type="dxa"/>
          </w:tcPr>
          <w:p w14:paraId="27799999" w14:textId="77777777" w:rsidR="00EE1F16" w:rsidRDefault="00EE1F16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7F0659A5" w14:textId="52436B28" w:rsidR="00EE1F16" w:rsidRDefault="00EE1F16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Opis </w:t>
            </w:r>
          </w:p>
        </w:tc>
      </w:tr>
    </w:tbl>
    <w:p w14:paraId="139CB8EA" w14:textId="77777777" w:rsidR="00EE1F16" w:rsidRPr="00573DC7" w:rsidRDefault="00EE1F16" w:rsidP="00573DC7"/>
    <w:p w14:paraId="02C47F03" w14:textId="4F0131A7" w:rsidR="00377C8B" w:rsidRDefault="00377C8B" w:rsidP="00577F34">
      <w:pPr>
        <w:pStyle w:val="Nagwek2"/>
      </w:pPr>
      <w:r>
        <w:t>SubjectRow</w:t>
      </w:r>
    </w:p>
    <w:p w14:paraId="7BDAA8B5" w14:textId="67A08F24" w:rsidR="003B4DE1" w:rsidRDefault="003B4DE1" w:rsidP="003B4DE1">
      <w:r>
        <w:t>Klasa reprezentuje ogólnie pojęty temat. Temat</w:t>
      </w:r>
      <w:r w:rsidR="004F714B">
        <w:t xml:space="preserve"> opisuje zgrubnie zbiór danych reprezentowanych – jest to tzw. metadana. Tematy</w:t>
      </w:r>
      <w:r w:rsidR="005C2F86">
        <w:t xml:space="preserve"> są </w:t>
      </w:r>
      <w:r w:rsidR="000B165D">
        <w:t xml:space="preserve">hierarchiczne, tj. dzielą się </w:t>
      </w:r>
      <w:r w:rsidR="004F714B">
        <w:t xml:space="preserve">na nadrzędne oraz podrzędne. Każdy temat </w:t>
      </w:r>
      <w:r w:rsidR="00016600">
        <w:t>najwyższego poziomu</w:t>
      </w:r>
      <w:r w:rsidR="00865C41">
        <w:t xml:space="preserve"> zawiera listę tematów </w:t>
      </w:r>
      <w:r w:rsidR="00016600">
        <w:t>niższego poziomu</w:t>
      </w:r>
      <w:r w:rsidR="00865C41">
        <w:t>. Tematy charakteryzują się również tym, że mogą posiadać zmienn</w:t>
      </w:r>
      <w:r w:rsidR="0081718B">
        <w:t>e – te które mogą posiadać zmienne są tematami „liśćmi” – nie mają tematów podrzędnych</w:t>
      </w:r>
      <w:r w:rsidR="006658B0">
        <w:t>, ale można pobierać zmienne, których temat dotyczy – w przeciwieństwie do tematów, które „liścmi” nie są.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4F714B" w14:paraId="748D4C05" w14:textId="77777777" w:rsidTr="004F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FCC1A8" w14:textId="25E79DE9" w:rsidR="004F714B" w:rsidRDefault="005123A1" w:rsidP="006D75B4">
            <w:r>
              <w:t>Właściwość</w:t>
            </w:r>
          </w:p>
        </w:tc>
        <w:tc>
          <w:tcPr>
            <w:tcW w:w="1086" w:type="dxa"/>
          </w:tcPr>
          <w:p w14:paraId="3D9E1CFA" w14:textId="77777777" w:rsidR="004F714B" w:rsidRDefault="004F714B" w:rsidP="006D7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956" w:type="dxa"/>
          </w:tcPr>
          <w:p w14:paraId="75CA7F94" w14:textId="77777777" w:rsidR="004F714B" w:rsidRDefault="004F714B" w:rsidP="006D7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4F714B" w14:paraId="3A6544C7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AA5460" w14:textId="77777777" w:rsidR="004F714B" w:rsidRDefault="004F714B" w:rsidP="006D75B4">
            <w:r>
              <w:t>Id</w:t>
            </w:r>
          </w:p>
        </w:tc>
        <w:tc>
          <w:tcPr>
            <w:tcW w:w="1086" w:type="dxa"/>
          </w:tcPr>
          <w:p w14:paraId="0073CAC2" w14:textId="77777777" w:rsidR="004F714B" w:rsidRDefault="004F714B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56" w:type="dxa"/>
          </w:tcPr>
          <w:p w14:paraId="75362CE5" w14:textId="77777777" w:rsidR="004F714B" w:rsidRDefault="004F714B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Unikalny identyfikator </w:t>
            </w:r>
          </w:p>
        </w:tc>
      </w:tr>
      <w:tr w:rsidR="004F714B" w14:paraId="67F3A0F2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0C67C6" w14:textId="77777777" w:rsidR="004F714B" w:rsidRDefault="004F714B" w:rsidP="006D75B4">
            <w:r>
              <w:t>Name</w:t>
            </w:r>
          </w:p>
        </w:tc>
        <w:tc>
          <w:tcPr>
            <w:tcW w:w="1086" w:type="dxa"/>
          </w:tcPr>
          <w:p w14:paraId="28F5FCD5" w14:textId="77777777" w:rsidR="004F714B" w:rsidRDefault="004F714B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7FF1526A" w14:textId="61C8E17D" w:rsidR="004F714B" w:rsidRDefault="004F714B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Nazwa </w:t>
            </w:r>
            <w:r w:rsidR="00865C41">
              <w:t>tematu</w:t>
            </w:r>
          </w:p>
        </w:tc>
      </w:tr>
      <w:tr w:rsidR="004F714B" w14:paraId="007614C3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72483F" w14:textId="66C3FBE3" w:rsidR="004F714B" w:rsidRDefault="004F714B" w:rsidP="006D75B4">
            <w:r>
              <w:t>Children</w:t>
            </w:r>
          </w:p>
        </w:tc>
        <w:tc>
          <w:tcPr>
            <w:tcW w:w="1086" w:type="dxa"/>
          </w:tcPr>
          <w:p w14:paraId="234A54AE" w14:textId="77777777" w:rsidR="004F714B" w:rsidRDefault="004F714B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759F6F19" w14:textId="79FBFA06" w:rsidR="004F714B" w:rsidRDefault="00865C41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tematów podrzędnych (oddzielona przecinkami)</w:t>
            </w:r>
            <w:r w:rsidR="004F714B">
              <w:t xml:space="preserve"> </w:t>
            </w:r>
          </w:p>
        </w:tc>
      </w:tr>
      <w:tr w:rsidR="004F714B" w14:paraId="6243A32D" w14:textId="77777777" w:rsidTr="004F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31A37F3" w14:textId="2F473F19" w:rsidR="004F714B" w:rsidRDefault="004F714B" w:rsidP="006D75B4">
            <w:r>
              <w:t>HasVariables</w:t>
            </w:r>
          </w:p>
        </w:tc>
        <w:tc>
          <w:tcPr>
            <w:tcW w:w="1086" w:type="dxa"/>
          </w:tcPr>
          <w:p w14:paraId="0FE13DEC" w14:textId="488084FF" w:rsidR="004F714B" w:rsidRDefault="004F714B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956" w:type="dxa"/>
          </w:tcPr>
          <w:p w14:paraId="4F1135A4" w14:textId="60C197F5" w:rsidR="004F714B" w:rsidRDefault="00865C41" w:rsidP="006D7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Czy temat posiada zmienne</w:t>
            </w:r>
          </w:p>
        </w:tc>
      </w:tr>
    </w:tbl>
    <w:p w14:paraId="5A91630C" w14:textId="77777777" w:rsidR="004F714B" w:rsidRPr="003B4DE1" w:rsidRDefault="004F714B" w:rsidP="003B4DE1"/>
    <w:p w14:paraId="29E583FB" w14:textId="1B82FCD8" w:rsidR="00377C8B" w:rsidRDefault="00377C8B" w:rsidP="00577F34">
      <w:pPr>
        <w:pStyle w:val="Nagwek2"/>
      </w:pPr>
      <w:r>
        <w:t>UnitRow</w:t>
      </w:r>
    </w:p>
    <w:p w14:paraId="6F7127F2" w14:textId="57172701" w:rsidR="009F2F20" w:rsidRDefault="00CA5FA9" w:rsidP="006658B0">
      <w:r>
        <w:t xml:space="preserve">Klasa reprezentuję jednostkę terytorialną. Przykładem jednostki jest województwo, </w:t>
      </w:r>
      <w:r w:rsidR="002B2BC4">
        <w:t xml:space="preserve">gmina, powiat, miejscowość, itp. </w:t>
      </w:r>
      <w:r w:rsidR="009F2F20">
        <w:t xml:space="preserve">Jednostki naturalnie układają się w strukturę hierarchiczną – województwa, następnie powiaty, gminy, itd. 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9F2F20" w14:paraId="4265B5A3" w14:textId="77777777" w:rsidTr="00462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B07ABF" w14:textId="77777777" w:rsidR="009F2F20" w:rsidRDefault="009F2F20" w:rsidP="00462BB8">
            <w:r>
              <w:t>Właściwość</w:t>
            </w:r>
          </w:p>
        </w:tc>
        <w:tc>
          <w:tcPr>
            <w:tcW w:w="1086" w:type="dxa"/>
          </w:tcPr>
          <w:p w14:paraId="6061DA0F" w14:textId="77777777" w:rsidR="009F2F20" w:rsidRDefault="009F2F20" w:rsidP="00462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956" w:type="dxa"/>
          </w:tcPr>
          <w:p w14:paraId="24F76836" w14:textId="77777777" w:rsidR="009F2F20" w:rsidRDefault="009F2F20" w:rsidP="00462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9F2F20" w14:paraId="5213E266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F5F5C5" w14:textId="77777777" w:rsidR="009F2F20" w:rsidRDefault="009F2F20" w:rsidP="00462BB8">
            <w:r>
              <w:t>Id</w:t>
            </w:r>
          </w:p>
        </w:tc>
        <w:tc>
          <w:tcPr>
            <w:tcW w:w="1086" w:type="dxa"/>
          </w:tcPr>
          <w:p w14:paraId="40E27250" w14:textId="77777777" w:rsidR="009F2F20" w:rsidRDefault="009F2F20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56" w:type="dxa"/>
          </w:tcPr>
          <w:p w14:paraId="4A48488B" w14:textId="77777777" w:rsidR="009F2F20" w:rsidRDefault="009F2F20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Unikalny identyfikator </w:t>
            </w:r>
          </w:p>
        </w:tc>
      </w:tr>
      <w:tr w:rsidR="009F2F20" w14:paraId="4EAA5751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E13E17" w14:textId="77777777" w:rsidR="009F2F20" w:rsidRDefault="009F2F20" w:rsidP="00462BB8">
            <w:r>
              <w:t>Name</w:t>
            </w:r>
          </w:p>
        </w:tc>
        <w:tc>
          <w:tcPr>
            <w:tcW w:w="1086" w:type="dxa"/>
          </w:tcPr>
          <w:p w14:paraId="5F17ECCB" w14:textId="77777777" w:rsidR="009F2F20" w:rsidRDefault="009F2F20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33E40BED" w14:textId="70B7B352" w:rsidR="009F2F20" w:rsidRDefault="009F2F20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Nazwa </w:t>
            </w:r>
            <w:r w:rsidR="00051F9F">
              <w:t>jednostki (nazwa województwa, powiatu, itd.)</w:t>
            </w:r>
          </w:p>
        </w:tc>
      </w:tr>
      <w:tr w:rsidR="009F2F20" w14:paraId="09B565B5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E49E8E" w14:textId="2CB0A9CD" w:rsidR="009F2F20" w:rsidRDefault="009F2F20" w:rsidP="00462BB8">
            <w:r>
              <w:t>ParentId</w:t>
            </w:r>
          </w:p>
        </w:tc>
        <w:tc>
          <w:tcPr>
            <w:tcW w:w="1086" w:type="dxa"/>
          </w:tcPr>
          <w:p w14:paraId="18A3AF84" w14:textId="77777777" w:rsidR="009F2F20" w:rsidRDefault="009F2F20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5A910D3B" w14:textId="654846CA" w:rsidR="009F2F20" w:rsidRDefault="00533F8D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Jednostka terytorialna na</w:t>
            </w:r>
            <w:r w:rsidR="00051F9F">
              <w:t>drzędna</w:t>
            </w:r>
          </w:p>
        </w:tc>
      </w:tr>
      <w:tr w:rsidR="009F2F20" w14:paraId="729EEA56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0B78FE" w14:textId="551BD3B5" w:rsidR="009F2F20" w:rsidRDefault="009F2F20" w:rsidP="00462BB8">
            <w:r>
              <w:t>Level</w:t>
            </w:r>
          </w:p>
        </w:tc>
        <w:tc>
          <w:tcPr>
            <w:tcW w:w="1086" w:type="dxa"/>
          </w:tcPr>
          <w:p w14:paraId="462D7081" w14:textId="6A43AB52" w:rsidR="009F2F20" w:rsidRDefault="00533F8D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56" w:type="dxa"/>
          </w:tcPr>
          <w:p w14:paraId="5841E299" w14:textId="320C36AF" w:rsidR="009F2F20" w:rsidRDefault="00533F8D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Poziom zagnieżdżenia jednostki</w:t>
            </w:r>
          </w:p>
        </w:tc>
      </w:tr>
    </w:tbl>
    <w:p w14:paraId="2E404295" w14:textId="77777777" w:rsidR="009F2F20" w:rsidRPr="006658B0" w:rsidRDefault="009F2F20" w:rsidP="006658B0"/>
    <w:p w14:paraId="064206EE" w14:textId="0C09ACB6" w:rsidR="00A32F3A" w:rsidRDefault="00A32F3A" w:rsidP="00577F34">
      <w:pPr>
        <w:pStyle w:val="Nagwek2"/>
      </w:pPr>
      <w:r>
        <w:t>VariablesRow</w:t>
      </w:r>
    </w:p>
    <w:p w14:paraId="6A337225" w14:textId="0061AF5D" w:rsidR="00A32F3A" w:rsidRPr="003D6946" w:rsidRDefault="001E1A06" w:rsidP="003D6946">
      <w:pPr>
        <w:spacing w:line="240" w:lineRule="auto"/>
      </w:pPr>
      <w:r>
        <w:t xml:space="preserve">Klasa reprezentująca </w:t>
      </w:r>
      <w:r w:rsidR="00816455">
        <w:t xml:space="preserve">zmienną – w sensie </w:t>
      </w:r>
      <w:r w:rsidR="00AC44CD">
        <w:t>Banku Danych Lokalnych.</w:t>
      </w:r>
      <w:r w:rsidR="00004C84">
        <w:t xml:space="preserve"> </w:t>
      </w:r>
      <w:r w:rsidR="00B13155">
        <w:t>Definicja zmiennej</w:t>
      </w:r>
      <w:r w:rsidR="003D6946">
        <w:rPr>
          <w:rStyle w:val="Odwoanieprzypisudolnego"/>
        </w:rPr>
        <w:footnoteReference w:id="1"/>
      </w:r>
    </w:p>
    <w:p w14:paraId="3C8A89FD" w14:textId="3DDCA7A4" w:rsidR="00B13155" w:rsidRDefault="003D6946" w:rsidP="003D6946">
      <w:pPr>
        <w:pStyle w:val="Cytat"/>
      </w:pPr>
      <w:r w:rsidRPr="003D6946">
        <w:t>wielowymiarowe cechy reprezentujące określone zjawisko, z określonym obowiązywaniem w latach i na konkretnym poziomie jednostek, np. liczba pracujących dla wieku '20-26' i płci 'mężczyźni'</w:t>
      </w:r>
    </w:p>
    <w:p w14:paraId="659A760E" w14:textId="105BE6BC" w:rsidR="002C3ADD" w:rsidRDefault="00280BB0">
      <w:r>
        <w:t>Każda zmienna przynależy do jakiegoś tematu.</w:t>
      </w:r>
      <w:r w:rsidR="003F51BF">
        <w:t xml:space="preserve"> Dany temat może zawierać wiele zmiennych.</w:t>
      </w:r>
      <w:r w:rsidR="008B4457">
        <w:t xml:space="preserve"> </w:t>
      </w:r>
      <w:r w:rsidR="002C3ADD">
        <w:br w:type="page"/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280BB0" w14:paraId="38AB8BAF" w14:textId="77777777" w:rsidTr="0098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A608AB" w14:textId="77777777" w:rsidR="00280BB0" w:rsidRDefault="00280BB0" w:rsidP="009870EA">
            <w:r>
              <w:lastRenderedPageBreak/>
              <w:t>Właściwość</w:t>
            </w:r>
          </w:p>
        </w:tc>
        <w:tc>
          <w:tcPr>
            <w:tcW w:w="1086" w:type="dxa"/>
          </w:tcPr>
          <w:p w14:paraId="0AA76B1B" w14:textId="77777777" w:rsidR="00280BB0" w:rsidRDefault="00280BB0" w:rsidP="00987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956" w:type="dxa"/>
          </w:tcPr>
          <w:p w14:paraId="53C49C43" w14:textId="77777777" w:rsidR="00280BB0" w:rsidRDefault="00280BB0" w:rsidP="00987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280BB0" w14:paraId="4A750C1D" w14:textId="77777777" w:rsidTr="009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1A8E25" w14:textId="77777777" w:rsidR="00280BB0" w:rsidRDefault="00280BB0" w:rsidP="009870EA">
            <w:r>
              <w:t>Id</w:t>
            </w:r>
          </w:p>
        </w:tc>
        <w:tc>
          <w:tcPr>
            <w:tcW w:w="1086" w:type="dxa"/>
          </w:tcPr>
          <w:p w14:paraId="1DCBE58E" w14:textId="77777777" w:rsidR="00280BB0" w:rsidRDefault="00280BB0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56" w:type="dxa"/>
          </w:tcPr>
          <w:p w14:paraId="32323055" w14:textId="77777777" w:rsidR="00280BB0" w:rsidRDefault="00280BB0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Unikalny identyfikator </w:t>
            </w:r>
          </w:p>
        </w:tc>
      </w:tr>
      <w:tr w:rsidR="00280BB0" w14:paraId="4FCF657C" w14:textId="77777777" w:rsidTr="009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5E8935" w14:textId="4BFD0462" w:rsidR="00280BB0" w:rsidRDefault="00280BB0" w:rsidP="009870EA">
            <w:r>
              <w:t>SubjectId</w:t>
            </w:r>
          </w:p>
        </w:tc>
        <w:tc>
          <w:tcPr>
            <w:tcW w:w="1086" w:type="dxa"/>
          </w:tcPr>
          <w:p w14:paraId="50C27378" w14:textId="77777777" w:rsidR="00280BB0" w:rsidRDefault="00280BB0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4ED4ABCB" w14:textId="3C9BCB33" w:rsidR="00280BB0" w:rsidRDefault="007D12C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 w:rsidR="005D19C8">
              <w:t xml:space="preserve"> tematu do którego przynależy zmienna</w:t>
            </w:r>
          </w:p>
        </w:tc>
      </w:tr>
      <w:tr w:rsidR="00280BB0" w14:paraId="7767DF95" w14:textId="77777777" w:rsidTr="009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751E9C" w14:textId="1F67B8D3" w:rsidR="00280BB0" w:rsidRDefault="003F51BF" w:rsidP="009870EA">
            <w:r>
              <w:t>N1</w:t>
            </w:r>
          </w:p>
        </w:tc>
        <w:tc>
          <w:tcPr>
            <w:tcW w:w="1086" w:type="dxa"/>
          </w:tcPr>
          <w:p w14:paraId="42243B56" w14:textId="77777777" w:rsidR="00280BB0" w:rsidRDefault="00280BB0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030524F8" w14:textId="20F32F64" w:rsidR="00280BB0" w:rsidRDefault="007D12C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ogólna zmiennej</w:t>
            </w:r>
          </w:p>
        </w:tc>
      </w:tr>
      <w:tr w:rsidR="00280BB0" w14:paraId="0F8FC2A9" w14:textId="77777777" w:rsidTr="009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F95EC0" w14:textId="41922BFD" w:rsidR="00280BB0" w:rsidRDefault="003F51BF" w:rsidP="009870EA">
            <w:r>
              <w:t>N2</w:t>
            </w:r>
          </w:p>
        </w:tc>
        <w:tc>
          <w:tcPr>
            <w:tcW w:w="1086" w:type="dxa"/>
          </w:tcPr>
          <w:p w14:paraId="07B4D3D4" w14:textId="2862FF8E" w:rsidR="00280BB0" w:rsidRDefault="003F51B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3F2F2AF5" w14:textId="588EF2CF" w:rsidR="00280BB0" w:rsidRDefault="007D12C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Szczegóły zmiennej (np. dodatkowa dookreślająca nazwa)</w:t>
            </w:r>
          </w:p>
        </w:tc>
      </w:tr>
      <w:tr w:rsidR="003F51BF" w14:paraId="73EBBBFB" w14:textId="77777777" w:rsidTr="009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02C0DB" w14:textId="642773FE" w:rsidR="003F51BF" w:rsidRDefault="003F51BF" w:rsidP="009870EA">
            <w:r>
              <w:t>MeasureUnitId</w:t>
            </w:r>
          </w:p>
        </w:tc>
        <w:tc>
          <w:tcPr>
            <w:tcW w:w="1086" w:type="dxa"/>
          </w:tcPr>
          <w:p w14:paraId="54AD5990" w14:textId="1F1123D1" w:rsidR="003F51BF" w:rsidRDefault="003F51B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56" w:type="dxa"/>
          </w:tcPr>
          <w:p w14:paraId="1951D882" w14:textId="10E1C59D" w:rsidR="003F51BF" w:rsidRDefault="003F51B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jednostki miary</w:t>
            </w:r>
          </w:p>
        </w:tc>
      </w:tr>
      <w:tr w:rsidR="003F51BF" w14:paraId="18E6C226" w14:textId="77777777" w:rsidTr="00987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45943A" w14:textId="378BB44D" w:rsidR="003F51BF" w:rsidRDefault="003F51BF" w:rsidP="009870EA">
            <w:r>
              <w:t>MeasureUnitName</w:t>
            </w:r>
          </w:p>
        </w:tc>
        <w:tc>
          <w:tcPr>
            <w:tcW w:w="1086" w:type="dxa"/>
          </w:tcPr>
          <w:p w14:paraId="1754537C" w14:textId="20DEF065" w:rsidR="003F51BF" w:rsidRDefault="003F51B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19136A6E" w14:textId="4F48D4A7" w:rsidR="003F51BF" w:rsidRDefault="003F51BF" w:rsidP="00987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Nazwa jednostki miary</w:t>
            </w:r>
          </w:p>
        </w:tc>
      </w:tr>
    </w:tbl>
    <w:p w14:paraId="60F67102" w14:textId="77777777" w:rsidR="00AC44CD" w:rsidRPr="00A32F3A" w:rsidRDefault="00AC44CD" w:rsidP="00A32F3A"/>
    <w:p w14:paraId="3C93EC18" w14:textId="649A15C5" w:rsidR="00377C8B" w:rsidRDefault="00377C8B" w:rsidP="00577F34">
      <w:pPr>
        <w:pStyle w:val="Nagwek2"/>
      </w:pPr>
      <w:r>
        <w:t>U</w:t>
      </w:r>
      <w:r w:rsidR="00DC143C">
        <w:t>nitData</w:t>
      </w:r>
    </w:p>
    <w:p w14:paraId="24AACEAB" w14:textId="501BA75F" w:rsidR="009E16C0" w:rsidRDefault="008F5E72">
      <w:r>
        <w:t>Klasa reprezentująca pojedynczy wiersz konkretnych już danyc</w:t>
      </w:r>
      <w:r w:rsidR="00600788">
        <w:t xml:space="preserve">h. </w:t>
      </w:r>
      <w:r w:rsidR="00B3196D">
        <w:t>W terminologii hurtownii danych można poprzez analogię rozumieć tę klasę jako reprezentującą pojedynczy wiersz z tabeli faktów.</w:t>
      </w:r>
      <w:r w:rsidR="00A32F3A">
        <w:t xml:space="preserve"> Mamy zatem odniesienia do </w:t>
      </w:r>
      <w:r w:rsidR="009E16C0">
        <w:t>wszystkich wyżej wymienionych klas, jak i również konkretne wartości danych.</w:t>
      </w:r>
      <w:r w:rsidR="00A01F78">
        <w:t xml:space="preserve"> Klasa przyjmuje dowolne wartości z Banku Danych Lokalnych.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913314" w14:paraId="15957F9A" w14:textId="77777777" w:rsidTr="00462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608AEC" w14:textId="77777777" w:rsidR="00913314" w:rsidRDefault="00913314" w:rsidP="00462BB8">
            <w:r>
              <w:t>Właściwość</w:t>
            </w:r>
          </w:p>
        </w:tc>
        <w:tc>
          <w:tcPr>
            <w:tcW w:w="1086" w:type="dxa"/>
          </w:tcPr>
          <w:p w14:paraId="55BE4F15" w14:textId="77777777" w:rsidR="00913314" w:rsidRDefault="00913314" w:rsidP="00462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956" w:type="dxa"/>
          </w:tcPr>
          <w:p w14:paraId="00ECC02F" w14:textId="77777777" w:rsidR="00913314" w:rsidRDefault="00913314" w:rsidP="00462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913314" w14:paraId="316FA028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4CF716" w14:textId="77777777" w:rsidR="00913314" w:rsidRDefault="00913314" w:rsidP="00462BB8">
            <w:r>
              <w:t>Id</w:t>
            </w:r>
          </w:p>
        </w:tc>
        <w:tc>
          <w:tcPr>
            <w:tcW w:w="1086" w:type="dxa"/>
          </w:tcPr>
          <w:p w14:paraId="5AAFD88D" w14:textId="77777777" w:rsidR="00913314" w:rsidRDefault="00913314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56" w:type="dxa"/>
          </w:tcPr>
          <w:p w14:paraId="27137B58" w14:textId="77777777" w:rsidR="00913314" w:rsidRDefault="00913314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Unikalny identyfikator </w:t>
            </w:r>
          </w:p>
        </w:tc>
      </w:tr>
      <w:tr w:rsidR="00913314" w14:paraId="5490B04B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5FF96C" w14:textId="77777777" w:rsidR="00913314" w:rsidRDefault="00913314" w:rsidP="00462BB8">
            <w:r>
              <w:t>Name</w:t>
            </w:r>
          </w:p>
        </w:tc>
        <w:tc>
          <w:tcPr>
            <w:tcW w:w="1086" w:type="dxa"/>
          </w:tcPr>
          <w:p w14:paraId="56F0645F" w14:textId="77777777" w:rsidR="00913314" w:rsidRDefault="00913314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5F477CEE" w14:textId="6961B85C" w:rsidR="00913314" w:rsidRDefault="00913314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Nazwa </w:t>
            </w:r>
          </w:p>
        </w:tc>
      </w:tr>
      <w:tr w:rsidR="00913314" w14:paraId="4AD0531F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DC8146C" w14:textId="2355DC75" w:rsidR="00913314" w:rsidRDefault="00C328F9" w:rsidP="00462BB8">
            <w:r>
              <w:t>Year</w:t>
            </w:r>
          </w:p>
        </w:tc>
        <w:tc>
          <w:tcPr>
            <w:tcW w:w="1086" w:type="dxa"/>
          </w:tcPr>
          <w:p w14:paraId="0FC451A6" w14:textId="77777777" w:rsidR="00913314" w:rsidRDefault="00913314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797CFBAF" w14:textId="1836EF67" w:rsidR="00913314" w:rsidRDefault="00442FC1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Rok w którym występowała dana</w:t>
            </w:r>
          </w:p>
        </w:tc>
      </w:tr>
      <w:tr w:rsidR="00913314" w14:paraId="3E0768EE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11B17E" w14:textId="3ABE4B72" w:rsidR="00913314" w:rsidRDefault="00C328F9" w:rsidP="00462BB8">
            <w:r>
              <w:t>Value</w:t>
            </w:r>
          </w:p>
        </w:tc>
        <w:tc>
          <w:tcPr>
            <w:tcW w:w="1086" w:type="dxa"/>
          </w:tcPr>
          <w:p w14:paraId="02D2F177" w14:textId="1BE659AF" w:rsidR="00913314" w:rsidRDefault="007A7A8B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956" w:type="dxa"/>
          </w:tcPr>
          <w:p w14:paraId="718608AA" w14:textId="3BC400DB" w:rsidR="00913314" w:rsidRDefault="007A7A8B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</w:t>
            </w:r>
          </w:p>
        </w:tc>
      </w:tr>
      <w:tr w:rsidR="00913314" w14:paraId="6401DC19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C3FE60" w14:textId="1114306F" w:rsidR="00913314" w:rsidRDefault="00343ECB" w:rsidP="00462BB8">
            <w:r>
              <w:t>VariableId</w:t>
            </w:r>
          </w:p>
        </w:tc>
        <w:tc>
          <w:tcPr>
            <w:tcW w:w="1086" w:type="dxa"/>
          </w:tcPr>
          <w:p w14:paraId="080299A5" w14:textId="0BF69AB2" w:rsidR="00913314" w:rsidRDefault="00A01F78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56" w:type="dxa"/>
          </w:tcPr>
          <w:p w14:paraId="66CD1094" w14:textId="49AB9C5E" w:rsidR="00913314" w:rsidRDefault="00A01F78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zmiennej</w:t>
            </w:r>
          </w:p>
        </w:tc>
      </w:tr>
      <w:tr w:rsidR="00913314" w14:paraId="4612A366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272B61" w14:textId="70D8B123" w:rsidR="00913314" w:rsidRDefault="00343ECB" w:rsidP="00462BB8">
            <w:r>
              <w:t>MeasureUnitId</w:t>
            </w:r>
          </w:p>
        </w:tc>
        <w:tc>
          <w:tcPr>
            <w:tcW w:w="1086" w:type="dxa"/>
          </w:tcPr>
          <w:p w14:paraId="2BB811F7" w14:textId="68F1F4C4" w:rsidR="00913314" w:rsidRDefault="00A01F78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56" w:type="dxa"/>
          </w:tcPr>
          <w:p w14:paraId="4F95EF85" w14:textId="0082D8F4" w:rsidR="00913314" w:rsidRDefault="00A01F78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jednostki miary</w:t>
            </w:r>
          </w:p>
        </w:tc>
      </w:tr>
      <w:tr w:rsidR="00913314" w14:paraId="14148D3B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0E9CF1" w14:textId="245A905E" w:rsidR="00913314" w:rsidRDefault="003575E8" w:rsidP="00462BB8">
            <w:r>
              <w:t>AggregateId</w:t>
            </w:r>
          </w:p>
        </w:tc>
        <w:tc>
          <w:tcPr>
            <w:tcW w:w="1086" w:type="dxa"/>
          </w:tcPr>
          <w:p w14:paraId="1FA7B8BF" w14:textId="54F57238" w:rsidR="00913314" w:rsidRDefault="00C71168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56" w:type="dxa"/>
          </w:tcPr>
          <w:p w14:paraId="00674025" w14:textId="7A522756" w:rsidR="00913314" w:rsidRDefault="00C71168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r w:rsidR="00F77B73">
              <w:t>poziomu agregowania danych</w:t>
            </w:r>
          </w:p>
        </w:tc>
      </w:tr>
      <w:tr w:rsidR="00913314" w14:paraId="2EDCCA85" w14:textId="77777777" w:rsidTr="0046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429168" w14:textId="23009671" w:rsidR="00913314" w:rsidRDefault="003575E8" w:rsidP="00462BB8">
            <w:r>
              <w:t>AttributeId</w:t>
            </w:r>
          </w:p>
        </w:tc>
        <w:tc>
          <w:tcPr>
            <w:tcW w:w="1086" w:type="dxa"/>
          </w:tcPr>
          <w:p w14:paraId="56D10AF0" w14:textId="68C557C7" w:rsidR="00913314" w:rsidRDefault="00442FC1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956" w:type="dxa"/>
          </w:tcPr>
          <w:p w14:paraId="2C9D6FF5" w14:textId="2512DCB4" w:rsidR="00913314" w:rsidRDefault="00442FC1" w:rsidP="004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atrybutu</w:t>
            </w:r>
          </w:p>
        </w:tc>
      </w:tr>
    </w:tbl>
    <w:p w14:paraId="5AEADE27" w14:textId="4979A304" w:rsidR="00DC143C" w:rsidRPr="00377C8B" w:rsidRDefault="00DC143C" w:rsidP="00577F34">
      <w:pPr>
        <w:pStyle w:val="Nagwek2"/>
      </w:pPr>
    </w:p>
    <w:p w14:paraId="51F7E292" w14:textId="73FCB382" w:rsidR="00780BED" w:rsidRDefault="00C46EC1" w:rsidP="0046133E">
      <w:pPr>
        <w:pStyle w:val="Nagwek1"/>
      </w:pPr>
      <w:r>
        <w:t>Opis klas reprezentujących logikę biznesową</w:t>
      </w:r>
    </w:p>
    <w:p w14:paraId="40B5039F" w14:textId="0D3B0575" w:rsidR="007245C1" w:rsidRDefault="00CF13E6" w:rsidP="007245C1">
      <w:r>
        <w:t>Poniżej przedstawiono k</w:t>
      </w:r>
      <w:r w:rsidR="007245C1">
        <w:t>lasy narzędziowe i klasy realizujące logikę biznesową.</w:t>
      </w:r>
    </w:p>
    <w:p w14:paraId="2C4D075D" w14:textId="3ED14CE2" w:rsidR="00CF13E6" w:rsidRDefault="00577F34" w:rsidP="00577F34">
      <w:pPr>
        <w:pStyle w:val="Nagwek2"/>
      </w:pPr>
      <w:r>
        <w:t>Downloader</w:t>
      </w:r>
    </w:p>
    <w:p w14:paraId="790E5AA0" w14:textId="66FBBCDC" w:rsidR="00F522D5" w:rsidRPr="005678C0" w:rsidRDefault="005678C0" w:rsidP="005678C0">
      <w:r>
        <w:t xml:space="preserve">Klasa statyczna </w:t>
      </w:r>
      <w:r w:rsidR="00631D14">
        <w:t>której celem jest połączenie się</w:t>
      </w:r>
      <w:r w:rsidR="00BF1324">
        <w:t>, z użyciem protokołu HTTPS,</w:t>
      </w:r>
      <w:r w:rsidR="00631D14">
        <w:t xml:space="preserve"> do serwisu REST Banku Danych Lokalnych</w:t>
      </w:r>
      <w:r w:rsidR="001A71A3">
        <w:t>. Wymaganiem takiego połączenia jest podanie</w:t>
      </w:r>
      <w:r w:rsidR="009D008D">
        <w:t xml:space="preserve"> tokena uwierzytelniającego</w:t>
      </w:r>
      <w:r w:rsidR="00907C6C">
        <w:t xml:space="preserve"> (w nagłówku </w:t>
      </w:r>
      <w:r w:rsidR="000163FE">
        <w:t>HTTP)</w:t>
      </w:r>
      <w:r w:rsidR="009D008D">
        <w:t xml:space="preserve">, </w:t>
      </w:r>
      <w:r w:rsidR="00EE4E51">
        <w:t>który klasa dostarcza</w:t>
      </w:r>
      <w:r w:rsidR="000163FE">
        <w:t xml:space="preserve"> z listy tokenów</w:t>
      </w:r>
      <w:r w:rsidR="00EE4E51">
        <w:t xml:space="preserve">. </w:t>
      </w:r>
      <w:r w:rsidR="00C13B86">
        <w:t>Ze względu na limity połączeń dla pojedynczego tokena, klasa posiada listę kilku tokenów, którymi się uwierzytelniamy (</w:t>
      </w:r>
      <w:r w:rsidR="00EA69B5">
        <w:t>korzystamy tu z klasy NeverendingList).</w:t>
      </w:r>
      <w:r w:rsidR="00F522D5">
        <w:t xml:space="preserve"> Dodatkowo, ze względu na ograniczenia serwisu API, </w:t>
      </w:r>
      <w:r w:rsidR="00E16CB0">
        <w:t xml:space="preserve">przed każdym żądaniem </w:t>
      </w:r>
      <w:r w:rsidR="00A42926">
        <w:t>HTTP</w:t>
      </w:r>
      <w:r w:rsidR="00E16CB0">
        <w:t xml:space="preserve"> czekamy </w:t>
      </w:r>
      <w:r w:rsidR="00A42926">
        <w:t>określony czas</w:t>
      </w:r>
      <w:r w:rsidR="0005187E">
        <w:t xml:space="preserve"> – nie przekroczymy w ten sposób limitów.</w:t>
      </w:r>
      <w:bookmarkStart w:id="0" w:name="_GoBack"/>
      <w:bookmarkEnd w:id="0"/>
    </w:p>
    <w:p w14:paraId="37F3A9BB" w14:textId="662A5EFB" w:rsidR="00577F34" w:rsidRDefault="00577F34" w:rsidP="00577F34">
      <w:pPr>
        <w:pStyle w:val="Nagwek2"/>
      </w:pPr>
      <w:r>
        <w:t>RequestLog</w:t>
      </w:r>
      <w:r w:rsidR="009331AD">
        <w:t xml:space="preserve">, </w:t>
      </w:r>
      <w:r>
        <w:t>RequestLogList</w:t>
      </w:r>
    </w:p>
    <w:p w14:paraId="53600A3B" w14:textId="5204E8E9" w:rsidR="009331AD" w:rsidRPr="009331AD" w:rsidRDefault="0045586C" w:rsidP="009331AD">
      <w:r>
        <w:t>Klasy przechowujące informacje o wykonanych do tej pory żądaniach REST do serwisu BDL. Obsługują serializację i deserializację z pliku XML</w:t>
      </w:r>
      <w:r w:rsidR="000552A5">
        <w:t xml:space="preserve"> zapisywanego lokalnie na dysku serwera. </w:t>
      </w:r>
      <w:r w:rsidR="009F44A3">
        <w:t>Dzięki temu mamy możliwość śledzenia zapytań</w:t>
      </w:r>
      <w:r w:rsidR="009E1D85">
        <w:t xml:space="preserve"> nawet i po restarcie SQL Servera.</w:t>
      </w:r>
    </w:p>
    <w:p w14:paraId="7EFDED6E" w14:textId="3E39D31B" w:rsidR="000552A5" w:rsidRDefault="00577F34" w:rsidP="000552A5">
      <w:pPr>
        <w:pStyle w:val="Nagwek2"/>
      </w:pPr>
      <w:r>
        <w:t>DataGetter</w:t>
      </w:r>
    </w:p>
    <w:p w14:paraId="6FD65C72" w14:textId="4DB63CFA" w:rsidR="000163FE" w:rsidRDefault="00B14D09" w:rsidP="000552A5">
      <w:r>
        <w:t>Centralna</w:t>
      </w:r>
      <w:r w:rsidR="000552A5">
        <w:t xml:space="preserve"> klasa, która udostępniana jest </w:t>
      </w:r>
      <w:r>
        <w:t>na serwerze. Metody tej klasy, które są widoczne po stronie bazy danych opatrzone są adnotacją SqlFunction. Większość z tych funkcji działa po stronie bazodanowej jako funkcja tabelaryczna zwracająca określoną tabelę z jasno określonymi polami.</w:t>
      </w:r>
    </w:p>
    <w:p w14:paraId="634E305D" w14:textId="77777777" w:rsidR="000163FE" w:rsidRDefault="000163FE">
      <w:r>
        <w:br w:type="page"/>
      </w:r>
    </w:p>
    <w:p w14:paraId="7126AEAA" w14:textId="7DB0779F" w:rsidR="00B14D09" w:rsidRDefault="00392482" w:rsidP="000552A5">
      <w:r>
        <w:lastRenderedPageBreak/>
        <w:t>Lista metod niniejszej klasy:</w:t>
      </w:r>
    </w:p>
    <w:p w14:paraId="5AA52678" w14:textId="77777777" w:rsidR="00B14D09" w:rsidRDefault="00B14D09" w:rsidP="00B14D09">
      <w:pPr>
        <w:pStyle w:val="Akapitzlist"/>
        <w:numPr>
          <w:ilvl w:val="0"/>
          <w:numId w:val="3"/>
        </w:numPr>
      </w:pPr>
      <w:r w:rsidRPr="001E5F33">
        <w:rPr>
          <w:rStyle w:val="Wyrnienieintensywne"/>
        </w:rPr>
        <w:t>RequestLog</w:t>
      </w:r>
      <w:r>
        <w:t>. Metoda zwraca listę zapisanych żądań do API Banku Danych Lokalnych.</w:t>
      </w:r>
    </w:p>
    <w:p w14:paraId="57FE85CE" w14:textId="604788C9" w:rsidR="00B14D09" w:rsidRDefault="00B14D09" w:rsidP="00B14D09">
      <w:pPr>
        <w:pStyle w:val="Akapitzlist"/>
      </w:pPr>
      <w:r>
        <w:t>Po stronie SQL Server widoczna jako procedura</w:t>
      </w:r>
      <w:r w:rsidR="001E5F33">
        <w:t>, która pokazuje listę w postaci kolejnych wierszy w zakładce Messages</w:t>
      </w:r>
      <w:r>
        <w:t>.</w:t>
      </w:r>
    </w:p>
    <w:p w14:paraId="11D68A83" w14:textId="5B1656B6" w:rsidR="00B14D09" w:rsidRDefault="00B14D09" w:rsidP="00B14D09">
      <w:pPr>
        <w:pStyle w:val="Akapitzlist"/>
        <w:numPr>
          <w:ilvl w:val="0"/>
          <w:numId w:val="3"/>
        </w:numPr>
      </w:pPr>
      <w:r w:rsidRPr="001E5F33">
        <w:rPr>
          <w:rStyle w:val="Wyrnienieintensywne"/>
        </w:rPr>
        <w:t>Subjects</w:t>
      </w:r>
      <w:r>
        <w:t>. Metoda zwraca listę tematów – w zależności od parametru. Jeśli parametr jest null, to metoda zwraca tematy nadrzędne w formie listy encji SubjectRow.</w:t>
      </w:r>
    </w:p>
    <w:p w14:paraId="426944A6" w14:textId="563B7DA4" w:rsidR="00B14D09" w:rsidRDefault="00B14D09" w:rsidP="00B14D09">
      <w:pPr>
        <w:pStyle w:val="Akapitzlist"/>
        <w:numPr>
          <w:ilvl w:val="0"/>
          <w:numId w:val="3"/>
        </w:numPr>
      </w:pPr>
      <w:r w:rsidRPr="001E5F33">
        <w:rPr>
          <w:rStyle w:val="Wyrnienieintensywne"/>
        </w:rPr>
        <w:t>Variables</w:t>
      </w:r>
      <w:r>
        <w:t>. Metoda zwraca listę zmiennych dla danego tematu w postaci listy encji VariablesRow.</w:t>
      </w:r>
    </w:p>
    <w:p w14:paraId="64186225" w14:textId="17C57272" w:rsidR="00B14D09" w:rsidRDefault="00B14D09" w:rsidP="00B14D09">
      <w:pPr>
        <w:pStyle w:val="Akapitzlist"/>
        <w:numPr>
          <w:ilvl w:val="0"/>
          <w:numId w:val="3"/>
        </w:numPr>
      </w:pPr>
      <w:r w:rsidRPr="001E5F33">
        <w:rPr>
          <w:rStyle w:val="Wyrnienieintensywne"/>
        </w:rPr>
        <w:t>Measures</w:t>
      </w:r>
      <w:r>
        <w:t>. Metoda  zwraca listę wszelkich jednostek miar używanych w BDL; postać listy encji MeasureUnitRow.</w:t>
      </w:r>
    </w:p>
    <w:p w14:paraId="0CC44F71" w14:textId="44D16ECD" w:rsidR="00A71407" w:rsidRDefault="00A71407" w:rsidP="00A71407">
      <w:pPr>
        <w:pStyle w:val="Akapitzlist"/>
        <w:numPr>
          <w:ilvl w:val="0"/>
          <w:numId w:val="3"/>
        </w:numPr>
      </w:pPr>
      <w:r w:rsidRPr="001E5F33">
        <w:rPr>
          <w:rStyle w:val="Wyrnienieintensywne"/>
        </w:rPr>
        <w:t>Attributes</w:t>
      </w:r>
      <w:r>
        <w:t>. Metoda zwraca listę wszelkich atrybutów w formie listy encji AttributeRow.</w:t>
      </w:r>
    </w:p>
    <w:p w14:paraId="319482D8" w14:textId="3E9B21EB" w:rsidR="00A71407" w:rsidRDefault="00A71407" w:rsidP="00A71407">
      <w:pPr>
        <w:pStyle w:val="Akapitzlist"/>
        <w:numPr>
          <w:ilvl w:val="0"/>
          <w:numId w:val="3"/>
        </w:numPr>
      </w:pPr>
      <w:r w:rsidRPr="001E5F33">
        <w:rPr>
          <w:rStyle w:val="Wyrnienieintensywne"/>
        </w:rPr>
        <w:t>DataByVariable</w:t>
      </w:r>
      <w:r>
        <w:t>. Metoda zwraca listę konkretnych już danych – dla podanego id zmiennej, zakresu lat i zasięgu „w głąb” (poziomu zagnieżdżenia wg jednostek terytorialnych). Forma listy encji UnitData.</w:t>
      </w:r>
    </w:p>
    <w:p w14:paraId="3F84FD7A" w14:textId="6A7CA166" w:rsidR="009331AD" w:rsidRDefault="00B14D09" w:rsidP="009331AD">
      <w:r>
        <w:t>Listy encji odczytywane są przez SQL Server jako kolejne wiersze tabeli, którą funkcja zwraca.</w:t>
      </w:r>
    </w:p>
    <w:p w14:paraId="4058A998" w14:textId="32B7914E" w:rsidR="009331AD" w:rsidRDefault="009331AD" w:rsidP="009331AD">
      <w:pPr>
        <w:pStyle w:val="Nagwek1"/>
      </w:pPr>
      <w:r>
        <w:t>Inne klasy</w:t>
      </w:r>
    </w:p>
    <w:p w14:paraId="474E37D9" w14:textId="5CBBBCB5" w:rsidR="009331AD" w:rsidRPr="009331AD" w:rsidRDefault="009331AD" w:rsidP="009331AD">
      <w:r>
        <w:t xml:space="preserve">Wykorzystuję własnoręcznie napisaną klasę NeverendingList, która </w:t>
      </w:r>
      <w:r w:rsidR="0045586C">
        <w:t xml:space="preserve">reprezentuje interfejs „niekończącej się listy”. Pobierając kolejny element listy wewnętrzny wskaźnik przesuwany jest o jeden do przodu. Gdy dojdziemy do końca listy, wskaźnik przesuwany jest na początek. </w:t>
      </w:r>
      <w:r w:rsidR="00301195">
        <w:t>Wykorzys</w:t>
      </w:r>
      <w:r w:rsidR="005313F8">
        <w:t>tanie tej klasy znajduje się w klasie Downloader.</w:t>
      </w:r>
    </w:p>
    <w:p w14:paraId="3D37FA26" w14:textId="735F29A1" w:rsidR="00780BED" w:rsidRDefault="00B02191" w:rsidP="002D6F06">
      <w:pPr>
        <w:pStyle w:val="Nagwek1"/>
      </w:pPr>
      <w:r>
        <w:t>Działanie mechanizmów</w:t>
      </w:r>
    </w:p>
    <w:p w14:paraId="24CCFD00" w14:textId="67986377" w:rsidR="00B02191" w:rsidRDefault="00A9411E" w:rsidP="00B02191">
      <w:r>
        <w:t xml:space="preserve">Klasa DataGetter korzysta z </w:t>
      </w:r>
      <w:r w:rsidR="006D1B87">
        <w:t xml:space="preserve">metod </w:t>
      </w:r>
      <w:r>
        <w:t>klasy Downloader</w:t>
      </w:r>
      <w:r w:rsidR="00941AE1">
        <w:t>.</w:t>
      </w:r>
      <w:r w:rsidR="00C16B94">
        <w:t xml:space="preserve"> K</w:t>
      </w:r>
      <w:r w:rsidR="008670C8">
        <w:t>lasa Downloader korzysta z kolei z klas</w:t>
      </w:r>
      <w:r w:rsidR="00C16B94">
        <w:t>y</w:t>
      </w:r>
      <w:r w:rsidR="008670C8">
        <w:t xml:space="preserve"> RequestLog</w:t>
      </w:r>
      <w:r w:rsidR="00C16B94">
        <w:t xml:space="preserve">, która zależy od RequestLogList. </w:t>
      </w:r>
      <w:r w:rsidR="006D1B87">
        <w:t>Mamy weń również klasę Neverend</w:t>
      </w:r>
      <w:r w:rsidR="00732571">
        <w:t>ingList.</w:t>
      </w:r>
    </w:p>
    <w:p w14:paraId="542B9666" w14:textId="4B635F21" w:rsidR="00B02191" w:rsidRPr="00B02191" w:rsidRDefault="00B02191" w:rsidP="00B02191">
      <w:pPr>
        <w:pStyle w:val="Nagwek1"/>
      </w:pPr>
      <w:r>
        <w:t>Przykłady wywołań</w:t>
      </w:r>
    </w:p>
    <w:p w14:paraId="362F8BF0" w14:textId="5280EE6D" w:rsidR="007245C1" w:rsidRDefault="007245C1" w:rsidP="007245C1">
      <w:r>
        <w:t>Przykłady wywołań z poziomu testów jednostkowych i anal</w:t>
      </w:r>
      <w:r w:rsidR="005578C5">
        <w:t>ogiczne, z poziomu SQL Server.</w:t>
      </w:r>
    </w:p>
    <w:p w14:paraId="37479CBF" w14:textId="552AC356" w:rsidR="00E40B8D" w:rsidRDefault="00F17B6E" w:rsidP="00E40B8D">
      <w:pPr>
        <w:pStyle w:val="Nagwek1"/>
      </w:pPr>
      <w:r>
        <w:t>Netografia</w:t>
      </w:r>
    </w:p>
    <w:p w14:paraId="318780F8" w14:textId="6A18FD0E" w:rsidR="00E40B8D" w:rsidRPr="00E40B8D" w:rsidRDefault="0005187E" w:rsidP="00E40B8D">
      <w:pPr>
        <w:pStyle w:val="Akapitzlist"/>
        <w:numPr>
          <w:ilvl w:val="0"/>
          <w:numId w:val="4"/>
        </w:numPr>
      </w:pPr>
      <w:hyperlink r:id="rId10" w:history="1">
        <w:r w:rsidR="00BE4B14" w:rsidRPr="0053344F">
          <w:rPr>
            <w:rStyle w:val="Hipercze"/>
          </w:rPr>
          <w:t>https://api.stat.gov.pl/Home/BdlApi</w:t>
        </w:r>
      </w:hyperlink>
      <w:r w:rsidR="00BE4B14">
        <w:t>, dostęp 24 listopada 2019</w:t>
      </w:r>
    </w:p>
    <w:p w14:paraId="35F1E9B1" w14:textId="77777777" w:rsidR="005578C5" w:rsidRPr="007245C1" w:rsidRDefault="005578C5" w:rsidP="007245C1"/>
    <w:sectPr w:rsidR="005578C5" w:rsidRPr="00724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B0749" w14:textId="77777777" w:rsidR="007553B2" w:rsidRDefault="007553B2" w:rsidP="003D6946">
      <w:pPr>
        <w:spacing w:after="0" w:line="240" w:lineRule="auto"/>
      </w:pPr>
      <w:r>
        <w:separator/>
      </w:r>
    </w:p>
  </w:endnote>
  <w:endnote w:type="continuationSeparator" w:id="0">
    <w:p w14:paraId="4426CAD6" w14:textId="77777777" w:rsidR="007553B2" w:rsidRDefault="007553B2" w:rsidP="003D6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33303" w14:textId="77777777" w:rsidR="007553B2" w:rsidRDefault="007553B2" w:rsidP="003D6946">
      <w:pPr>
        <w:spacing w:after="0" w:line="240" w:lineRule="auto"/>
      </w:pPr>
      <w:r>
        <w:separator/>
      </w:r>
    </w:p>
  </w:footnote>
  <w:footnote w:type="continuationSeparator" w:id="0">
    <w:p w14:paraId="51144F90" w14:textId="77777777" w:rsidR="007553B2" w:rsidRDefault="007553B2" w:rsidP="003D6946">
      <w:pPr>
        <w:spacing w:after="0" w:line="240" w:lineRule="auto"/>
      </w:pPr>
      <w:r>
        <w:continuationSeparator/>
      </w:r>
    </w:p>
  </w:footnote>
  <w:footnote w:id="1">
    <w:p w14:paraId="3E912939" w14:textId="4954F062" w:rsidR="003D6946" w:rsidRDefault="003D694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="00F46A13" w:rsidRPr="0053344F">
          <w:rPr>
            <w:rStyle w:val="Hipercze"/>
          </w:rPr>
          <w:t>https://bdl.stat.gov.pl/api/v1/variables/metadata?format=json</w:t>
        </w:r>
      </w:hyperlink>
      <w:r w:rsidR="00F46A13">
        <w:t>, dostęp 24</w:t>
      </w:r>
      <w:r w:rsidR="002C3ADD">
        <w:t xml:space="preserve"> XI 2019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F0213"/>
    <w:multiLevelType w:val="hybridMultilevel"/>
    <w:tmpl w:val="E29E8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F73BD"/>
    <w:multiLevelType w:val="hybridMultilevel"/>
    <w:tmpl w:val="94724C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23027"/>
    <w:multiLevelType w:val="hybridMultilevel"/>
    <w:tmpl w:val="5E043E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36431"/>
    <w:multiLevelType w:val="hybridMultilevel"/>
    <w:tmpl w:val="4EE075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BA"/>
    <w:rsid w:val="00004850"/>
    <w:rsid w:val="00004C84"/>
    <w:rsid w:val="000078A4"/>
    <w:rsid w:val="000163FE"/>
    <w:rsid w:val="00016600"/>
    <w:rsid w:val="00021AE8"/>
    <w:rsid w:val="000337D4"/>
    <w:rsid w:val="00042370"/>
    <w:rsid w:val="00045B54"/>
    <w:rsid w:val="0005187E"/>
    <w:rsid w:val="00051F9F"/>
    <w:rsid w:val="000552A5"/>
    <w:rsid w:val="0007073D"/>
    <w:rsid w:val="00093F54"/>
    <w:rsid w:val="000B165D"/>
    <w:rsid w:val="000C427D"/>
    <w:rsid w:val="000E027A"/>
    <w:rsid w:val="0013767A"/>
    <w:rsid w:val="0018149B"/>
    <w:rsid w:val="00184505"/>
    <w:rsid w:val="001A71A3"/>
    <w:rsid w:val="001C2354"/>
    <w:rsid w:val="001E1A06"/>
    <w:rsid w:val="001E5F33"/>
    <w:rsid w:val="00227B62"/>
    <w:rsid w:val="00280BB0"/>
    <w:rsid w:val="002B2BC4"/>
    <w:rsid w:val="002C3ADD"/>
    <w:rsid w:val="002C6C80"/>
    <w:rsid w:val="002C6D84"/>
    <w:rsid w:val="002C7C1D"/>
    <w:rsid w:val="002D6F06"/>
    <w:rsid w:val="002F3EE1"/>
    <w:rsid w:val="00301195"/>
    <w:rsid w:val="00312E3D"/>
    <w:rsid w:val="00326898"/>
    <w:rsid w:val="00343ECB"/>
    <w:rsid w:val="00345B06"/>
    <w:rsid w:val="0035648D"/>
    <w:rsid w:val="00356E9F"/>
    <w:rsid w:val="003575E8"/>
    <w:rsid w:val="00367665"/>
    <w:rsid w:val="00377C8B"/>
    <w:rsid w:val="00383698"/>
    <w:rsid w:val="00392482"/>
    <w:rsid w:val="003B4DE1"/>
    <w:rsid w:val="003D6946"/>
    <w:rsid w:val="003F0C73"/>
    <w:rsid w:val="003F51BF"/>
    <w:rsid w:val="00442FC1"/>
    <w:rsid w:val="0045586C"/>
    <w:rsid w:val="0046133E"/>
    <w:rsid w:val="004C04C7"/>
    <w:rsid w:val="004D3522"/>
    <w:rsid w:val="004F41A2"/>
    <w:rsid w:val="004F714B"/>
    <w:rsid w:val="005123A1"/>
    <w:rsid w:val="005313F8"/>
    <w:rsid w:val="00533F8D"/>
    <w:rsid w:val="00534C10"/>
    <w:rsid w:val="005578C5"/>
    <w:rsid w:val="005678C0"/>
    <w:rsid w:val="00573DC7"/>
    <w:rsid w:val="00577F34"/>
    <w:rsid w:val="005C2F86"/>
    <w:rsid w:val="005D19C8"/>
    <w:rsid w:val="00600788"/>
    <w:rsid w:val="006145BA"/>
    <w:rsid w:val="00626F4D"/>
    <w:rsid w:val="00631D14"/>
    <w:rsid w:val="00655AAC"/>
    <w:rsid w:val="006658B0"/>
    <w:rsid w:val="006C446F"/>
    <w:rsid w:val="006D1B87"/>
    <w:rsid w:val="006D725E"/>
    <w:rsid w:val="00705E0A"/>
    <w:rsid w:val="00714F1B"/>
    <w:rsid w:val="007245C1"/>
    <w:rsid w:val="00725563"/>
    <w:rsid w:val="00732571"/>
    <w:rsid w:val="00734B5F"/>
    <w:rsid w:val="00735069"/>
    <w:rsid w:val="007553B2"/>
    <w:rsid w:val="00780BED"/>
    <w:rsid w:val="007A7A8B"/>
    <w:rsid w:val="007D12CF"/>
    <w:rsid w:val="007F1C3E"/>
    <w:rsid w:val="00810A6E"/>
    <w:rsid w:val="00812756"/>
    <w:rsid w:val="00816455"/>
    <w:rsid w:val="0081718B"/>
    <w:rsid w:val="00865C41"/>
    <w:rsid w:val="008670C8"/>
    <w:rsid w:val="00873BAB"/>
    <w:rsid w:val="008B4457"/>
    <w:rsid w:val="008C04DA"/>
    <w:rsid w:val="008D07E6"/>
    <w:rsid w:val="008E4B57"/>
    <w:rsid w:val="008F5E72"/>
    <w:rsid w:val="00903E27"/>
    <w:rsid w:val="00907C6C"/>
    <w:rsid w:val="00913314"/>
    <w:rsid w:val="009331AD"/>
    <w:rsid w:val="00941AE1"/>
    <w:rsid w:val="00967C9B"/>
    <w:rsid w:val="009839E5"/>
    <w:rsid w:val="00997B87"/>
    <w:rsid w:val="009D008D"/>
    <w:rsid w:val="009D0B7B"/>
    <w:rsid w:val="009E16C0"/>
    <w:rsid w:val="009E1D85"/>
    <w:rsid w:val="009F2F20"/>
    <w:rsid w:val="009F44A3"/>
    <w:rsid w:val="00A01F78"/>
    <w:rsid w:val="00A32F3A"/>
    <w:rsid w:val="00A42926"/>
    <w:rsid w:val="00A43705"/>
    <w:rsid w:val="00A536D6"/>
    <w:rsid w:val="00A71407"/>
    <w:rsid w:val="00A74621"/>
    <w:rsid w:val="00A9411E"/>
    <w:rsid w:val="00AC44CD"/>
    <w:rsid w:val="00B02191"/>
    <w:rsid w:val="00B13155"/>
    <w:rsid w:val="00B14D09"/>
    <w:rsid w:val="00B3196D"/>
    <w:rsid w:val="00B41B1D"/>
    <w:rsid w:val="00BA5D2F"/>
    <w:rsid w:val="00BB033C"/>
    <w:rsid w:val="00BB5636"/>
    <w:rsid w:val="00BE4B14"/>
    <w:rsid w:val="00BF1324"/>
    <w:rsid w:val="00C13B86"/>
    <w:rsid w:val="00C150C9"/>
    <w:rsid w:val="00C16B94"/>
    <w:rsid w:val="00C328F9"/>
    <w:rsid w:val="00C46EC1"/>
    <w:rsid w:val="00C71168"/>
    <w:rsid w:val="00CA5FA9"/>
    <w:rsid w:val="00CA78C4"/>
    <w:rsid w:val="00CC2177"/>
    <w:rsid w:val="00CC69C5"/>
    <w:rsid w:val="00CE4B41"/>
    <w:rsid w:val="00CF13E6"/>
    <w:rsid w:val="00CF4B93"/>
    <w:rsid w:val="00D00B8A"/>
    <w:rsid w:val="00DB3BB5"/>
    <w:rsid w:val="00DC143C"/>
    <w:rsid w:val="00DC19CC"/>
    <w:rsid w:val="00DC2388"/>
    <w:rsid w:val="00E03F00"/>
    <w:rsid w:val="00E11A99"/>
    <w:rsid w:val="00E16CB0"/>
    <w:rsid w:val="00E24683"/>
    <w:rsid w:val="00E335BA"/>
    <w:rsid w:val="00E40B8D"/>
    <w:rsid w:val="00E44B01"/>
    <w:rsid w:val="00E62822"/>
    <w:rsid w:val="00EA69B5"/>
    <w:rsid w:val="00EE1F16"/>
    <w:rsid w:val="00EE4E51"/>
    <w:rsid w:val="00F01461"/>
    <w:rsid w:val="00F17B6E"/>
    <w:rsid w:val="00F427B8"/>
    <w:rsid w:val="00F46A13"/>
    <w:rsid w:val="00F522D5"/>
    <w:rsid w:val="00F65121"/>
    <w:rsid w:val="00F77B73"/>
    <w:rsid w:val="00FB1CA4"/>
    <w:rsid w:val="00F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231F"/>
  <w15:chartTrackingRefBased/>
  <w15:docId w15:val="{431F1F42-2B8A-4492-A627-1DE04110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1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7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F0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0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08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F08F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F08F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61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77C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E44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4F41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Wyrnienieintensywne">
    <w:name w:val="Intense Emphasis"/>
    <w:basedOn w:val="Domylnaczcionkaakapitu"/>
    <w:uiPriority w:val="21"/>
    <w:qFormat/>
    <w:rsid w:val="001E5F33"/>
    <w:rPr>
      <w:i/>
      <w:iCs/>
      <w:color w:val="4472C4" w:themeColor="accent1"/>
    </w:rPr>
  </w:style>
  <w:style w:type="paragraph" w:styleId="Cytat">
    <w:name w:val="Quote"/>
    <w:basedOn w:val="Normalny"/>
    <w:next w:val="Normalny"/>
    <w:link w:val="CytatZnak"/>
    <w:uiPriority w:val="29"/>
    <w:qFormat/>
    <w:rsid w:val="003D69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D6946"/>
    <w:rPr>
      <w:i/>
      <w:iCs/>
      <w:color w:val="404040" w:themeColor="text1" w:themeTint="BF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D694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D694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D694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46A1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46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i.stat.gov.pl/Home/Bdl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dl.stat.gov.pl/api/v1/variables/metadata?format=js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InternetSite</b:SourceType>
    <b:Guid>{7AF8D20B-CE3D-4417-969D-45007B423A8F}</b:Guid>
    <b:RefOrder>1</b:RefOrder>
  </b:Source>
</b:Sources>
</file>

<file path=customXml/itemProps1.xml><?xml version="1.0" encoding="utf-8"?>
<ds:datastoreItem xmlns:ds="http://schemas.openxmlformats.org/officeDocument/2006/customXml" ds:itemID="{3B93FCA3-FE3F-4666-9CC5-35FDCEAA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1186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Jakub Porębski</cp:lastModifiedBy>
  <cp:revision>171</cp:revision>
  <dcterms:created xsi:type="dcterms:W3CDTF">2019-11-19T17:52:00Z</dcterms:created>
  <dcterms:modified xsi:type="dcterms:W3CDTF">2019-11-24T13:13:00Z</dcterms:modified>
</cp:coreProperties>
</file>