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83EF" w14:textId="77777777" w:rsidR="004672F1" w:rsidRDefault="007E0EEB" w:rsidP="007E0EEB">
      <w:pPr>
        <w:pStyle w:val="Tytu"/>
      </w:pPr>
      <w:r>
        <w:t>BDL_GUI</w:t>
      </w:r>
    </w:p>
    <w:p w14:paraId="7FA42436" w14:textId="77777777" w:rsidR="007E0EEB" w:rsidRDefault="007E0EEB" w:rsidP="007E0EEB">
      <w:pPr>
        <w:pStyle w:val="Podtytu"/>
      </w:pPr>
      <w:r>
        <w:t>Dokumentacja interfejsu UI do biblioteki BDL_DLL</w:t>
      </w:r>
    </w:p>
    <w:p w14:paraId="570E3B41" w14:textId="77777777" w:rsidR="007E0EEB" w:rsidRDefault="007E0EEB" w:rsidP="007E0EEB"/>
    <w:p w14:paraId="58040E65" w14:textId="77777777" w:rsidR="007E0EEB" w:rsidRDefault="007E0EEB" w:rsidP="007E0EEB">
      <w:pPr>
        <w:pStyle w:val="Nagwek1"/>
      </w:pPr>
      <w:r>
        <w:t>Wstęp</w:t>
      </w:r>
    </w:p>
    <w:p w14:paraId="2EA9141B" w14:textId="0B142E95" w:rsidR="007E0EEB" w:rsidRDefault="007E0EEB" w:rsidP="007E0EEB">
      <w:r>
        <w:t xml:space="preserve">Biblioteka BDL_DLL została przygotowana z celem użycia jej przede wszystkim wewnątrz SQL Server. System bazodanowy </w:t>
      </w:r>
      <w:r w:rsidR="0023492F">
        <w:t xml:space="preserve">SQL Server </w:t>
      </w:r>
      <w:r>
        <w:t xml:space="preserve">umożliwia importowanie zewnętrznych bibliotek DLL działających na wspólnym środowisku CLR (ang. </w:t>
      </w:r>
      <w:r w:rsidRPr="000D63EE">
        <w:rPr>
          <w:i/>
          <w:iCs/>
        </w:rPr>
        <w:t>Common Language Runtime</w:t>
      </w:r>
      <w:r>
        <w:t>). Tamże biblioteki takie nazywane są assemblies.</w:t>
      </w:r>
    </w:p>
    <w:p w14:paraId="27751A5D" w14:textId="20B0B67E" w:rsidR="007E0EEB" w:rsidRDefault="007E0EEB" w:rsidP="007E0EEB">
      <w:r>
        <w:t xml:space="preserve">Biblioteka BDL_DLL realizuje funkcje pobierania danych z rządowego </w:t>
      </w:r>
      <w:r w:rsidR="008E1872">
        <w:t xml:space="preserve">serwisu </w:t>
      </w:r>
      <w:r>
        <w:t>Bank Danych Lokalnych. Dane pobierane są przez udostępniony interfejs REST API, a następnie zapisywane są w formie natywnych tabel.</w:t>
      </w:r>
    </w:p>
    <w:p w14:paraId="5281315C" w14:textId="77777777" w:rsidR="007E0EEB" w:rsidRDefault="007E0EEB" w:rsidP="007E0EEB">
      <w:r>
        <w:t>Projekt BDL_GUI umożliwia wykorzystanie wyżej wymienionej biblioteki do prezentacji danych w formie aplikacji okienkowej.</w:t>
      </w:r>
    </w:p>
    <w:p w14:paraId="414F6C84" w14:textId="77777777" w:rsidR="007E0EEB" w:rsidRDefault="007E0EEB" w:rsidP="007E0EEB">
      <w:pPr>
        <w:pStyle w:val="Nagwek1"/>
      </w:pPr>
      <w:r>
        <w:t xml:space="preserve">Realizacja </w:t>
      </w:r>
    </w:p>
    <w:p w14:paraId="1F02D27B" w14:textId="4DB8258C" w:rsidR="007E0EEB" w:rsidRDefault="0050516F" w:rsidP="009302F0">
      <w:pPr>
        <w:pStyle w:val="Nagwek2"/>
      </w:pPr>
      <w:r>
        <w:t>L</w:t>
      </w:r>
      <w:r w:rsidR="007B3A73">
        <w:t>ogika</w:t>
      </w:r>
      <w:r>
        <w:t xml:space="preserve"> biznesowa</w:t>
      </w:r>
      <w:bookmarkStart w:id="0" w:name="_GoBack"/>
      <w:bookmarkEnd w:id="0"/>
    </w:p>
    <w:p w14:paraId="74F9342F" w14:textId="3AEC420E" w:rsidR="009302F0" w:rsidRDefault="009302F0" w:rsidP="009302F0">
      <w:pPr>
        <w:pStyle w:val="Akapitzlist"/>
        <w:numPr>
          <w:ilvl w:val="0"/>
          <w:numId w:val="1"/>
        </w:numPr>
      </w:pPr>
      <w:r>
        <w:t>Ekran powitalny. Okno to pojawia się bezpośrednio po uruchomieniu programu. Okno zawiera przyciski pozwalające na wejście do innych części aplikacji.</w:t>
      </w:r>
      <w:r w:rsidR="00107B26">
        <w:t xml:space="preserve"> Po najechaniu myszą na przyciski wyświetlona zostaje krótka informacja w polu poniżej.</w:t>
      </w:r>
    </w:p>
    <w:p w14:paraId="60B56DA1" w14:textId="5D841B93" w:rsidR="00DA6F46" w:rsidRDefault="009302F0" w:rsidP="00DA6F46">
      <w:pPr>
        <w:pStyle w:val="Akapitzlist"/>
        <w:numPr>
          <w:ilvl w:val="0"/>
          <w:numId w:val="1"/>
        </w:numPr>
      </w:pPr>
      <w:r>
        <w:t xml:space="preserve">Ekrany z danymi tabelarycznymi. </w:t>
      </w:r>
      <w:r w:rsidR="00DA6F46">
        <w:t>Ekrany te posiadają: pole z filtrem, tabelkę oraz przycisk do pobierania danych. Po kliknięciu na „Pobierz” wywoła się odpowiednia metoda z biblioteki BDL.dll pobierająca dane. Dane zostaną umieszczone w tabelce. Po pobraniu można dane filtrować korzystając z pola tekstowego. Filtrowanie działa na zasadzie wyrażenia regularnego (z rozróżnieniem wielkości znaków). To jakie kolumny będą brane pod uwagę do filtra zależy od poszczególnych ekranów.</w:t>
      </w:r>
    </w:p>
    <w:p w14:paraId="585B9A1E" w14:textId="366DEE64" w:rsidR="009302F0" w:rsidRDefault="009302F0" w:rsidP="009302F0">
      <w:pPr>
        <w:pStyle w:val="Akapitzlist"/>
        <w:numPr>
          <w:ilvl w:val="1"/>
          <w:numId w:val="1"/>
        </w:numPr>
      </w:pPr>
      <w:r>
        <w:t>Ekran „Atrybuty”.</w:t>
      </w:r>
      <w:r w:rsidR="00DA6F46">
        <w:t xml:space="preserve"> </w:t>
      </w:r>
      <w:r w:rsidR="00107B26">
        <w:t>Ekran zawiera listę atrybutów.</w:t>
      </w:r>
    </w:p>
    <w:p w14:paraId="325F44C0" w14:textId="15DE7C8D" w:rsidR="00107B26" w:rsidRDefault="00107B26" w:rsidP="00107B26">
      <w:pPr>
        <w:jc w:val="center"/>
      </w:pPr>
      <w:r>
        <w:rPr>
          <w:noProof/>
        </w:rPr>
        <w:drawing>
          <wp:inline distT="0" distB="0" distL="0" distR="0" wp14:anchorId="135CECC4" wp14:editId="4C07901A">
            <wp:extent cx="4781550" cy="269489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65" cy="27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65F2" w14:textId="1CEC4CE8" w:rsidR="009302F0" w:rsidRDefault="009302F0" w:rsidP="009302F0">
      <w:pPr>
        <w:pStyle w:val="Akapitzlist"/>
      </w:pPr>
    </w:p>
    <w:p w14:paraId="1C7490EB" w14:textId="378DABB7" w:rsidR="009302F0" w:rsidRDefault="009302F0" w:rsidP="00107B26">
      <w:pPr>
        <w:pStyle w:val="Akapitzlist"/>
        <w:numPr>
          <w:ilvl w:val="1"/>
          <w:numId w:val="1"/>
        </w:numPr>
      </w:pPr>
      <w:r>
        <w:t>Ekran „Jednostki terytorialne”</w:t>
      </w:r>
    </w:p>
    <w:p w14:paraId="51015C1A" w14:textId="7967D89A" w:rsidR="00107B26" w:rsidRDefault="00107B26" w:rsidP="00107B26">
      <w:pPr>
        <w:jc w:val="center"/>
      </w:pPr>
      <w:r>
        <w:rPr>
          <w:noProof/>
        </w:rPr>
        <w:drawing>
          <wp:inline distT="0" distB="0" distL="0" distR="0" wp14:anchorId="1FED7466" wp14:editId="3DDAB3E6">
            <wp:extent cx="5760720" cy="32467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A91B" w14:textId="5EC5E149" w:rsidR="009302F0" w:rsidRDefault="009302F0" w:rsidP="00107B26">
      <w:pPr>
        <w:pStyle w:val="Akapitzlist"/>
        <w:numPr>
          <w:ilvl w:val="1"/>
          <w:numId w:val="1"/>
        </w:numPr>
      </w:pPr>
      <w:r>
        <w:t>Ekran „Jednostki miar”</w:t>
      </w:r>
    </w:p>
    <w:p w14:paraId="6860A7A7" w14:textId="453477FF" w:rsidR="00107B26" w:rsidRDefault="00107B26" w:rsidP="00107B26">
      <w:r>
        <w:rPr>
          <w:noProof/>
        </w:rPr>
        <w:drawing>
          <wp:inline distT="0" distB="0" distL="0" distR="0" wp14:anchorId="0EBC527D" wp14:editId="09EF87AC">
            <wp:extent cx="5760720" cy="32467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596B" w14:textId="68BB5DCD" w:rsidR="00107B26" w:rsidRDefault="00107B26">
      <w:r>
        <w:br w:type="page"/>
      </w:r>
    </w:p>
    <w:p w14:paraId="11AC7149" w14:textId="44486589" w:rsidR="009302F0" w:rsidRDefault="009302F0" w:rsidP="00731A8E">
      <w:pPr>
        <w:pStyle w:val="Akapitzlist"/>
        <w:numPr>
          <w:ilvl w:val="1"/>
          <w:numId w:val="1"/>
        </w:numPr>
      </w:pPr>
      <w:r>
        <w:lastRenderedPageBreak/>
        <w:t>Ekran „Tematy”</w:t>
      </w:r>
      <w:r w:rsidR="00731A8E">
        <w:t>. Ekran ten służy do prezentowania listy dostępnych w Banku Danych Lokalnych tematów. Tematy dzielą się na nadrzędne oraz podrzędne. Tematy najbardziej zagnieżdżone w niniejszej aplikacji określane są mianem „liści” – termin zapożyczony z terminologii inżynierii komputerowej. Takie tematy liście nie mają już tematów podrzędnych, mają natomiast listę zmiennych (w sensie BDL).</w:t>
      </w:r>
    </w:p>
    <w:p w14:paraId="7D896E14" w14:textId="667B090D" w:rsidR="009302F0" w:rsidRDefault="009302F0" w:rsidP="00731A8E">
      <w:pPr>
        <w:pStyle w:val="Akapitzlist"/>
        <w:numPr>
          <w:ilvl w:val="1"/>
          <w:numId w:val="1"/>
        </w:numPr>
      </w:pPr>
      <w:r>
        <w:t>Ekran „Zmienne”</w:t>
      </w:r>
      <w:r w:rsidR="007B3A73">
        <w:t xml:space="preserve">. Dostępny tylko z poziomu tematu </w:t>
      </w:r>
      <w:r w:rsidR="00731A8E">
        <w:t>liścia. Prezentuje listę zmiennych dostępnych w danym temacie.</w:t>
      </w:r>
    </w:p>
    <w:p w14:paraId="6B055C03" w14:textId="7215C99E" w:rsidR="00731A8E" w:rsidRDefault="009302F0" w:rsidP="00731A8E">
      <w:pPr>
        <w:pStyle w:val="Akapitzlist"/>
        <w:numPr>
          <w:ilvl w:val="0"/>
          <w:numId w:val="1"/>
        </w:numPr>
      </w:pPr>
      <w:r>
        <w:t>Ekran z konfiguracją danych wejściowych do ekranu konkretnych danych</w:t>
      </w:r>
      <w:r w:rsidR="00107B26">
        <w:t>.</w:t>
      </w:r>
      <w:r w:rsidR="00731A8E">
        <w:t xml:space="preserve"> Po wyboru zmiennej musimy jeszcze dokończyć precyzowanie zakresu danych. W oknie tym możliwe jest ustawienie zakresu lat, wybór jednostki terytorialnej lub też poziomu zagnieżdżenia danych dla wybranej jednostki (województwa, powiaty, gminy, miejscowości itd.)</w:t>
      </w:r>
    </w:p>
    <w:p w14:paraId="77B58059" w14:textId="24EE56A7" w:rsidR="007B3A73" w:rsidRDefault="007B3A73" w:rsidP="007B3A73">
      <w:pPr>
        <w:pStyle w:val="Nagwek2"/>
      </w:pPr>
      <w:r>
        <w:t>Realizacja technologiczna</w:t>
      </w:r>
    </w:p>
    <w:p w14:paraId="48F486D5" w14:textId="77777777" w:rsidR="00244025" w:rsidRDefault="007B3A73" w:rsidP="007B3A73">
      <w:r>
        <w:t xml:space="preserve">Aplikacja została napisana w języku C#, na platformę .net w najnowszej wersji. </w:t>
      </w:r>
    </w:p>
    <w:p w14:paraId="667EFD03" w14:textId="2DE04516" w:rsidR="007B3A73" w:rsidRDefault="00244025" w:rsidP="007B3A73">
      <w:r>
        <w:t>W projekcie znajdują się klasy odpowiadające za realizację powiązania z widokiem (z wykorzystaniem wzorca ViewModel). Diagram tych klas przedstawiony jest poniżej.</w:t>
      </w:r>
    </w:p>
    <w:p w14:paraId="0FC72A19" w14:textId="4270EB1B" w:rsidR="00244025" w:rsidRDefault="00244025" w:rsidP="007B3A73">
      <w:r w:rsidRPr="00244025">
        <w:rPr>
          <w:noProof/>
        </w:rPr>
        <w:drawing>
          <wp:inline distT="0" distB="0" distL="0" distR="0" wp14:anchorId="00F85416" wp14:editId="1D883E73">
            <wp:extent cx="5760720" cy="121412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89B4" w14:textId="77777777" w:rsidR="00244025" w:rsidRDefault="00244025" w:rsidP="007B3A73"/>
    <w:p w14:paraId="4F5BD50E" w14:textId="34058637" w:rsidR="007B3A73" w:rsidRDefault="00244025" w:rsidP="007B3A73">
      <w:r>
        <w:t>W projekcie znajdują się również klasy odpowiedzialne za poszczególne ekrany. Diagram takich klas przedstawiono poniżej.</w:t>
      </w:r>
    </w:p>
    <w:p w14:paraId="71652B4C" w14:textId="396BA8A1" w:rsidR="00244025" w:rsidRDefault="00244025" w:rsidP="007B3A73">
      <w:r w:rsidRPr="00244025">
        <w:rPr>
          <w:noProof/>
        </w:rPr>
        <w:lastRenderedPageBreak/>
        <w:drawing>
          <wp:inline distT="0" distB="0" distL="0" distR="0" wp14:anchorId="2343534C" wp14:editId="2FD9E480">
            <wp:extent cx="5760720" cy="35445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7EF" w14:textId="77777777" w:rsidR="00244025" w:rsidRDefault="00244025" w:rsidP="007B3A73"/>
    <w:p w14:paraId="74226F8F" w14:textId="6A871429" w:rsidR="007B3A73" w:rsidRPr="007B3A73" w:rsidRDefault="007B3A73" w:rsidP="007B3A73">
      <w:r>
        <w:t>Każde okienko z tabelką dziedziczy po interfejsie ICommon, dzięki czemu z łatwością można tworzyć ekrany o podobnym wyglądzie i zachowaniu.</w:t>
      </w:r>
    </w:p>
    <w:p w14:paraId="2D52D216" w14:textId="77777777" w:rsidR="009302F0" w:rsidRDefault="009302F0" w:rsidP="007E0EEB"/>
    <w:p w14:paraId="4A5179F2" w14:textId="0B67ADF0" w:rsidR="007E0EEB" w:rsidRDefault="0005020D" w:rsidP="007E0EEB">
      <w:pPr>
        <w:pStyle w:val="Nagwek1"/>
      </w:pPr>
      <w:r>
        <w:t>Praktyczny przykład użycia</w:t>
      </w:r>
    </w:p>
    <w:p w14:paraId="3126C8E3" w14:textId="7D1D999E" w:rsidR="00FC57B7" w:rsidRDefault="000B16AE" w:rsidP="00FC57B7">
      <w:r>
        <w:t>Załóżmy, że interesują nas dane dot. liczby ludności w naszym pięknym kraju.</w:t>
      </w:r>
      <w:r w:rsidR="00717814">
        <w:t xml:space="preserve"> Chcemy się dowiedzieć, jakie dane prezentowane są w Banku Danych Lokalnych i wybrać konkretne interesujące nas tematy.</w:t>
      </w:r>
    </w:p>
    <w:p w14:paraId="4EFA9BED" w14:textId="08A1825E" w:rsidR="000B16AE" w:rsidRDefault="00D55D5E" w:rsidP="00FC57B7">
      <w:r>
        <w:t>Na ekranie powitalnym otwieramy okienko z tematami.</w:t>
      </w:r>
    </w:p>
    <w:p w14:paraId="59F39234" w14:textId="0CF9440D" w:rsidR="000B16AE" w:rsidRDefault="00D55D5E" w:rsidP="00FC57B7">
      <w:r>
        <w:rPr>
          <w:noProof/>
        </w:rPr>
        <w:drawing>
          <wp:inline distT="0" distB="0" distL="0" distR="0" wp14:anchorId="70AE567F" wp14:editId="6B3936D4">
            <wp:extent cx="5029200" cy="266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62E4" w14:textId="0FC82E1F" w:rsidR="00D55D5E" w:rsidRDefault="00D55D5E">
      <w:r>
        <w:br w:type="page"/>
      </w:r>
    </w:p>
    <w:p w14:paraId="0D9E0E24" w14:textId="7E19D1DA" w:rsidR="00D55D5E" w:rsidRDefault="002A0F65" w:rsidP="00FC57B7">
      <w:r>
        <w:lastRenderedPageBreak/>
        <w:t>Pobieramy dane, a następnie wybieramy interesujący nas temat główny oraz dalej konkretne tematy podrzędne jak na obrazkach poniżej.</w:t>
      </w:r>
      <w:r w:rsidR="00670AC3">
        <w:t xml:space="preserve"> Wybierając podtematy wykonać trzeba dwuklik myszką.</w:t>
      </w:r>
    </w:p>
    <w:p w14:paraId="759B448D" w14:textId="7915DD7B" w:rsidR="002A0F65" w:rsidRDefault="00670AC3" w:rsidP="00FC57B7">
      <w:r>
        <w:rPr>
          <w:noProof/>
        </w:rPr>
        <w:drawing>
          <wp:inline distT="0" distB="0" distL="0" distR="0" wp14:anchorId="410DCA95" wp14:editId="786FEE4C">
            <wp:extent cx="5760720" cy="32467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BE5" w14:textId="08A59D75" w:rsidR="00670AC3" w:rsidRDefault="00FB59CF" w:rsidP="00FC57B7">
      <w:r>
        <w:rPr>
          <w:noProof/>
        </w:rPr>
        <w:drawing>
          <wp:inline distT="0" distB="0" distL="0" distR="0" wp14:anchorId="339412B8" wp14:editId="63E5F99B">
            <wp:extent cx="5760720" cy="32467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56E" w14:textId="23F26215" w:rsidR="00FB59CF" w:rsidRDefault="00FB59CF">
      <w:r>
        <w:br w:type="page"/>
      </w:r>
    </w:p>
    <w:p w14:paraId="24A9804B" w14:textId="370B2C5B" w:rsidR="00FB59CF" w:rsidRDefault="00752756" w:rsidP="00FC57B7">
      <w:r>
        <w:rPr>
          <w:noProof/>
        </w:rPr>
        <w:lastRenderedPageBreak/>
        <w:drawing>
          <wp:inline distT="0" distB="0" distL="0" distR="0" wp14:anchorId="55C2FBF5" wp14:editId="6A5E19A8">
            <wp:extent cx="5760720" cy="32467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F3B" w14:textId="3D8B4060" w:rsidR="00752756" w:rsidRDefault="003E736A" w:rsidP="00FC57B7">
      <w:r>
        <w:t xml:space="preserve">W okienku poniżej prezentowane są już zmienne dla podtematu. Można posortować </w:t>
      </w:r>
      <w:r w:rsidR="00B20DB6">
        <w:t xml:space="preserve">tabelkę, </w:t>
      </w:r>
      <w:r>
        <w:t>aby wybrać interesując</w:t>
      </w:r>
      <w:r w:rsidR="00B20DB6">
        <w:t>ą nas zmienną.</w:t>
      </w:r>
    </w:p>
    <w:p w14:paraId="22318063" w14:textId="5D1FE65C" w:rsidR="003E4DCB" w:rsidRDefault="002F3933" w:rsidP="00FC57B7">
      <w:r>
        <w:rPr>
          <w:noProof/>
        </w:rPr>
        <w:drawing>
          <wp:inline distT="0" distB="0" distL="0" distR="0" wp14:anchorId="5686DC36" wp14:editId="0EBAEB19">
            <wp:extent cx="3581400" cy="25527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4186" w14:textId="77777777" w:rsidR="003E4DCB" w:rsidRDefault="003E4DCB">
      <w:r>
        <w:br w:type="page"/>
      </w:r>
    </w:p>
    <w:p w14:paraId="15579C9D" w14:textId="77777777" w:rsidR="00B20DB6" w:rsidRDefault="00B20DB6" w:rsidP="00FC57B7"/>
    <w:p w14:paraId="456616D6" w14:textId="14572CEA" w:rsidR="002F3933" w:rsidRDefault="002F3933" w:rsidP="00FC57B7">
      <w:r>
        <w:t>Konfigurujemy szczegółowe dane pobierania i klikamy na „Dalej”.</w:t>
      </w:r>
    </w:p>
    <w:p w14:paraId="6F62C1C1" w14:textId="606A0A78" w:rsidR="002F3933" w:rsidRDefault="003E4DCB" w:rsidP="00FC57B7">
      <w:r>
        <w:rPr>
          <w:noProof/>
        </w:rPr>
        <w:drawing>
          <wp:inline distT="0" distB="0" distL="0" distR="0" wp14:anchorId="344DABC9" wp14:editId="280B4B86">
            <wp:extent cx="5760720" cy="32467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7ABA" w14:textId="5870FB4B" w:rsidR="003E4DCB" w:rsidRDefault="00B80AEB" w:rsidP="00FC57B7">
      <w:r>
        <w:t xml:space="preserve">Na powyższym obrazku widać jak prezentuje się liczba mężczyzn w wieku 30-34 lat w poszczególnych </w:t>
      </w:r>
      <w:r w:rsidR="009F3829">
        <w:t>jednostkach terytorialnych (tutaj: w województwach)</w:t>
      </w:r>
      <w:r>
        <w:t>, w podziale na wybrane lata.</w:t>
      </w:r>
      <w:r w:rsidR="000A109F">
        <w:t xml:space="preserve"> Kolumna „Wartość” zawiera informacje liczbowe o wartości danej zmiennej na konkretny rok. </w:t>
      </w:r>
    </w:p>
    <w:p w14:paraId="26702D7A" w14:textId="77777777" w:rsidR="00B80AEB" w:rsidRPr="00FC57B7" w:rsidRDefault="00B80AEB" w:rsidP="00FC57B7"/>
    <w:sectPr w:rsidR="00B80AEB" w:rsidRPr="00FC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E7A8C" w14:textId="77777777" w:rsidR="003559C2" w:rsidRDefault="003559C2" w:rsidP="00731A8E">
      <w:pPr>
        <w:spacing w:after="0" w:line="240" w:lineRule="auto"/>
      </w:pPr>
      <w:r>
        <w:separator/>
      </w:r>
    </w:p>
  </w:endnote>
  <w:endnote w:type="continuationSeparator" w:id="0">
    <w:p w14:paraId="28B8A9B4" w14:textId="77777777" w:rsidR="003559C2" w:rsidRDefault="003559C2" w:rsidP="0073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B4E24" w14:textId="77777777" w:rsidR="003559C2" w:rsidRDefault="003559C2" w:rsidP="00731A8E">
      <w:pPr>
        <w:spacing w:after="0" w:line="240" w:lineRule="auto"/>
      </w:pPr>
      <w:r>
        <w:separator/>
      </w:r>
    </w:p>
  </w:footnote>
  <w:footnote w:type="continuationSeparator" w:id="0">
    <w:p w14:paraId="5A50B84B" w14:textId="77777777" w:rsidR="003559C2" w:rsidRDefault="003559C2" w:rsidP="0073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33356"/>
    <w:multiLevelType w:val="hybridMultilevel"/>
    <w:tmpl w:val="D3284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EB"/>
    <w:rsid w:val="0005020D"/>
    <w:rsid w:val="000A109F"/>
    <w:rsid w:val="000B16AE"/>
    <w:rsid w:val="000D63EE"/>
    <w:rsid w:val="00107B26"/>
    <w:rsid w:val="001D3F77"/>
    <w:rsid w:val="0023492F"/>
    <w:rsid w:val="00244025"/>
    <w:rsid w:val="00251B06"/>
    <w:rsid w:val="002A0F65"/>
    <w:rsid w:val="002F3933"/>
    <w:rsid w:val="003559C2"/>
    <w:rsid w:val="003E4DCB"/>
    <w:rsid w:val="003E736A"/>
    <w:rsid w:val="004672F1"/>
    <w:rsid w:val="0050516F"/>
    <w:rsid w:val="00670AC3"/>
    <w:rsid w:val="00717814"/>
    <w:rsid w:val="00731A8E"/>
    <w:rsid w:val="00752756"/>
    <w:rsid w:val="007B3A73"/>
    <w:rsid w:val="007E0EEB"/>
    <w:rsid w:val="008E1872"/>
    <w:rsid w:val="00911B64"/>
    <w:rsid w:val="009302F0"/>
    <w:rsid w:val="009F3829"/>
    <w:rsid w:val="00A43864"/>
    <w:rsid w:val="00A92EB6"/>
    <w:rsid w:val="00B20DB6"/>
    <w:rsid w:val="00B80AEB"/>
    <w:rsid w:val="00BA6B70"/>
    <w:rsid w:val="00D55D5E"/>
    <w:rsid w:val="00DA6F46"/>
    <w:rsid w:val="00FB59CF"/>
    <w:rsid w:val="00FC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35FE"/>
  <w15:chartTrackingRefBased/>
  <w15:docId w15:val="{B922797F-6C12-4849-A1A1-B09E1151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0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0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0E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0EEB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E0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30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07B26"/>
    <w:pPr>
      <w:ind w:left="7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1A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1A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1A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8361493989C54E8B2DE2291A305067" ma:contentTypeVersion="8" ma:contentTypeDescription="Utwórz nowy dokument." ma:contentTypeScope="" ma:versionID="ebcf76b5625e42327d2e18c4bc198780">
  <xsd:schema xmlns:xsd="http://www.w3.org/2001/XMLSchema" xmlns:xs="http://www.w3.org/2001/XMLSchema" xmlns:p="http://schemas.microsoft.com/office/2006/metadata/properties" xmlns:ns3="cc76ee95-1547-47d6-ad67-13d838366ac8" xmlns:ns4="8b431119-0101-4a9f-916d-312a451cb4fc" targetNamespace="http://schemas.microsoft.com/office/2006/metadata/properties" ma:root="true" ma:fieldsID="6df4c874ac0f73e51b98efffb2b36f75" ns3:_="" ns4:_="">
    <xsd:import namespace="cc76ee95-1547-47d6-ad67-13d838366ac8"/>
    <xsd:import namespace="8b431119-0101-4a9f-916d-312a451cb4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6ee95-1547-47d6-ad67-13d838366a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31119-0101-4a9f-916d-312a451cb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ADB4B-9EF3-4D16-A7ED-A72251716F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DC518E-7424-4997-A06D-1B6885E32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A791AC-65D1-45F1-A55C-0FB3B2192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6ee95-1547-47d6-ad67-13d838366ac8"/>
    <ds:schemaRef ds:uri="8b431119-0101-4a9f-916d-312a451cb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550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Porębski Jakub</dc:creator>
  <cp:keywords/>
  <dc:description/>
  <cp:lastModifiedBy>Porębski Jakub</cp:lastModifiedBy>
  <cp:revision>34</cp:revision>
  <dcterms:created xsi:type="dcterms:W3CDTF">2020-01-28T17:20:00Z</dcterms:created>
  <dcterms:modified xsi:type="dcterms:W3CDTF">2020-01-28T20:19:00Z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0x010100868361493989C54E8B2DE2291A305067</vt:lpwstr>
  </property>
</Properties>
</file>