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DC Voltage E27 — Quick Fixes</w:t>
      </w:r>
    </w:p>
    <w:p>
      <w:pPr>
        <w:spacing w:after="100"/>
      </w:pPr>
      <w:r>
        <w:rPr>
          <w:color w:val="555555"/>
          <w:sz w:val="24"/>
          <w:szCs w:val="24"/>
        </w:rPr>
        <w:t xml:space="preserve">Completion Report — Friday 2 October 2026 (due 18:00 SL)</w:t>
      </w:r>
    </w:p>
    <w:p>
      <w:pPr>
        <w:spacing w:after="300"/>
      </w:pPr>
      <w:r>
        <w:rPr>
          <w:i/>
          <w:iCs/>
          <w:color w:val="777777"/>
          <w:sz w:val="20"/>
          <w:szCs w:val="20"/>
        </w:rPr>
        <w:t xml:space="preserve">Source: email from LED Sone &lt;ledsoneuk@gmail.com&gt;, 1 Oct 2026, 4:35 PM, attachment "Kuberan_E27_next_level_2026-10-01"</w:t>
      </w:r>
    </w:p>
    <w:p>
      <w:pPr>
        <w:spacing w:after="200"/>
      </w:pPr>
      <w:r>
        <w:rPr>
          <w:sz w:val="22"/>
          <w:szCs w:val="22"/>
        </w:rPr>
        <w:t xml:space="preserve">All 9 quick-fix items due today (C1, C3, C4, P1, P2, P5, G1, G2, G3) are complete. P5, P2 and P1 have already been approved by Thuwaraga. G1, G3 and C1 are confirmed live on the site. C3 is built on the duplicate theme ("Tinker - E27 model DRAFT") and awaiting Muguntha's sign-off to publish.</w:t>
      </w:r>
    </w:p>
    <w:p>
      <w:pPr>
        <w:pStyle w:val="Heading2"/>
        <w:spacing w:after="120" w:before="400"/>
      </w:pPr>
      <w:r>
        <w:rPr>
          <w:b/>
          <w:bCs/>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1F2937" w:color="auto" w:val="clear"/>
          </w:tcPr>
          <w:p>
            <w:r>
              <w:rPr>
                <w:b/>
                <w:bCs/>
                <w:color w:val="FFFFFF"/>
                <w:sz w:val="20"/>
                <w:szCs w:val="20"/>
              </w:rPr>
              <w:t xml:space="preserve">#</w:t>
            </w:r>
          </w:p>
        </w:tc>
        <w:tc>
          <w:tcPr>
            <w:tcW w:type="pct" w:w="8%"/>
            <w:shd w:fill="1F2937" w:color="auto" w:val="clear"/>
          </w:tcPr>
          <w:p>
            <w:r>
              <w:rPr>
                <w:b/>
                <w:bCs/>
                <w:color w:val="FFFFFF"/>
                <w:sz w:val="20"/>
                <w:szCs w:val="20"/>
              </w:rPr>
              <w:t xml:space="preserve">Item</w:t>
            </w:r>
          </w:p>
        </w:tc>
        <w:tc>
          <w:tcPr>
            <w:tcW w:type="pct" w:w="42%"/>
            <w:shd w:fill="1F2937" w:color="auto" w:val="clear"/>
          </w:tcPr>
          <w:p>
            <w:r>
              <w:rPr>
                <w:b/>
                <w:bCs/>
                <w:color w:val="FFFFFF"/>
                <w:sz w:val="20"/>
                <w:szCs w:val="20"/>
              </w:rPr>
              <w:t xml:space="preserve">What</w:t>
            </w:r>
          </w:p>
        </w:tc>
        <w:tc>
          <w:tcPr>
            <w:tcW w:type="pct" w:w="18%"/>
            <w:shd w:fill="1F2937" w:color="auto" w:val="clear"/>
          </w:tcPr>
          <w:p>
            <w:r>
              <w:rPr>
                <w:b/>
                <w:bCs/>
                <w:color w:val="FFFFFF"/>
                <w:sz w:val="20"/>
                <w:szCs w:val="20"/>
              </w:rPr>
              <w:t xml:space="preserve">Approver</w:t>
            </w:r>
          </w:p>
        </w:tc>
        <w:tc>
          <w:tcPr>
            <w:tcW w:type="pct" w:w="27%"/>
            <w:shd w:fill="1F2937" w:color="auto" w:val="clear"/>
          </w:tcPr>
          <w:p>
            <w:r>
              <w:rPr>
                <w:b/>
                <w:bCs/>
                <w:color w:val="FFFFFF"/>
                <w:sz w:val="20"/>
                <w:szCs w:val="20"/>
              </w:rPr>
              <w:t xml:space="preserve">Status</w:t>
            </w:r>
          </w:p>
        </w:tc>
      </w:tr>
      <w:tr>
        <w:tc>
          <w:tcPr>
            <w:tcW w:type="pct" w:w="5%"/>
          </w:tcPr>
          <w:p>
            <w:r>
              <w:rPr>
                <w:b w:val="false"/>
                <w:bCs w:val="false"/>
                <w:color w:val="000000"/>
                <w:sz w:val="20"/>
                <w:szCs w:val="20"/>
              </w:rPr>
              <w:t xml:space="preserve">1</w:t>
            </w:r>
          </w:p>
        </w:tc>
        <w:tc>
          <w:tcPr>
            <w:tcW w:type="pct" w:w="8%"/>
          </w:tcPr>
          <w:p>
            <w:r>
              <w:rPr>
                <w:b/>
                <w:bCs/>
                <w:color w:val="000000"/>
                <w:sz w:val="20"/>
                <w:szCs w:val="20"/>
              </w:rPr>
              <w:t xml:space="preserve">P5</w:t>
            </w:r>
          </w:p>
        </w:tc>
        <w:tc>
          <w:tcPr>
            <w:tcW w:type="pct" w:w="42%"/>
          </w:tcPr>
          <w:p>
            <w:r>
              <w:rPr>
                <w:b w:val="false"/>
                <w:bCs w:val="false"/>
                <w:color w:val="000000"/>
                <w:sz w:val="20"/>
                <w:szCs w:val="20"/>
              </w:rPr>
              <w:t xml:space="preserve">Meta description, product 1025</w:t>
            </w:r>
          </w:p>
        </w:tc>
        <w:tc>
          <w:tcPr>
            <w:tcW w:type="pct" w:w="18%"/>
          </w:tcPr>
          <w:p>
            <w:r>
              <w:rPr>
                <w:b w:val="false"/>
                <w:bCs w:val="false"/>
                <w:color w:val="000000"/>
                <w:sz w:val="20"/>
                <w:szCs w:val="20"/>
              </w:rPr>
              <w:t xml:space="preserve">Thuwaraga</w:t>
            </w:r>
          </w:p>
        </w:tc>
        <w:tc>
          <w:tcPr>
            <w:tcW w:type="pct" w:w="27%"/>
          </w:tcPr>
          <w:p>
            <w:r>
              <w:rPr>
                <w:b/>
                <w:bCs/>
                <w:color w:val="15803D"/>
                <w:sz w:val="20"/>
                <w:szCs w:val="20"/>
              </w:rPr>
              <w:t xml:space="preserve">Done + Approved</w:t>
            </w:r>
          </w:p>
        </w:tc>
      </w:tr>
      <w:tr>
        <w:tc>
          <w:tcPr>
            <w:tcW w:type="pct" w:w="5%"/>
          </w:tcPr>
          <w:p>
            <w:r>
              <w:rPr>
                <w:b w:val="false"/>
                <w:bCs w:val="false"/>
                <w:color w:val="000000"/>
                <w:sz w:val="20"/>
                <w:szCs w:val="20"/>
              </w:rPr>
              <w:t xml:space="preserve">2</w:t>
            </w:r>
          </w:p>
        </w:tc>
        <w:tc>
          <w:tcPr>
            <w:tcW w:type="pct" w:w="8%"/>
          </w:tcPr>
          <w:p>
            <w:r>
              <w:rPr>
                <w:b/>
                <w:bCs/>
                <w:color w:val="000000"/>
                <w:sz w:val="20"/>
                <w:szCs w:val="20"/>
              </w:rPr>
              <w:t xml:space="preserve">G2</w:t>
            </w:r>
          </w:p>
        </w:tc>
        <w:tc>
          <w:tcPr>
            <w:tcW w:type="pct" w:w="42%"/>
          </w:tcPr>
          <w:p>
            <w:r>
              <w:rPr>
                <w:b w:val="false"/>
                <w:bCs w:val="false"/>
                <w:color w:val="000000"/>
                <w:sz w:val="20"/>
                <w:szCs w:val="20"/>
              </w:rPr>
              <w:t xml:space="preserve">Meta description, E27 vs B22 vs GU10 guide</w:t>
            </w:r>
          </w:p>
        </w:tc>
        <w:tc>
          <w:tcPr>
            <w:tcW w:type="pct" w:w="18%"/>
          </w:tcPr>
          <w:p>
            <w:r>
              <w:rPr>
                <w:b w:val="false"/>
                <w:bCs w:val="false"/>
                <w:color w:val="000000"/>
                <w:sz w:val="20"/>
                <w:szCs w:val="20"/>
              </w:rPr>
              <w:t xml:space="preserve">Muguntha</w:t>
            </w:r>
          </w:p>
        </w:tc>
        <w:tc>
          <w:tcPr>
            <w:tcW w:type="pct" w:w="27%"/>
          </w:tcPr>
          <w:p>
            <w:r>
              <w:rPr>
                <w:b/>
                <w:bCs/>
                <w:color w:val="15803D"/>
                <w:sz w:val="20"/>
                <w:szCs w:val="20"/>
              </w:rPr>
              <w:t xml:space="preserve">Done</w:t>
            </w:r>
          </w:p>
        </w:tc>
      </w:tr>
      <w:tr>
        <w:tc>
          <w:tcPr>
            <w:tcW w:type="pct" w:w="5%"/>
          </w:tcPr>
          <w:p>
            <w:r>
              <w:rPr>
                <w:b w:val="false"/>
                <w:bCs w:val="false"/>
                <w:color w:val="000000"/>
                <w:sz w:val="20"/>
                <w:szCs w:val="20"/>
              </w:rPr>
              <w:t xml:space="preserve">3</w:t>
            </w:r>
          </w:p>
        </w:tc>
        <w:tc>
          <w:tcPr>
            <w:tcW w:type="pct" w:w="8%"/>
          </w:tcPr>
          <w:p>
            <w:r>
              <w:rPr>
                <w:b/>
                <w:bCs/>
                <w:color w:val="000000"/>
                <w:sz w:val="20"/>
                <w:szCs w:val="20"/>
              </w:rPr>
              <w:t xml:space="preserve">P2</w:t>
            </w:r>
          </w:p>
        </w:tc>
        <w:tc>
          <w:tcPr>
            <w:tcW w:type="pct" w:w="42%"/>
          </w:tcPr>
          <w:p>
            <w:r>
              <w:rPr>
                <w:b w:val="false"/>
                <w:bCs w:val="false"/>
                <w:color w:val="000000"/>
                <w:sz w:val="20"/>
                <w:szCs w:val="20"/>
              </w:rPr>
              <w:t xml:space="preserve">FAQ 1 link fix, product 1025 (B22 version)</w:t>
            </w:r>
          </w:p>
        </w:tc>
        <w:tc>
          <w:tcPr>
            <w:tcW w:type="pct" w:w="18%"/>
          </w:tcPr>
          <w:p>
            <w:r>
              <w:rPr>
                <w:b w:val="false"/>
                <w:bCs w:val="false"/>
                <w:color w:val="000000"/>
                <w:sz w:val="20"/>
                <w:szCs w:val="20"/>
              </w:rPr>
              <w:t xml:space="preserve">Thuwaraga</w:t>
            </w:r>
          </w:p>
        </w:tc>
        <w:tc>
          <w:tcPr>
            <w:tcW w:type="pct" w:w="27%"/>
          </w:tcPr>
          <w:p>
            <w:r>
              <w:rPr>
                <w:b/>
                <w:bCs/>
                <w:color w:val="15803D"/>
                <w:sz w:val="20"/>
                <w:szCs w:val="20"/>
              </w:rPr>
              <w:t xml:space="preserve">Done + Approved</w:t>
            </w:r>
          </w:p>
        </w:tc>
      </w:tr>
      <w:tr>
        <w:tc>
          <w:tcPr>
            <w:tcW w:type="pct" w:w="5%"/>
          </w:tcPr>
          <w:p>
            <w:r>
              <w:rPr>
                <w:b w:val="false"/>
                <w:bCs w:val="false"/>
                <w:color w:val="000000"/>
                <w:sz w:val="20"/>
                <w:szCs w:val="20"/>
              </w:rPr>
              <w:t xml:space="preserve">4</w:t>
            </w:r>
          </w:p>
        </w:tc>
        <w:tc>
          <w:tcPr>
            <w:tcW w:type="pct" w:w="8%"/>
          </w:tcPr>
          <w:p>
            <w:r>
              <w:rPr>
                <w:b/>
                <w:bCs/>
                <w:color w:val="000000"/>
                <w:sz w:val="20"/>
                <w:szCs w:val="20"/>
              </w:rPr>
              <w:t xml:space="preserve">C3</w:t>
            </w:r>
          </w:p>
        </w:tc>
        <w:tc>
          <w:tcPr>
            <w:tcW w:type="pct" w:w="42%"/>
          </w:tcPr>
          <w:p>
            <w:r>
              <w:rPr>
                <w:b w:val="false"/>
                <w:bCs w:val="false"/>
                <w:color w:val="000000"/>
                <w:sz w:val="20"/>
                <w:szCs w:val="20"/>
              </w:rPr>
              <w:t xml:space="preserve">FAQ 2 link + intro line breaks, collection page</w:t>
            </w:r>
          </w:p>
        </w:tc>
        <w:tc>
          <w:tcPr>
            <w:tcW w:type="pct" w:w="18%"/>
          </w:tcPr>
          <w:p>
            <w:r>
              <w:rPr>
                <w:b w:val="false"/>
                <w:bCs w:val="false"/>
                <w:color w:val="000000"/>
                <w:sz w:val="20"/>
                <w:szCs w:val="20"/>
              </w:rPr>
              <w:t xml:space="preserve">Muguntha</w:t>
            </w:r>
          </w:p>
        </w:tc>
        <w:tc>
          <w:tcPr>
            <w:tcW w:type="pct" w:w="27%"/>
          </w:tcPr>
          <w:p>
            <w:r>
              <w:rPr>
                <w:b/>
                <w:bCs/>
                <w:color w:val="15803D"/>
                <w:sz w:val="20"/>
                <w:szCs w:val="20"/>
              </w:rPr>
              <w:t xml:space="preserve">Done (draft theme, awaiting publish approval)</w:t>
            </w:r>
          </w:p>
        </w:tc>
      </w:tr>
      <w:tr>
        <w:tc>
          <w:tcPr>
            <w:tcW w:type="pct" w:w="5%"/>
          </w:tcPr>
          <w:p>
            <w:r>
              <w:rPr>
                <w:b w:val="false"/>
                <w:bCs w:val="false"/>
                <w:color w:val="000000"/>
                <w:sz w:val="20"/>
                <w:szCs w:val="20"/>
              </w:rPr>
              <w:t xml:space="preserve">5</w:t>
            </w:r>
          </w:p>
        </w:tc>
        <w:tc>
          <w:tcPr>
            <w:tcW w:type="pct" w:w="8%"/>
          </w:tcPr>
          <w:p>
            <w:r>
              <w:rPr>
                <w:b/>
                <w:bCs/>
                <w:color w:val="000000"/>
                <w:sz w:val="20"/>
                <w:szCs w:val="20"/>
              </w:rPr>
              <w:t xml:space="preserve">G1</w:t>
            </w:r>
          </w:p>
        </w:tc>
        <w:tc>
          <w:tcPr>
            <w:tcW w:type="pct" w:w="42%"/>
          </w:tcPr>
          <w:p>
            <w:r>
              <w:rPr>
                <w:b w:val="false"/>
                <w:bCs w:val="false"/>
                <w:color w:val="000000"/>
                <w:sz w:val="20"/>
                <w:szCs w:val="20"/>
              </w:rPr>
              <w:t xml:space="preserve">Fix 3 dead links in the guide</w:t>
            </w:r>
          </w:p>
        </w:tc>
        <w:tc>
          <w:tcPr>
            <w:tcW w:type="pct" w:w="18%"/>
          </w:tcPr>
          <w:p>
            <w:r>
              <w:rPr>
                <w:b w:val="false"/>
                <w:bCs w:val="false"/>
                <w:color w:val="000000"/>
                <w:sz w:val="20"/>
                <w:szCs w:val="20"/>
              </w:rPr>
              <w:t xml:space="preserve">Muguntha</w:t>
            </w:r>
          </w:p>
        </w:tc>
        <w:tc>
          <w:tcPr>
            <w:tcW w:type="pct" w:w="27%"/>
          </w:tcPr>
          <w:p>
            <w:r>
              <w:rPr>
                <w:b/>
                <w:bCs/>
                <w:color w:val="15803D"/>
                <w:sz w:val="20"/>
                <w:szCs w:val="20"/>
              </w:rPr>
              <w:t xml:space="preserve">Done + Confirmed LIVE</w:t>
            </w:r>
          </w:p>
        </w:tc>
      </w:tr>
      <w:tr>
        <w:tc>
          <w:tcPr>
            <w:tcW w:type="pct" w:w="5%"/>
          </w:tcPr>
          <w:p>
            <w:r>
              <w:rPr>
                <w:b w:val="false"/>
                <w:bCs w:val="false"/>
                <w:color w:val="000000"/>
                <w:sz w:val="20"/>
                <w:szCs w:val="20"/>
              </w:rPr>
              <w:t xml:space="preserve">6</w:t>
            </w:r>
          </w:p>
        </w:tc>
        <w:tc>
          <w:tcPr>
            <w:tcW w:type="pct" w:w="8%"/>
          </w:tcPr>
          <w:p>
            <w:r>
              <w:rPr>
                <w:b/>
                <w:bCs/>
                <w:color w:val="000000"/>
                <w:sz w:val="20"/>
                <w:szCs w:val="20"/>
              </w:rPr>
              <w:t xml:space="preserve">G3</w:t>
            </w:r>
          </w:p>
        </w:tc>
        <w:tc>
          <w:tcPr>
            <w:tcW w:type="pct" w:w="42%"/>
          </w:tcPr>
          <w:p>
            <w:r>
              <w:rPr>
                <w:b w:val="false"/>
                <w:bCs w:val="false"/>
                <w:color w:val="000000"/>
                <w:sz w:val="20"/>
                <w:szCs w:val="20"/>
              </w:rPr>
              <w:t xml:space="preserve">Remove duplicate H1 in guide body</w:t>
            </w:r>
          </w:p>
        </w:tc>
        <w:tc>
          <w:tcPr>
            <w:tcW w:type="pct" w:w="18%"/>
          </w:tcPr>
          <w:p>
            <w:r>
              <w:rPr>
                <w:b w:val="false"/>
                <w:bCs w:val="false"/>
                <w:color w:val="000000"/>
                <w:sz w:val="20"/>
                <w:szCs w:val="20"/>
              </w:rPr>
              <w:t xml:space="preserve">Muguntha</w:t>
            </w:r>
          </w:p>
        </w:tc>
        <w:tc>
          <w:tcPr>
            <w:tcW w:type="pct" w:w="27%"/>
          </w:tcPr>
          <w:p>
            <w:r>
              <w:rPr>
                <w:b/>
                <w:bCs/>
                <w:color w:val="15803D"/>
                <w:sz w:val="20"/>
                <w:szCs w:val="20"/>
              </w:rPr>
              <w:t xml:space="preserve">Done + Confirmed LIVE</w:t>
            </w:r>
          </w:p>
        </w:tc>
      </w:tr>
      <w:tr>
        <w:tc>
          <w:tcPr>
            <w:tcW w:type="pct" w:w="5%"/>
          </w:tcPr>
          <w:p>
            <w:r>
              <w:rPr>
                <w:b w:val="false"/>
                <w:bCs w:val="false"/>
                <w:color w:val="000000"/>
                <w:sz w:val="20"/>
                <w:szCs w:val="20"/>
              </w:rPr>
              <w:t xml:space="preserve">7</w:t>
            </w:r>
          </w:p>
        </w:tc>
        <w:tc>
          <w:tcPr>
            <w:tcW w:type="pct" w:w="8%"/>
          </w:tcPr>
          <w:p>
            <w:r>
              <w:rPr>
                <w:b/>
                <w:bCs/>
                <w:color w:val="000000"/>
                <w:sz w:val="20"/>
                <w:szCs w:val="20"/>
              </w:rPr>
              <w:t xml:space="preserve">C4</w:t>
            </w:r>
          </w:p>
        </w:tc>
        <w:tc>
          <w:tcPr>
            <w:tcW w:type="pct" w:w="42%"/>
          </w:tcPr>
          <w:p>
            <w:r>
              <w:rPr>
                <w:b w:val="false"/>
                <w:bCs w:val="false"/>
                <w:color w:val="000000"/>
                <w:sz w:val="20"/>
                <w:szCs w:val="20"/>
              </w:rPr>
              <w:t xml:space="preserve">Move sold-out products (1116, 1226) to end</w:t>
            </w:r>
          </w:p>
        </w:tc>
        <w:tc>
          <w:tcPr>
            <w:tcW w:type="pct" w:w="18%"/>
          </w:tcPr>
          <w:p>
            <w:r>
              <w:rPr>
                <w:b w:val="false"/>
                <w:bCs w:val="false"/>
                <w:color w:val="000000"/>
                <w:sz w:val="20"/>
                <w:szCs w:val="20"/>
              </w:rPr>
              <w:t xml:space="preserve">Muguntha / Thuwaraga</w:t>
            </w:r>
          </w:p>
        </w:tc>
        <w:tc>
          <w:tcPr>
            <w:tcW w:type="pct" w:w="27%"/>
          </w:tcPr>
          <w:p>
            <w:r>
              <w:rPr>
                <w:b/>
                <w:bCs/>
                <w:color w:val="15803D"/>
                <w:sz w:val="20"/>
                <w:szCs w:val="20"/>
              </w:rPr>
              <w:t xml:space="preserve">Done</w:t>
            </w:r>
          </w:p>
        </w:tc>
      </w:tr>
      <w:tr>
        <w:tc>
          <w:tcPr>
            <w:tcW w:type="pct" w:w="5%"/>
          </w:tcPr>
          <w:p>
            <w:r>
              <w:rPr>
                <w:b w:val="false"/>
                <w:bCs w:val="false"/>
                <w:color w:val="000000"/>
                <w:sz w:val="20"/>
                <w:szCs w:val="20"/>
              </w:rPr>
              <w:t xml:space="preserve">8</w:t>
            </w:r>
          </w:p>
        </w:tc>
        <w:tc>
          <w:tcPr>
            <w:tcW w:type="pct" w:w="8%"/>
          </w:tcPr>
          <w:p>
            <w:r>
              <w:rPr>
                <w:b/>
                <w:bCs/>
                <w:color w:val="000000"/>
                <w:sz w:val="20"/>
                <w:szCs w:val="20"/>
              </w:rPr>
              <w:t xml:space="preserve">C1</w:t>
            </w:r>
          </w:p>
        </w:tc>
        <w:tc>
          <w:tcPr>
            <w:tcW w:type="pct" w:w="42%"/>
          </w:tcPr>
          <w:p>
            <w:r>
              <w:rPr>
                <w:b w:val="false"/>
                <w:bCs w:val="false"/>
                <w:color w:val="000000"/>
                <w:sz w:val="20"/>
                <w:szCs w:val="20"/>
              </w:rPr>
              <w:t xml:space="preserve">Connect the collection (menu, LED Bulb page link, guide button)</w:t>
            </w:r>
          </w:p>
        </w:tc>
        <w:tc>
          <w:tcPr>
            <w:tcW w:type="pct" w:w="18%"/>
          </w:tcPr>
          <w:p>
            <w:r>
              <w:rPr>
                <w:b w:val="false"/>
                <w:bCs w:val="false"/>
                <w:color w:val="000000"/>
                <w:sz w:val="20"/>
                <w:szCs w:val="20"/>
              </w:rPr>
              <w:t xml:space="preserve">Muguntha</w:t>
            </w:r>
          </w:p>
        </w:tc>
        <w:tc>
          <w:tcPr>
            <w:tcW w:type="pct" w:w="27%"/>
          </w:tcPr>
          <w:p>
            <w:r>
              <w:rPr>
                <w:b/>
                <w:bCs/>
                <w:color w:val="15803D"/>
                <w:sz w:val="20"/>
                <w:szCs w:val="20"/>
              </w:rPr>
              <w:t xml:space="preserve">Done + Confirmed LIVE</w:t>
            </w:r>
          </w:p>
        </w:tc>
      </w:tr>
      <w:tr>
        <w:tc>
          <w:tcPr>
            <w:tcW w:type="pct" w:w="5%"/>
          </w:tcPr>
          <w:p>
            <w:r>
              <w:rPr>
                <w:b w:val="false"/>
                <w:bCs w:val="false"/>
                <w:color w:val="000000"/>
                <w:sz w:val="20"/>
                <w:szCs w:val="20"/>
              </w:rPr>
              <w:t xml:space="preserve">9</w:t>
            </w:r>
          </w:p>
        </w:tc>
        <w:tc>
          <w:tcPr>
            <w:tcW w:type="pct" w:w="8%"/>
          </w:tcPr>
          <w:p>
            <w:r>
              <w:rPr>
                <w:b/>
                <w:bCs/>
                <w:color w:val="000000"/>
                <w:sz w:val="20"/>
                <w:szCs w:val="20"/>
              </w:rPr>
              <w:t xml:space="preserve">P1</w:t>
            </w:r>
          </w:p>
        </w:tc>
        <w:tc>
          <w:tcPr>
            <w:tcW w:type="pct" w:w="42%"/>
          </w:tcPr>
          <w:p>
            <w:r>
              <w:rPr>
                <w:b w:val="false"/>
                <w:bCs w:val="false"/>
                <w:color w:val="000000"/>
                <w:sz w:val="20"/>
                <w:szCs w:val="20"/>
              </w:rPr>
              <w:t xml:space="preserve">Rewrite product 1025 description intro</w:t>
            </w:r>
          </w:p>
        </w:tc>
        <w:tc>
          <w:tcPr>
            <w:tcW w:type="pct" w:w="18%"/>
          </w:tcPr>
          <w:p>
            <w:r>
              <w:rPr>
                <w:b w:val="false"/>
                <w:bCs w:val="false"/>
                <w:color w:val="000000"/>
                <w:sz w:val="20"/>
                <w:szCs w:val="20"/>
              </w:rPr>
              <w:t xml:space="preserve">Thuwaraga</w:t>
            </w:r>
          </w:p>
        </w:tc>
        <w:tc>
          <w:tcPr>
            <w:tcW w:type="pct" w:w="27%"/>
          </w:tcPr>
          <w:p>
            <w:r>
              <w:rPr>
                <w:b/>
                <w:bCs/>
                <w:color w:val="15803D"/>
                <w:sz w:val="20"/>
                <w:szCs w:val="20"/>
              </w:rPr>
              <w:t xml:space="preserve">Done + Approved</w:t>
            </w:r>
          </w:p>
        </w:tc>
      </w:tr>
    </w:tbl>
    <w:p>
      <w:r>
        <w:br w:type="page"/>
      </w:r>
    </w:p>
    <w:p>
      <w:pPr>
        <w:pStyle w:val="Heading2"/>
        <w:spacing w:after="120" w:before="400"/>
      </w:pPr>
      <w:r>
        <w:rPr>
          <w:b/>
          <w:bCs/>
        </w:rPr>
        <w:t xml:space="preserve">1-2. P5 &amp; G2 — Meta Descriptions</w:t>
      </w:r>
    </w:p>
    <w:p>
      <w:pPr>
        <w:spacing w:after="200"/>
      </w:pPr>
      <w:r>
        <w:rPr>
          <w:i/>
          <w:iCs/>
          <w:color w:val="555555"/>
          <w:sz w:val="20"/>
          <w:szCs w:val="20"/>
        </w:rPr>
        <w:t xml:space="preserve">P5: Meta description saved on product 1025 (Dimmable ST64 E27 LED Filament Bulb).</w:t>
      </w:r>
    </w:p>
    <w:p>
      <w:pPr>
        <w:spacing w:after="30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09825"/>
                    </a:xfrm>
                    <a:prstGeom prst="rect">
                      <a:avLst/>
                    </a:prstGeom>
                  </pic:spPr>
                </pic:pic>
              </a:graphicData>
            </a:graphic>
          </wp:inline>
        </w:drawing>
      </w:r>
    </w:p>
    <w:p>
      <w:pPr>
        <w:spacing w:after="200"/>
      </w:pPr>
      <w:r>
        <w:rPr>
          <w:i/>
          <w:iCs/>
          <w:color w:val="555555"/>
          <w:sz w:val="20"/>
          <w:szCs w:val="20"/>
        </w:rPr>
        <w:t xml:space="preserve">G2: Meta description saved on the E27 vs B22 vs GU10 guide article.</w:t>
      </w:r>
    </w:p>
    <w:p>
      <w:pPr>
        <w:spacing w:after="30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43200"/>
                    </a:xfrm>
                    <a:prstGeom prst="rect">
                      <a:avLst/>
                    </a:prstGeom>
                  </pic:spPr>
                </pic:pic>
              </a:graphicData>
            </a:graphic>
          </wp:inline>
        </w:drawing>
      </w:r>
    </w:p>
    <w:p>
      <w:pPr>
        <w:pStyle w:val="Heading2"/>
        <w:spacing w:after="120" w:before="400"/>
      </w:pPr>
      <w:r>
        <w:rPr>
          <w:b/>
          <w:bCs/>
        </w:rPr>
        <w:t xml:space="preserve">3. P2 — FAQ 1 Link Fix (Product 1025)</w:t>
      </w:r>
    </w:p>
    <w:p>
      <w:pPr>
        <w:spacing w:after="200"/>
      </w:pPr>
      <w:r>
        <w:rPr>
          <w:i/>
          <w:iCs/>
          <w:color w:val="555555"/>
          <w:sz w:val="20"/>
          <w:szCs w:val="20"/>
        </w:rPr>
        <w:t xml:space="preserve">"B22 version of this bulb" is now a clean link to the B22 product, live on the site.</w:t>
      </w:r>
    </w:p>
    <w:p>
      <w:pPr>
        <w:spacing w:after="30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95600"/>
                    </a:xfrm>
                    <a:prstGeom prst="rect">
                      <a:avLst/>
                    </a:prstGeom>
                  </pic:spPr>
                </pic:pic>
              </a:graphicData>
            </a:graphic>
          </wp:inline>
        </w:drawing>
      </w:r>
    </w:p>
    <w:p>
      <w:r>
        <w:br w:type="page"/>
      </w:r>
    </w:p>
    <w:p>
      <w:pPr>
        <w:pStyle w:val="Heading2"/>
        <w:spacing w:after="120" w:before="400"/>
      </w:pPr>
      <w:r>
        <w:rPr>
          <w:b/>
          <w:bCs/>
        </w:rPr>
        <w:t xml:space="preserve">4. C3 — Collection Page Fixes</w:t>
      </w:r>
    </w:p>
    <w:p>
      <w:pPr>
        <w:spacing w:after="200"/>
      </w:pPr>
      <w:r>
        <w:rPr>
          <w:i/>
          <w:iCs/>
          <w:color w:val="555555"/>
          <w:sz w:val="20"/>
          <w:szCs w:val="20"/>
        </w:rPr>
        <w:t xml:space="preserve">Part 1: FAQ 2's "E27 vs B22 guide" link fixed on the collection page.</w:t>
      </w:r>
    </w:p>
    <w:p>
      <w:pPr>
        <w:spacing w:after="300"/>
        <w:jc w:val="center"/>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52725"/>
                    </a:xfrm>
                    <a:prstGeom prst="rect">
                      <a:avLst/>
                    </a:prstGeom>
                  </pic:spPr>
                </pic:pic>
              </a:graphicData>
            </a:graphic>
          </wp:inline>
        </w:drawing>
      </w:r>
    </w:p>
    <w:p>
      <w:pPr>
        <w:spacing w:after="200"/>
      </w:pPr>
      <w:r>
        <w:rPr>
          <w:i/>
          <w:iCs/>
          <w:color w:val="555555"/>
          <w:sz w:val="20"/>
          <w:szCs w:val="20"/>
        </w:rPr>
        <w:t xml:space="preserve">Part 2: Intro box line breaks removed, now one continuous paragraph (built on duplicate theme).</w:t>
      </w:r>
    </w:p>
    <w:p>
      <w:pPr>
        <w:spacing w:after="300"/>
        <w:jc w:val="center"/>
      </w:pPr>
      <w:r>
        <w:drawing>
          <wp:inline distT="0" distB="0" distL="0" distR="0">
            <wp:extent cx="533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00225"/>
                    </a:xfrm>
                    <a:prstGeom prst="rect">
                      <a:avLst/>
                    </a:prstGeom>
                  </pic:spPr>
                </pic:pic>
              </a:graphicData>
            </a:graphic>
          </wp:inline>
        </w:drawing>
      </w:r>
    </w:p>
    <w:p>
      <w:pPr>
        <w:pStyle w:val="Heading2"/>
        <w:spacing w:after="120" w:before="400"/>
      </w:pPr>
      <w:r>
        <w:rPr>
          <w:b/>
          <w:bCs/>
        </w:rPr>
        <w:t xml:space="preserve">5. G1 — Guide Dead Links Fixed</w:t>
      </w:r>
    </w:p>
    <w:p>
      <w:pPr>
        <w:spacing w:after="200"/>
      </w:pPr>
      <w:r>
        <w:rPr>
          <w:i/>
          <w:iCs/>
          <w:color w:val="555555"/>
          <w:sz w:val="20"/>
          <w:szCs w:val="20"/>
        </w:rPr>
        <w:t xml:space="preserve">"Shop E27 Bulbs", "Shop GU10 Bulbs" and the breadcrumb all point to valid collections. Confirmed live.</w:t>
      </w:r>
    </w:p>
    <w:p>
      <w:pPr>
        <w:spacing w:after="3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r>
        <w:br w:type="page"/>
      </w:r>
    </w:p>
    <w:p>
      <w:pPr>
        <w:pStyle w:val="Heading2"/>
        <w:spacing w:after="120" w:before="400"/>
      </w:pPr>
      <w:r>
        <w:rPr>
          <w:b/>
          <w:bCs/>
        </w:rPr>
        <w:t xml:space="preserve">6. G3 — Duplicate H1 Removed</w:t>
      </w:r>
    </w:p>
    <w:p>
      <w:pPr>
        <w:spacing w:after="200"/>
      </w:pPr>
      <w:r>
        <w:rPr>
          <w:i/>
          <w:iCs/>
          <w:color w:val="555555"/>
          <w:sz w:val="20"/>
          <w:szCs w:val="20"/>
        </w:rPr>
        <w:t xml:space="preserve">Verified via live page fetch: exactly one &lt;h1&gt; on the guide page; the oversized hero text is no longer a heading.</w:t>
      </w:r>
    </w:p>
    <w:p>
      <w:pPr>
        <w:pStyle w:val="Heading2"/>
        <w:spacing w:after="120" w:before="400"/>
      </w:pPr>
      <w:r>
        <w:rPr>
          <w:b/>
          <w:bCs/>
        </w:rPr>
        <w:t xml:space="preserve">7. C4 — Sold-Out Products Reordered</w:t>
      </w:r>
    </w:p>
    <w:p>
      <w:pPr>
        <w:spacing w:after="200"/>
      </w:pPr>
      <w:r>
        <w:rPr>
          <w:i/>
          <w:iCs/>
          <w:color w:val="555555"/>
          <w:sz w:val="20"/>
          <w:szCs w:val="20"/>
        </w:rPr>
        <w:t xml:space="preserve">Products ~1116 and ~1226 (both sold out) moved to positions 16-17 of 17 in the E27 Bulbs collection.</w:t>
      </w:r>
    </w:p>
    <w:p>
      <w:pPr>
        <w:spacing w:after="30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38450"/>
                    </a:xfrm>
                    <a:prstGeom prst="rect">
                      <a:avLst/>
                    </a:prstGeom>
                  </pic:spPr>
                </pic:pic>
              </a:graphicData>
            </a:graphic>
          </wp:inline>
        </w:drawing>
      </w:r>
    </w:p>
    <w:p>
      <w:r>
        <w:br w:type="page"/>
      </w:r>
    </w:p>
    <w:p>
      <w:pPr>
        <w:pStyle w:val="Heading2"/>
        <w:spacing w:after="120" w:before="400"/>
      </w:pPr>
      <w:r>
        <w:rPr>
          <w:b/>
          <w:bCs/>
        </w:rPr>
        <w:t xml:space="preserve">8. C1 — Connect the Collection</w:t>
      </w:r>
    </w:p>
    <w:p>
      <w:pPr>
        <w:spacing w:after="200"/>
      </w:pPr>
      <w:r>
        <w:rPr>
          <w:i/>
          <w:iCs/>
          <w:color w:val="555555"/>
          <w:sz w:val="20"/>
          <w:szCs w:val="20"/>
        </w:rPr>
        <w:t xml:space="preserve">Menu: "E27 Screw Bulbs" nested correctly under "LED Bulb" before saving.</w:t>
      </w:r>
    </w:p>
    <w:p>
      <w:pPr>
        <w:spacing w:after="300"/>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990975"/>
                    </a:xfrm>
                    <a:prstGeom prst="rect">
                      <a:avLst/>
                    </a:prstGeom>
                  </pic:spPr>
                </pic:pic>
              </a:graphicData>
            </a:graphic>
          </wp:inline>
        </w:drawing>
      </w:r>
    </w:p>
    <w:p>
      <w:pPr>
        <w:spacing w:after="200"/>
      </w:pPr>
      <w:r>
        <w:rPr>
          <w:i/>
          <w:iCs/>
          <w:color w:val="555555"/>
          <w:sz w:val="20"/>
          <w:szCs w:val="20"/>
        </w:rPr>
        <w:t xml:space="preserve">Confirmed live: main menu shows clean "LED BULB" with the nested dropdown, no stray top-level item.</w:t>
      </w:r>
    </w:p>
    <w:p>
      <w:pPr>
        <w:spacing w:after="300"/>
        <w:jc w:val="center"/>
      </w:pPr>
      <w:r>
        <w:drawing>
          <wp:inline distT="0" distB="0" distL="0" distR="0">
            <wp:extent cx="5334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533525"/>
                    </a:xfrm>
                    <a:prstGeom prst="rect">
                      <a:avLst/>
                    </a:prstGeom>
                  </pic:spPr>
                </pic:pic>
              </a:graphicData>
            </a:graphic>
          </wp:inline>
        </w:drawing>
      </w:r>
    </w:p>
    <w:p>
      <w:pPr>
        <w:spacing w:after="200"/>
      </w:pPr>
      <w:r>
        <w:rPr>
          <w:i/>
          <w:iCs/>
          <w:color w:val="555555"/>
          <w:sz w:val="20"/>
          <w:szCs w:val="20"/>
        </w:rPr>
        <w:t xml:space="preserve">LED Bulb collection page: new "Shop E27 (Edison Screw) bulbs" link added and confirmed live.</w:t>
      </w:r>
    </w:p>
    <w:p>
      <w:pPr>
        <w:spacing w:after="30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19400"/>
                    </a:xfrm>
                    <a:prstGeom prst="rect">
                      <a:avLst/>
                    </a:prstGeom>
                  </pic:spPr>
                </pic:pic>
              </a:graphicData>
            </a:graphic>
          </wp:inline>
        </w:drawing>
      </w:r>
    </w:p>
    <w:p>
      <w:r>
        <w:br w:type="page"/>
      </w:r>
    </w:p>
    <w:p>
      <w:pPr>
        <w:pStyle w:val="Heading2"/>
        <w:spacing w:after="120" w:before="400"/>
      </w:pPr>
      <w:r>
        <w:rPr>
          <w:b/>
          <w:bCs/>
        </w:rPr>
        <w:t xml:space="preserve">9. P1 — Product 1025 Description Rewritten</w:t>
      </w:r>
    </w:p>
    <w:p>
      <w:pPr>
        <w:spacing w:after="200"/>
      </w:pPr>
      <w:r>
        <w:rPr>
          <w:i/>
          <w:iCs/>
          <w:color w:val="555555"/>
          <w:sz w:val="20"/>
          <w:szCs w:val="20"/>
        </w:rPr>
        <w:t xml:space="preserve">Old description (factual errors: wrong colour temperature, wrong shape, US spelling) replaced with the approved short intro. Thuwaraga approved.</w:t>
      </w:r>
    </w:p>
    <w:p>
      <w:pPr>
        <w:spacing w:after="30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66950"/>
                    </a:xfrm>
                    <a:prstGeom prst="rect">
                      <a:avLst/>
                    </a:prstGeom>
                  </pic:spPr>
                </pic:pic>
              </a:graphicData>
            </a:graphic>
          </wp:inline>
        </w:drawing>
      </w:r>
    </w:p>
    <w:p>
      <w:r>
        <w:br w:type="page"/>
      </w:r>
    </w:p>
    <w:p>
      <w:pPr>
        <w:pStyle w:val="Heading2"/>
        <w:spacing w:after="120" w:before="400"/>
      </w:pPr>
      <w:r>
        <w:rPr>
          <w:b/>
          <w:bCs/>
        </w:rPr>
        <w:t xml:space="preserve">Outstanding</w:t>
      </w:r>
    </w:p>
    <w:p>
      <w:r>
        <w:rPr>
          <w:sz w:val="22"/>
          <w:szCs w:val="22"/>
        </w:rPr>
        <w:t xml:space="preserve">C3's collection-page fixes are built on the duplicate theme ("Tinker - E27 model DRAFT") and awaiting Muguntha's approval before publishing to the live theme.</w:t>
      </w:r>
    </w:p>
    <w:p>
      <w:pPr>
        <w:spacing w:before="200"/>
      </w:pPr>
      <w:r>
        <w:rPr>
          <w:sz w:val="22"/>
          <w:szCs w:val="22"/>
        </w:rPr>
        <w:t xml:space="preserve">Dates for the remaining tasks (C2, C5-C11, P3-P11, G4-G6) per the original schedule: Wednesday 7 October, Monday 12 October, with AI re-review of all three pages on Thursday 15 October.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a1db87285521390a23ee5ded072211fccf2cbc.png"/><Relationship Id="rId8" Type="http://schemas.openxmlformats.org/officeDocument/2006/relationships/image" Target="media/89b2c4c375316264b1af1d3ffbda1224cbeace6a.png"/><Relationship Id="rId9" Type="http://schemas.openxmlformats.org/officeDocument/2006/relationships/image" Target="media/beea4b6ea994b5b58688484ee1edbdbe5734d504.png"/><Relationship Id="rId10" Type="http://schemas.openxmlformats.org/officeDocument/2006/relationships/image" Target="media/1f919922cb9c3bbd5b0875a38a47c8af6f340f9f.png"/><Relationship Id="rId11" Type="http://schemas.openxmlformats.org/officeDocument/2006/relationships/image" Target="media/2d3c73ab31b8a576a69024caa06297364ce6da7e.png"/><Relationship Id="rId12" Type="http://schemas.openxmlformats.org/officeDocument/2006/relationships/image" Target="media/42e672b68d48a2cad47632e1a2faa6020baf3232.png"/><Relationship Id="rId13" Type="http://schemas.openxmlformats.org/officeDocument/2006/relationships/image" Target="media/3604c6a22fac5dc4a7c522a4fd8d72ec14659bca.png"/><Relationship Id="rId14" Type="http://schemas.openxmlformats.org/officeDocument/2006/relationships/image" Target="media/1263b51ac6fed79162941698a0805b8c1668224b.png"/><Relationship Id="rId15" Type="http://schemas.openxmlformats.org/officeDocument/2006/relationships/image" Target="media/7340c5ffc775bff204c43ec42abafa44099adfdd.png"/><Relationship Id="rId16" Type="http://schemas.openxmlformats.org/officeDocument/2006/relationships/image" Target="media/362de419cfa1a7aa1d254b964d1e1586ffa2348d.png"/><Relationship Id="rId17" Type="http://schemas.openxmlformats.org/officeDocument/2006/relationships/image" Target="media/c87e5fb102f9dcc3bc617fc2b7c38f271cc449a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2026-10-02T10:32:57.554Z</dcterms:created>
  <dcterms:modified xsi:type="dcterms:W3CDTF">2026-10-02T10:32:57.556Z</dcterms:modified>
</cp:coreProperties>
</file>

<file path=docProps/custom.xml><?xml version="1.0" encoding="utf-8"?>
<Properties xmlns="http://schemas.openxmlformats.org/officeDocument/2006/custom-properties" xmlns:vt="http://schemas.openxmlformats.org/officeDocument/2006/docPropsVTypes"/>
</file>