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0"/>
      </w:pPr>
      <w:r>
        <w:t xml:space="preserve"/>
      </w:r>
    </w:p>
    <w:p>
      <w:pPr>
        <w:spacing w:before="0" w:after="0"/>
        <w:jc w:val="center"/>
      </w:pPr>
      <w:r>
        <w:rPr>
          <w:rFonts w:ascii="Georgia" w:cs="Georgia" w:eastAsia="Georgia" w:hAnsi="Georgia"/>
          <w:b/>
          <w:bCs/>
          <w:color w:val="042C53"/>
          <w:sz w:val="128"/>
          <w:szCs w:val="128"/>
        </w:rPr>
        <w:t xml:space="preserve">kaya</w:t>
      </w:r>
    </w:p>
    <w:p>
      <w:pPr>
        <w:spacing w:before="80" w:after="80"/>
        <w:jc w:val="center"/>
      </w:pPr>
      <w:r>
        <w:rPr>
          <w:rFonts w:ascii="Arial" w:cs="Arial" w:eastAsia="Arial" w:hAnsi="Arial"/>
          <w:color w:val="1D9E75"/>
          <w:sz w:val="22"/>
          <w:szCs w:val="22"/>
        </w:rPr>
        <w:t xml:space="preserve">─────────────────────────────────────</w:t>
      </w:r>
    </w:p>
    <w:p>
      <w:pPr>
        <w:spacing w:before="0" w:after="160"/>
        <w:jc w:val="center"/>
      </w:pPr>
      <w:r>
        <w:rPr>
          <w:rFonts w:ascii="Arial" w:cs="Arial" w:eastAsia="Arial" w:hAnsi="Arial"/>
          <w:color w:val="185FA5"/>
          <w:sz w:val="36"/>
          <w:szCs w:val="36"/>
        </w:rPr>
        <w:t xml:space="preserve">Brand Guidelines</w:t>
      </w:r>
    </w:p>
    <w:p>
      <w:pPr>
        <w:spacing w:before="0" w:after="40"/>
        <w:jc w:val="center"/>
      </w:pPr>
      <w:r>
        <w:rPr>
          <w:rFonts w:ascii="Arial" w:cs="Arial" w:eastAsia="Arial" w:hAnsi="Arial"/>
          <w:color w:val="5F5E5A"/>
          <w:sz w:val="20"/>
          <w:szCs w:val="20"/>
        </w:rPr>
        <w:t xml:space="preserve">Version 1.0  ·  March 2026</w:t>
      </w:r>
    </w:p>
    <w:p>
      <w:pPr>
        <w:spacing w:before="0" w:after="0"/>
        <w:jc w:val="center"/>
      </w:pPr>
      <w:r>
        <w:rPr>
          <w:rFonts w:ascii="Arial" w:cs="Arial" w:eastAsia="Arial" w:hAnsi="Arial"/>
          <w:color w:val="5F5E5A"/>
          <w:sz w:val="20"/>
          <w:szCs w:val="20"/>
        </w:rPr>
        <w:t xml:space="preserve">Virtualahan Inc.  ·  kaya.work</w:t>
      </w:r>
    </w:p>
    <w:p>
      <w:pPr>
        <w:spacing w:before="0" w:after="2800"/>
      </w:pPr>
      <w:r>
        <w:t xml:space="preserve"/>
      </w:r>
    </w:p>
    <w:p>
      <w:r>
        <w:br w:type="page"/>
      </w:r>
    </w:p>
    <w:p>
      <w:pPr>
        <w:sectPr>
          <w:pgSz w:w="12240" w:h="15840" w:orient="portrait"/>
          <w:pgMar w:top="1440" w:right="1440" w:bottom="1440" w:left="1440" w:header="708" w:footer="708" w:gutter="0"/>
          <w:pgNumType/>
          <w:docGrid w:linePitch="360"/>
        </w:sectPr>
      </w:pP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1. Brand foundation</w:t>
      </w:r>
    </w:p>
    <w:p>
      <w:pPr>
        <w:pStyle w:val="Heading2"/>
        <w:spacing w:before="360" w:after="120"/>
      </w:pPr>
      <w:r>
        <w:rPr>
          <w:rFonts w:ascii="Arial" w:cs="Arial" w:eastAsia="Arial" w:hAnsi="Arial"/>
          <w:b/>
          <w:bCs/>
          <w:color w:val="0C447C"/>
          <w:sz w:val="26"/>
          <w:szCs w:val="26"/>
        </w:rPr>
        <w:t xml:space="preserve">What Kaya is</w:t>
      </w:r>
    </w:p>
    <w:p>
      <w:pPr>
        <w:spacing w:before="0" w:after="120"/>
        <w:jc w:val="both"/>
      </w:pPr>
      <w:r>
        <w:rPr>
          <w:rFonts w:ascii="Arial" w:cs="Arial" w:eastAsia="Arial" w:hAnsi="Arial"/>
          <w:color w:val="5F5E5A"/>
          <w:sz w:val="22"/>
          <w:szCs w:val="22"/>
        </w:rPr>
        <w:t xml:space="preserve">Kaya is the hiring intelligence platform built by Virtualahan. It replaces credential-first screening with a three-gate model built on alignment, evidence, and predictability — while preserving inclusion, accessibility, and employer speed. Every candidate who completes the Kaya process is proven, not just qualified on paper.</w:t>
      </w:r>
    </w:p>
    <w:p>
      <w:pPr>
        <w:spacing w:before="0" w:after="80"/>
      </w:pPr>
      <w:r>
        <w:t xml:space="preserve"/>
      </w:r>
    </w:p>
    <w:p>
      <w:pPr>
        <w:spacing w:before="0" w:after="120"/>
        <w:jc w:val="both"/>
      </w:pPr>
      <w:r>
        <w:rPr>
          <w:rFonts w:ascii="Arial" w:cs="Arial" w:eastAsia="Arial" w:hAnsi="Arial"/>
          <w:color w:val="5F5E5A"/>
          <w:sz w:val="22"/>
          <w:szCs w:val="22"/>
        </w:rPr>
        <w:t xml:space="preserve">The name comes from the Filipino word for capable — kaya ko, I can do this. It is also the word for home and work in Swahili. Short enough to own globally. Rooted enough to mean something.</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Brand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Purpose</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To make capability visible — for every person who has skills the world has not yet seen.</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The three brand truths</w:t>
      </w:r>
    </w:p>
    <w:p>
      <w:pPr>
        <w:pStyle w:val="ListParagraph"/>
        <w:numPr>
          <w:ilvl w:val="0"/>
          <w:numId w:val="2"/>
        </w:numPr>
        <w:spacing w:before="0" w:after="80"/>
      </w:pPr>
      <w:r>
        <w:rPr>
          <w:rFonts w:ascii="Arial" w:cs="Arial" w:eastAsia="Arial" w:hAnsi="Arial"/>
          <w:color w:val="5F5E5A"/>
          <w:sz w:val="22"/>
          <w:szCs w:val="22"/>
        </w:rPr>
        <w:t xml:space="preserve">Skills are everywhere. Credentials are not a proxy for capability — lived experience is evidence.</w:t>
      </w:r>
    </w:p>
    <w:p>
      <w:pPr>
        <w:pStyle w:val="ListParagraph"/>
        <w:numPr>
          <w:ilvl w:val="0"/>
          <w:numId w:val="2"/>
        </w:numPr>
        <w:spacing w:before="0" w:after="80"/>
      </w:pPr>
      <w:r>
        <w:rPr>
          <w:rFonts w:ascii="Arial" w:cs="Arial" w:eastAsia="Arial" w:hAnsi="Arial"/>
          <w:color w:val="5F5E5A"/>
          <w:sz w:val="22"/>
          <w:szCs w:val="22"/>
        </w:rPr>
        <w:t xml:space="preserve">Employers deserve intelligence, not paperwork. Kaya gives hiring managers a verified picture, not a pile of CVs.</w:t>
      </w:r>
    </w:p>
    <w:p>
      <w:pPr>
        <w:pStyle w:val="ListParagraph"/>
        <w:numPr>
          <w:ilvl w:val="0"/>
          <w:numId w:val="2"/>
        </w:numPr>
        <w:spacing w:before="0" w:after="80"/>
      </w:pPr>
      <w:r>
        <w:rPr>
          <w:rFonts w:ascii="Arial" w:cs="Arial" w:eastAsia="Arial" w:hAnsi="Arial"/>
          <w:color w:val="5F5E5A"/>
          <w:sz w:val="22"/>
          <w:szCs w:val="22"/>
        </w:rPr>
        <w:t xml:space="preserve">The system should work for both sides. A jobseeker who does not advance still gets feedback, alternatives, and a path forward.</w:t>
      </w:r>
    </w:p>
    <w:p>
      <w:pPr>
        <w:spacing w:before="0" w:after="200"/>
      </w:pPr>
      <w:r>
        <w:t xml:space="preserve"/>
      </w:r>
    </w:p>
    <w:p>
      <w:pPr>
        <w:pStyle w:val="Heading2"/>
        <w:spacing w:before="360" w:after="120"/>
      </w:pPr>
      <w:r>
        <w:rPr>
          <w:rFonts w:ascii="Arial" w:cs="Arial" w:eastAsia="Arial" w:hAnsi="Arial"/>
          <w:b/>
          <w:bCs/>
          <w:color w:val="0C447C"/>
          <w:sz w:val="26"/>
          <w:szCs w:val="26"/>
        </w:rPr>
        <w:t xml:space="preserve">Brand personality</w:t>
      </w:r>
    </w:p>
    <w:p>
      <w:pPr>
        <w:spacing w:before="0" w:after="120"/>
        <w:jc w:val="both"/>
      </w:pPr>
      <w:r>
        <w:rPr>
          <w:rFonts w:ascii="Arial" w:cs="Arial" w:eastAsia="Arial" w:hAnsi="Arial"/>
          <w:color w:val="5F5E5A"/>
          <w:sz w:val="22"/>
          <w:szCs w:val="22"/>
        </w:rPr>
        <w:t xml:space="preserve">Kaya leads with confidence, not charity. The brand feels like a serious B2B intelligence platform — the kind that a CHRO at Cebuana or a talent director at Accenture would deploy without hesitation. The warmth is present but earned through outcomes, not announced through messaging.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42C53" w:val="clear"/>
            <w:tcMar>
              <w:top w:type="dxa" w:w="120"/>
              <w:left w:type="dxa" w:w="0"/>
              <w:bottom w:type="dxa" w:w="120"/>
              <w:right w:type="dxa" w:w="0"/>
            </w:tcMar>
          </w:tcPr>
          <w:p>
            <w:pPr>
              <w:jc w:val="center"/>
            </w:pPr>
            <w:r>
              <w:rPr>
                <w:rFonts w:ascii="Arial" w:cs="Arial" w:eastAsia="Arial" w:hAnsi="Arial"/>
                <w:b/>
                <w:bCs/>
                <w:color w:val="E6F1FB"/>
                <w:sz w:val="22"/>
                <w:szCs w:val="22"/>
              </w:rPr>
              <w:t xml:space="preserve">Confident</w:t>
            </w:r>
          </w:p>
        </w:tc>
        <w:tc>
          <w:tcPr>
            <w:tcW w:type="dxa" w:w="2340"/>
            <w:tcBorders>
              <w:top w:val="none" w:color="FFFFFF" w:sz="0"/>
              <w:left w:val="none" w:color="FFFFFF" w:sz="0"/>
              <w:bottom w:val="none" w:color="FFFFFF" w:sz="0"/>
              <w:right w:val="none" w:color="FFFFFF" w:sz="0"/>
            </w:tcBorders>
            <w:shd w:fill="042C53" w:val="clear"/>
            <w:tcMar>
              <w:top w:type="dxa" w:w="120"/>
              <w:left w:type="dxa" w:w="0"/>
              <w:bottom w:type="dxa" w:w="120"/>
              <w:right w:type="dxa" w:w="0"/>
            </w:tcMar>
          </w:tcPr>
          <w:p>
            <w:pPr>
              <w:jc w:val="center"/>
            </w:pPr>
            <w:r>
              <w:rPr>
                <w:rFonts w:ascii="Arial" w:cs="Arial" w:eastAsia="Arial" w:hAnsi="Arial"/>
                <w:b/>
                <w:bCs/>
                <w:color w:val="E6F1FB"/>
                <w:sz w:val="22"/>
                <w:szCs w:val="22"/>
              </w:rPr>
              <w:t xml:space="preserve">Precise</w:t>
            </w:r>
          </w:p>
        </w:tc>
        <w:tc>
          <w:tcPr>
            <w:tcW w:type="dxa" w:w="2340"/>
            <w:tcBorders>
              <w:top w:val="none" w:color="FFFFFF" w:sz="0"/>
              <w:left w:val="none" w:color="FFFFFF" w:sz="0"/>
              <w:bottom w:val="none" w:color="FFFFFF" w:sz="0"/>
              <w:right w:val="none" w:color="FFFFFF" w:sz="0"/>
            </w:tcBorders>
            <w:shd w:fill="042C53" w:val="clear"/>
            <w:tcMar>
              <w:top w:type="dxa" w:w="120"/>
              <w:left w:type="dxa" w:w="0"/>
              <w:bottom w:type="dxa" w:w="120"/>
              <w:right w:type="dxa" w:w="0"/>
            </w:tcMar>
          </w:tcPr>
          <w:p>
            <w:pPr>
              <w:jc w:val="center"/>
            </w:pPr>
            <w:r>
              <w:rPr>
                <w:rFonts w:ascii="Arial" w:cs="Arial" w:eastAsia="Arial" w:hAnsi="Arial"/>
                <w:b/>
                <w:bCs/>
                <w:color w:val="E6F1FB"/>
                <w:sz w:val="22"/>
                <w:szCs w:val="22"/>
              </w:rPr>
              <w:t xml:space="preserve">Human</w:t>
            </w:r>
          </w:p>
        </w:tc>
        <w:tc>
          <w:tcPr>
            <w:tcW w:type="dxa" w:w="2340"/>
            <w:tcBorders>
              <w:top w:val="none" w:color="FFFFFF" w:sz="0"/>
              <w:left w:val="none" w:color="FFFFFF" w:sz="0"/>
              <w:bottom w:val="none" w:color="FFFFFF" w:sz="0"/>
              <w:right w:val="none" w:color="FFFFFF" w:sz="0"/>
            </w:tcBorders>
            <w:shd w:fill="042C53" w:val="clear"/>
            <w:tcMar>
              <w:top w:type="dxa" w:w="120"/>
              <w:left w:type="dxa" w:w="0"/>
              <w:bottom w:type="dxa" w:w="120"/>
              <w:right w:type="dxa" w:w="0"/>
            </w:tcMar>
          </w:tcPr>
          <w:p>
            <w:pPr>
              <w:jc w:val="center"/>
            </w:pPr>
            <w:r>
              <w:rPr>
                <w:rFonts w:ascii="Arial" w:cs="Arial" w:eastAsia="Arial" w:hAnsi="Arial"/>
                <w:b/>
                <w:bCs/>
                <w:color w:val="E6F1FB"/>
                <w:sz w:val="22"/>
                <w:szCs w:val="22"/>
              </w:rPr>
              <w:t xml:space="preserve">Optimistic</w:t>
            </w:r>
          </w:p>
        </w:tc>
      </w:tr>
      <w:tr>
        <w:tc>
          <w:tcPr>
            <w:tcW w:type="dxa" w:w="2340"/>
            <w:tcBorders>
              <w:top w:val="none" w:color="FFFFFF" w:sz="0"/>
              <w:left w:val="single" w:color="D3D1C7" w:sz="4"/>
              <w:bottom w:val="single" w:color="D3D1C7" w:sz="4"/>
              <w:right w:val="single" w:color="D3D1C7" w:sz="4"/>
            </w:tcBorders>
            <w:shd w:fill="E6F1FB" w:val="clear"/>
            <w:tcMar>
              <w:top w:type="dxa" w:w="120"/>
              <w:left w:type="dxa" w:w="120"/>
              <w:bottom w:type="dxa" w:w="120"/>
              <w:right w:type="dxa" w:w="120"/>
            </w:tcMar>
          </w:tcPr>
          <w:p>
            <w:r>
              <w:rPr>
                <w:rFonts w:ascii="Arial" w:cs="Arial" w:eastAsia="Arial" w:hAnsi="Arial"/>
                <w:color w:val="0C447C"/>
                <w:sz w:val="18"/>
                <w:szCs w:val="18"/>
              </w:rPr>
              <w:t xml:space="preserve">We know this works. 10 years of data backs every claim.</w:t>
            </w:r>
          </w:p>
        </w:tc>
        <w:tc>
          <w:tcPr>
            <w:tcW w:type="dxa" w:w="2340"/>
            <w:tcBorders>
              <w:top w:val="none" w:color="FFFFFF" w:sz="0"/>
              <w:left w:val="single" w:color="D3D1C7" w:sz="4"/>
              <w:bottom w:val="single" w:color="D3D1C7" w:sz="4"/>
              <w:right w:val="single" w:color="D3D1C7" w:sz="4"/>
            </w:tcBorders>
            <w:shd w:fill="E6F1FB" w:val="clear"/>
            <w:tcMar>
              <w:top w:type="dxa" w:w="120"/>
              <w:left w:type="dxa" w:w="120"/>
              <w:bottom w:type="dxa" w:w="120"/>
              <w:right w:type="dxa" w:w="120"/>
            </w:tcMar>
          </w:tcPr>
          <w:p>
            <w:r>
              <w:rPr>
                <w:rFonts w:ascii="Arial" w:cs="Arial" w:eastAsia="Arial" w:hAnsi="Arial"/>
                <w:color w:val="0C447C"/>
                <w:sz w:val="18"/>
                <w:szCs w:val="18"/>
              </w:rPr>
              <w:t xml:space="preserve">Every gate, every score, every recommendation is explainable.</w:t>
            </w:r>
          </w:p>
        </w:tc>
        <w:tc>
          <w:tcPr>
            <w:tcW w:type="dxa" w:w="2340"/>
            <w:tcBorders>
              <w:top w:val="none" w:color="FFFFFF" w:sz="0"/>
              <w:left w:val="single" w:color="D3D1C7" w:sz="4"/>
              <w:bottom w:val="single" w:color="D3D1C7" w:sz="4"/>
              <w:right w:val="single" w:color="D3D1C7" w:sz="4"/>
            </w:tcBorders>
            <w:shd w:fill="E6F1FB" w:val="clear"/>
            <w:tcMar>
              <w:top w:type="dxa" w:w="120"/>
              <w:left w:type="dxa" w:w="120"/>
              <w:bottom w:type="dxa" w:w="120"/>
              <w:right w:type="dxa" w:w="120"/>
            </w:tcMar>
          </w:tcPr>
          <w:p>
            <w:r>
              <w:rPr>
                <w:rFonts w:ascii="Arial" w:cs="Arial" w:eastAsia="Arial" w:hAnsi="Arial"/>
                <w:color w:val="0C447C"/>
                <w:sz w:val="18"/>
                <w:szCs w:val="18"/>
              </w:rPr>
              <w:t xml:space="preserve">There are people in this system. We never let the platform forget that.</w:t>
            </w:r>
          </w:p>
        </w:tc>
        <w:tc>
          <w:tcPr>
            <w:tcW w:type="dxa" w:w="2340"/>
            <w:tcBorders>
              <w:top w:val="none" w:color="FFFFFF" w:sz="0"/>
              <w:left w:val="single" w:color="D3D1C7" w:sz="4"/>
              <w:bottom w:val="single" w:color="D3D1C7" w:sz="4"/>
              <w:right w:val="single" w:color="D3D1C7" w:sz="4"/>
            </w:tcBorders>
            <w:shd w:fill="E6F1FB" w:val="clear"/>
            <w:tcMar>
              <w:top w:type="dxa" w:w="120"/>
              <w:left w:type="dxa" w:w="120"/>
              <w:bottom w:type="dxa" w:w="120"/>
              <w:right w:type="dxa" w:w="120"/>
            </w:tcMar>
          </w:tcPr>
          <w:p>
            <w:r>
              <w:rPr>
                <w:rFonts w:ascii="Arial" w:cs="Arial" w:eastAsia="Arial" w:hAnsi="Arial"/>
                <w:color w:val="0C447C"/>
                <w:sz w:val="18"/>
                <w:szCs w:val="18"/>
              </w:rPr>
              <w:t xml:space="preserve">Every person who enters Kaya has somewhere to go.</w:t>
            </w:r>
          </w:p>
        </w:tc>
      </w:tr>
    </w:tbl>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2. Logo system</w:t>
      </w:r>
    </w:p>
    <w:p>
      <w:pPr>
        <w:pStyle w:val="Heading2"/>
        <w:spacing w:before="360" w:after="120"/>
      </w:pPr>
      <w:r>
        <w:rPr>
          <w:rFonts w:ascii="Arial" w:cs="Arial" w:eastAsia="Arial" w:hAnsi="Arial"/>
          <w:b/>
          <w:bCs/>
          <w:color w:val="0C447C"/>
          <w:sz w:val="26"/>
          <w:szCs w:val="26"/>
        </w:rPr>
        <w:t xml:space="preserve">The bloom mark</w:t>
      </w:r>
    </w:p>
    <w:p>
      <w:pPr>
        <w:spacing w:before="0" w:after="120"/>
        <w:jc w:val="both"/>
      </w:pPr>
      <w:r>
        <w:rPr>
          <w:rFonts w:ascii="Arial" w:cs="Arial" w:eastAsia="Arial" w:hAnsi="Arial"/>
          <w:color w:val="5F5E5A"/>
          <w:sz w:val="22"/>
          <w:szCs w:val="22"/>
        </w:rPr>
        <w:t xml:space="preserve">The primary logo is the bloom network mark paired with the wordmark "kaya" in Georgia. The mark depicts a single node at the centre — the candidate — with seven lines radiating outward to peer nodes. Two nodes at the base are rendered in Proof Green, representing the jobseeker and employer finally connected. The remaining nodes are in Navy 600, representing the broader network Virtualahan has built over ten years.</w:t>
      </w:r>
    </w:p>
    <w:p>
      <w:pPr>
        <w:spacing w:before="0" w:after="80"/>
      </w:pPr>
      <w:r>
        <w:t xml:space="preserve"/>
      </w:r>
    </w:p>
    <w:p>
      <w:pPr>
        <w:spacing w:before="0" w:after="120"/>
        <w:jc w:val="both"/>
      </w:pPr>
      <w:r>
        <w:rPr>
          <w:rFonts w:ascii="Arial" w:cs="Arial" w:eastAsia="Arial" w:hAnsi="Arial"/>
          <w:color w:val="5F5E5A"/>
          <w:sz w:val="22"/>
          <w:szCs w:val="22"/>
        </w:rPr>
        <w:t xml:space="preserve">The mark is not an abstract geometric pattern. It is a literal representation of what Virtualahan does: take one person and connect them to a world that was previously out of reach.</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Logo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42C53" w:val="clear"/>
            <w:tcMar>
              <w:top w:type="dxa" w:w="100"/>
              <w:left w:type="dxa" w:w="0"/>
              <w:bottom w:type="dxa" w:w="100"/>
              <w:right w:type="dxa" w:w="0"/>
            </w:tcMar>
          </w:tcPr>
          <w:p>
            <w:pPr>
              <w:jc w:val="center"/>
            </w:pPr>
            <w:r>
              <w:rPr>
                <w:rFonts w:ascii="Arial" w:cs="Arial" w:eastAsia="Arial" w:hAnsi="Arial"/>
                <w:b/>
                <w:bCs/>
                <w:color w:val="E6F1FB"/>
                <w:sz w:val="20"/>
                <w:szCs w:val="20"/>
              </w:rPr>
              <w:t xml:space="preserve">Primary</w:t>
            </w:r>
          </w:p>
        </w:tc>
        <w:tc>
          <w:tcPr>
            <w:tcW w:type="dxa" w:w="3120"/>
            <w:tcBorders>
              <w:top w:val="none" w:color="FFFFFF" w:sz="0"/>
              <w:left w:val="none" w:color="FFFFFF" w:sz="0"/>
              <w:bottom w:val="none" w:color="FFFFFF" w:sz="0"/>
              <w:right w:val="none" w:color="FFFFFF" w:sz="0"/>
            </w:tcBorders>
            <w:shd w:fill="042C53" w:val="clear"/>
            <w:tcMar>
              <w:top w:type="dxa" w:w="100"/>
              <w:left w:type="dxa" w:w="0"/>
              <w:bottom w:type="dxa" w:w="100"/>
              <w:right w:type="dxa" w:w="0"/>
            </w:tcMar>
          </w:tcPr>
          <w:p>
            <w:pPr>
              <w:jc w:val="center"/>
            </w:pPr>
            <w:r>
              <w:rPr>
                <w:rFonts w:ascii="Arial" w:cs="Arial" w:eastAsia="Arial" w:hAnsi="Arial"/>
                <w:b/>
                <w:bCs/>
                <w:color w:val="E6F1FB"/>
                <w:sz w:val="20"/>
                <w:szCs w:val="20"/>
              </w:rPr>
              <w:t xml:space="preserve">Mark only</w:t>
            </w:r>
          </w:p>
        </w:tc>
        <w:tc>
          <w:tcPr>
            <w:tcW w:type="dxa" w:w="3120"/>
            <w:tcBorders>
              <w:top w:val="none" w:color="FFFFFF" w:sz="0"/>
              <w:left w:val="none" w:color="FFFFFF" w:sz="0"/>
              <w:bottom w:val="none" w:color="FFFFFF" w:sz="0"/>
              <w:right w:val="none" w:color="FFFFFF" w:sz="0"/>
            </w:tcBorders>
            <w:shd w:fill="042C53" w:val="clear"/>
            <w:tcMar>
              <w:top w:type="dxa" w:w="100"/>
              <w:left w:type="dxa" w:w="0"/>
              <w:bottom w:type="dxa" w:w="100"/>
              <w:right w:type="dxa" w:w="0"/>
            </w:tcMar>
          </w:tcPr>
          <w:p>
            <w:pPr>
              <w:jc w:val="center"/>
            </w:pPr>
            <w:r>
              <w:rPr>
                <w:rFonts w:ascii="Arial" w:cs="Arial" w:eastAsia="Arial" w:hAnsi="Arial"/>
                <w:b/>
                <w:bCs/>
                <w:color w:val="E6F1FB"/>
                <w:sz w:val="20"/>
                <w:szCs w:val="20"/>
              </w:rPr>
              <w:t xml:space="preserve">Wordmark only</w:t>
            </w:r>
          </w:p>
        </w:tc>
      </w:tr>
      <w:tr>
        <w:tc>
          <w:tcPr>
            <w:tcW w:type="dxa" w:w="3120"/>
            <w:tcBorders>
              <w:top w:val="single" w:color="D3D1C7" w:sz="4"/>
              <w:left w:val="single" w:color="D3D1C7" w:sz="4"/>
              <w:bottom w:val="single" w:color="D3D1C7" w:sz="4"/>
              <w:right w:val="single" w:color="D3D1C7" w:sz="4"/>
            </w:tcBorders>
            <w:shd w:fill="F1EFE8" w:val="clear"/>
            <w:tcMar>
              <w:top w:type="dxa" w:w="140"/>
              <w:left w:type="dxa" w:w="140"/>
              <w:bottom w:type="dxa" w:w="140"/>
              <w:right w:type="dxa" w:w="140"/>
            </w:tcMar>
          </w:tcPr>
          <w:p>
            <w:r>
              <w:rPr>
                <w:rFonts w:ascii="Arial" w:cs="Arial" w:eastAsia="Arial" w:hAnsi="Arial"/>
                <w:color w:val="5F5E5A"/>
                <w:sz w:val="20"/>
                <w:szCs w:val="20"/>
              </w:rPr>
              <w:t xml:space="preserve">Mark + wordmark side by side. Default for all branded materials.</w:t>
            </w:r>
          </w:p>
        </w:tc>
        <w:tc>
          <w:tcPr>
            <w:tcW w:type="dxa" w:w="3120"/>
            <w:tcBorders>
              <w:top w:val="single" w:color="D3D1C7" w:sz="4"/>
              <w:left w:val="single" w:color="D3D1C7" w:sz="4"/>
              <w:bottom w:val="single" w:color="D3D1C7" w:sz="4"/>
              <w:right w:val="single" w:color="D3D1C7" w:sz="4"/>
            </w:tcBorders>
            <w:shd w:fill="F1EFE8" w:val="clear"/>
            <w:tcMar>
              <w:top w:type="dxa" w:w="140"/>
              <w:left w:type="dxa" w:w="140"/>
              <w:bottom w:type="dxa" w:w="140"/>
              <w:right w:type="dxa" w:w="140"/>
            </w:tcMar>
          </w:tcPr>
          <w:p>
            <w:r>
              <w:rPr>
                <w:rFonts w:ascii="Arial" w:cs="Arial" w:eastAsia="Arial" w:hAnsi="Arial"/>
                <w:color w:val="5F5E5A"/>
                <w:sz w:val="20"/>
                <w:szCs w:val="20"/>
              </w:rPr>
              <w:t xml:space="preserve">Use when the mark is displayed at 32px or smaller, or in icon/favicon contexts.</w:t>
            </w:r>
          </w:p>
        </w:tc>
        <w:tc>
          <w:tcPr>
            <w:tcW w:type="dxa" w:w="3120"/>
            <w:tcBorders>
              <w:top w:val="single" w:color="D3D1C7" w:sz="4"/>
              <w:left w:val="single" w:color="D3D1C7" w:sz="4"/>
              <w:bottom w:val="single" w:color="D3D1C7" w:sz="4"/>
              <w:right w:val="single" w:color="D3D1C7" w:sz="4"/>
            </w:tcBorders>
            <w:shd w:fill="F1EFE8" w:val="clear"/>
            <w:tcMar>
              <w:top w:type="dxa" w:w="140"/>
              <w:left w:type="dxa" w:w="140"/>
              <w:bottom w:type="dxa" w:w="140"/>
              <w:right w:type="dxa" w:w="140"/>
            </w:tcMar>
          </w:tcPr>
          <w:p>
            <w:r>
              <w:rPr>
                <w:rFonts w:ascii="Arial" w:cs="Arial" w:eastAsia="Arial" w:hAnsi="Arial"/>
                <w:color w:val="5F5E5A"/>
                <w:sz w:val="20"/>
                <w:szCs w:val="20"/>
              </w:rPr>
              <w:t xml:space="preserve">Use when the mark cannot be reproduced cleanly — email plain text, embossing, engraving.</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Clear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Rule</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Maintain clear space equal to the height of the lowercase "k" in the wordmark on all four sides of the logo. No text, imagery, or graphic element may enter this zone.</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Minimum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Digital</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Primary logo: 120px wide minimum. Mark only: 24px minimum.</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Print</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Primary logo: 30mm wide minimum. Mark only: 8mm minimum.</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Approved colour treatments</w:t>
      </w:r>
    </w:p>
    <w:p>
      <w:pPr>
        <w:pStyle w:val="ListParagraph"/>
        <w:numPr>
          <w:ilvl w:val="0"/>
          <w:numId w:val="2"/>
        </w:numPr>
        <w:spacing w:before="0" w:after="80"/>
      </w:pPr>
      <w:r>
        <w:rPr>
          <w:rFonts w:ascii="Arial" w:cs="Arial" w:eastAsia="Arial" w:hAnsi="Arial"/>
          <w:color w:val="5F5E5A"/>
          <w:sz w:val="22"/>
          <w:szCs w:val="22"/>
        </w:rPr>
        <w:t xml:space="preserve">Full colour on white or Stone 50 — preferred default.</w:t>
      </w:r>
    </w:p>
    <w:p>
      <w:pPr>
        <w:pStyle w:val="ListParagraph"/>
        <w:numPr>
          <w:ilvl w:val="0"/>
          <w:numId w:val="2"/>
        </w:numPr>
        <w:spacing w:before="0" w:after="80"/>
      </w:pPr>
      <w:r>
        <w:rPr>
          <w:rFonts w:ascii="Arial" w:cs="Arial" w:eastAsia="Arial" w:hAnsi="Arial"/>
          <w:color w:val="5F5E5A"/>
          <w:sz w:val="22"/>
          <w:szCs w:val="22"/>
        </w:rPr>
        <w:t xml:space="preserve">Full colour on Navy 900 — reverse treatment; wordmark in Navy 50, mark in Navy 600 and Green 400.</w:t>
      </w:r>
    </w:p>
    <w:p>
      <w:pPr>
        <w:pStyle w:val="ListParagraph"/>
        <w:numPr>
          <w:ilvl w:val="0"/>
          <w:numId w:val="2"/>
        </w:numPr>
        <w:spacing w:before="0" w:after="80"/>
      </w:pPr>
      <w:r>
        <w:rPr>
          <w:rFonts w:ascii="Arial" w:cs="Arial" w:eastAsia="Arial" w:hAnsi="Arial"/>
          <w:color w:val="5F5E5A"/>
          <w:sz w:val="22"/>
          <w:szCs w:val="22"/>
        </w:rPr>
        <w:t xml:space="preserve">Single colour Navy 900 — when colour reproduction is not available (contracts, legal).</w:t>
      </w:r>
    </w:p>
    <w:p>
      <w:pPr>
        <w:pStyle w:val="ListParagraph"/>
        <w:numPr>
          <w:ilvl w:val="0"/>
          <w:numId w:val="2"/>
        </w:numPr>
        <w:spacing w:before="0" w:after="80"/>
      </w:pPr>
      <w:r>
        <w:rPr>
          <w:rFonts w:ascii="Arial" w:cs="Arial" w:eastAsia="Arial" w:hAnsi="Arial"/>
          <w:color w:val="5F5E5A"/>
          <w:sz w:val="22"/>
          <w:szCs w:val="22"/>
        </w:rPr>
        <w:t xml:space="preserve">Single colour white — on photographic or dark backgrounds.</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Logo misuse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D9E75" w:val="clear"/>
            <w:tcMar>
              <w:top w:type="dxa" w:w="100"/>
              <w:left w:type="dxa" w:w="160"/>
              <w:bottom w:type="dxa" w:w="100"/>
              <w:right w:type="dxa" w:w="160"/>
            </w:tcMar>
          </w:tcPr>
          <w:p>
            <w:r>
              <w:rPr>
                <w:rFonts w:ascii="Arial" w:cs="Arial" w:eastAsia="Arial" w:hAnsi="Arial"/>
                <w:b/>
                <w:bCs/>
                <w:color w:val="FFFFFF"/>
                <w:sz w:val="22"/>
                <w:szCs w:val="22"/>
              </w:rPr>
              <w:t xml:space="preserve">Do</w:t>
            </w:r>
          </w:p>
        </w:tc>
        <w:tc>
          <w:tcPr>
            <w:tcW w:type="dxa" w:w="4680"/>
            <w:tcBorders>
              <w:top w:val="none" w:color="FFFFFF" w:sz="0"/>
              <w:left w:val="none" w:color="FFFFFF" w:sz="0"/>
              <w:bottom w:val="none" w:color="FFFFFF" w:sz="0"/>
              <w:right w:val="none" w:color="FFFFFF" w:sz="0"/>
            </w:tcBorders>
            <w:shd w:fill="D85A30" w:val="clear"/>
            <w:tcMar>
              <w:top w:type="dxa" w:w="100"/>
              <w:left w:type="dxa" w:w="160"/>
              <w:bottom w:type="dxa" w:w="100"/>
              <w:right w:type="dxa" w:w="160"/>
            </w:tcMar>
          </w:tcPr>
          <w:p>
            <w:r>
              <w:rPr>
                <w:rFonts w:ascii="Arial" w:cs="Arial" w:eastAsia="Arial" w:hAnsi="Arial"/>
                <w:b/>
                <w:bCs/>
                <w:color w:val="FFFFFF"/>
                <w:sz w:val="22"/>
                <w:szCs w:val="22"/>
              </w:rPr>
              <w:t xml:space="preserve">Don't</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Use the provided logo files at all times.</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Retype the wordmark in any other font.</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Maintain the correct proportion of mark to wordmark.</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Stretch, compress, or rotate the mark.</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Reproduce on approved colour backgrounds only.</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Apply drop shadows, outlines, or effects.</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Allow the full clear space around every placement.</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Place on busy photographic backgrounds without a colour block.</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Recolour any element of the mark independently.</w:t>
            </w:r>
          </w:p>
        </w:tc>
      </w:tr>
    </w:tbl>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3. Colour palette</w:t>
      </w:r>
    </w:p>
    <w:p>
      <w:pPr>
        <w:spacing w:before="0" w:after="120"/>
        <w:jc w:val="both"/>
      </w:pPr>
      <w:r>
        <w:rPr>
          <w:rFonts w:ascii="Arial" w:cs="Arial" w:eastAsia="Arial" w:hAnsi="Arial"/>
          <w:color w:val="5F5E5A"/>
          <w:sz w:val="22"/>
          <w:szCs w:val="22"/>
        </w:rPr>
        <w:t xml:space="preserve">The Kaya palette is built around two primaries and one neutral family. Navy carries authority, trust, and depth — the qualities a CHRO needs to feel before signing a contract. Green carries proof, success, and progress — every gate a candidate clears is a green moment. Stone is the warm neutral that keeps the system from feeling clinical.</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160"/>
        <w:gridCol w:w="4200"/>
      </w:tblGrid>
      <w:tr>
        <w:tc>
          <w:tcPr>
            <w:tcW w:type="dxa" w:w="140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
            </w:r>
          </w:p>
        </w:tc>
        <w:tc>
          <w:tcPr>
            <w:tcW w:type="dxa" w:w="160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Colour</w:t>
            </w:r>
          </w:p>
        </w:tc>
        <w:tc>
          <w:tcPr>
            <w:tcW w:type="dxa" w:w="216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Hex</w:t>
            </w:r>
          </w:p>
        </w:tc>
        <w:tc>
          <w:tcPr>
            <w:tcW w:type="dxa" w:w="420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Usage</w:t>
            </w:r>
          </w:p>
        </w:tc>
      </w:tr>
      <w:tr>
        <w:tc>
          <w:tcPr>
            <w:tcW w:type="dxa" w:w="1400"/>
            <w:tcBorders>
              <w:top w:val="single" w:color="D3D1C7" w:sz="4"/>
              <w:left w:val="single" w:color="D3D1C7" w:sz="4"/>
              <w:bottom w:val="single" w:color="D3D1C7" w:sz="4"/>
              <w:right w:val="single" w:color="D3D1C7" w:sz="4"/>
            </w:tcBorders>
            <w:shd w:fill="042C53"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Navy 900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#042C53</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Logo mark, primary headlines, dominant UI</w:t>
            </w:r>
          </w:p>
        </w:tc>
      </w:tr>
      <w:tr>
        <w:tc>
          <w:tcPr>
            <w:tcW w:type="dxa" w:w="1400"/>
            <w:tcBorders>
              <w:top w:val="single" w:color="D3D1C7" w:sz="4"/>
              <w:left w:val="single" w:color="D3D1C7" w:sz="4"/>
              <w:bottom w:val="single" w:color="D3D1C7" w:sz="4"/>
              <w:right w:val="single" w:color="D3D1C7" w:sz="4"/>
            </w:tcBorders>
            <w:shd w:fill="185FA5"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Navy 600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#185FA5</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Network lines, links, interactive elements</w:t>
            </w:r>
          </w:p>
        </w:tc>
      </w:tr>
      <w:tr>
        <w:tc>
          <w:tcPr>
            <w:tcW w:type="dxa" w:w="1400"/>
            <w:tcBorders>
              <w:top w:val="single" w:color="D3D1C7" w:sz="4"/>
              <w:left w:val="single" w:color="D3D1C7" w:sz="4"/>
              <w:bottom w:val="single" w:color="D3D1C7" w:sz="4"/>
              <w:right w:val="single" w:color="D3D1C7" w:sz="4"/>
            </w:tcBorders>
            <w:shd w:fill="E6F1FB"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Navy 50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#E6F1FB</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Light backgrounds, info fills</w:t>
            </w:r>
          </w:p>
        </w:tc>
      </w:tr>
      <w:tr>
        <w:tc>
          <w:tcPr>
            <w:tcW w:type="dxa" w:w="1400"/>
            <w:tcBorders>
              <w:top w:val="single" w:color="D3D1C7" w:sz="4"/>
              <w:left w:val="single" w:color="D3D1C7" w:sz="4"/>
              <w:bottom w:val="single" w:color="D3D1C7" w:sz="4"/>
              <w:right w:val="single" w:color="D3D1C7" w:sz="4"/>
            </w:tcBorders>
            <w:shd w:fill="1D9E75"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Green 400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#1D9E75</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Verified states, gate-cleared moments, success</w:t>
            </w:r>
          </w:p>
        </w:tc>
      </w:tr>
      <w:tr>
        <w:tc>
          <w:tcPr>
            <w:tcW w:type="dxa" w:w="1400"/>
            <w:tcBorders>
              <w:top w:val="single" w:color="D3D1C7" w:sz="4"/>
              <w:left w:val="single" w:color="D3D1C7" w:sz="4"/>
              <w:bottom w:val="single" w:color="D3D1C7" w:sz="4"/>
              <w:right w:val="single" w:color="D3D1C7" w:sz="4"/>
            </w:tcBorders>
            <w:shd w:fill="E1F5EE"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Green 50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#E1F5EE</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Success fills, subtle positive backgrounds</w:t>
            </w:r>
          </w:p>
        </w:tc>
      </w:tr>
      <w:tr>
        <w:tc>
          <w:tcPr>
            <w:tcW w:type="dxa" w:w="1400"/>
            <w:tcBorders>
              <w:top w:val="single" w:color="D3D1C7" w:sz="4"/>
              <w:left w:val="single" w:color="D3D1C7" w:sz="4"/>
              <w:bottom w:val="single" w:color="D3D1C7" w:sz="4"/>
              <w:right w:val="single" w:color="D3D1C7" w:sz="4"/>
            </w:tcBorders>
            <w:shd w:fill="F1EFE8"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Stone 50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#F1EFE8</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Page background, warm neutral surfaces</w:t>
            </w:r>
          </w:p>
        </w:tc>
      </w:tr>
      <w:tr>
        <w:tc>
          <w:tcPr>
            <w:tcW w:type="dxa" w:w="1400"/>
            <w:tcBorders>
              <w:top w:val="single" w:color="D3D1C7" w:sz="4"/>
              <w:left w:val="single" w:color="D3D1C7" w:sz="4"/>
              <w:bottom w:val="single" w:color="D3D1C7" w:sz="4"/>
              <w:right w:val="single" w:color="D3D1C7" w:sz="4"/>
            </w:tcBorders>
            <w:shd w:fill="B4B2A9"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Stone 200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#B4B2A9</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Dividers, borders, secondary UI elements</w:t>
            </w:r>
          </w:p>
        </w:tc>
      </w:tr>
      <w:tr>
        <w:tc>
          <w:tcPr>
            <w:tcW w:type="dxa" w:w="1400"/>
            <w:tcBorders>
              <w:top w:val="single" w:color="D3D1C7" w:sz="4"/>
              <w:left w:val="single" w:color="D3D1C7" w:sz="4"/>
              <w:bottom w:val="single" w:color="D3D1C7" w:sz="4"/>
              <w:right w:val="single" w:color="D3D1C7" w:sz="4"/>
            </w:tcBorders>
            <w:shd w:fill="5F5E5A" w:val="clear"/>
            <w:tcMar>
              <w:top w:type="dxa" w:w="120"/>
              <w:left w:type="dxa" w:w="0"/>
              <w:bottom w:type="dxa" w:w="120"/>
              <w:right w:type="dxa" w:w="0"/>
            </w:tcMar>
          </w:tcPr>
          <w:p/>
        </w:tc>
        <w:tc>
          <w:tcPr>
            <w:tcW w:type="dxa" w:w="1600"/>
            <w:tcBorders>
              <w:top w:val="single" w:color="D3D1C7" w:sz="4"/>
              <w:left w:val="single" w:color="D3D1C7" w:sz="4"/>
              <w:bottom w:val="single" w:color="D3D1C7" w:sz="4"/>
              <w:right w:val="single" w:color="D3D1C7" w:sz="4"/>
            </w:tcBorders>
            <w:tcMar>
              <w:top w:type="dxa" w:w="120"/>
              <w:left w:type="dxa" w:w="160"/>
              <w:bottom w:type="dxa" w:w="120"/>
              <w:right w:type="dxa" w:w="80"/>
            </w:tcMar>
            <w:vAlign w:val="center"/>
          </w:tcPr>
          <w:p>
            <w:r>
              <w:rPr>
                <w:rFonts w:ascii="Arial" w:cs="Arial" w:eastAsia="Arial" w:hAnsi="Arial"/>
                <w:b/>
                <w:bCs/>
                <w:color w:val="042C53"/>
                <w:sz w:val="20"/>
                <w:szCs w:val="20"/>
              </w:rPr>
              <w:t xml:space="preserve">Stone 600</w:t>
            </w:r>
          </w:p>
        </w:tc>
        <w:tc>
          <w:tcPr>
            <w:tcW w:type="dxa" w:w="2160"/>
            <w:tcBorders>
              <w:top w:val="single" w:color="D3D1C7" w:sz="4"/>
              <w:left w:val="single" w:color="D3D1C7" w:sz="4"/>
              <w:bottom w:val="single" w:color="D3D1C7" w:sz="4"/>
              <w:right w:val="single" w:color="D3D1C7" w:sz="4"/>
            </w:tcBorders>
            <w:tcMar>
              <w:top w:type="dxa" w:w="120"/>
              <w:left w:type="dxa" w:w="120"/>
              <w:bottom w:type="dxa" w:w="120"/>
              <w:right w:type="dxa" w:w="80"/>
            </w:tcMar>
            <w:vAlign w:val="center"/>
          </w:tcPr>
          <w:p>
            <w:r>
              <w:rPr>
                <w:rFonts w:ascii="Courier New" w:cs="Courier New" w:eastAsia="Courier New" w:hAnsi="Courier New"/>
                <w:color w:val="5F5E5A"/>
                <w:sz w:val="18"/>
                <w:szCs w:val="18"/>
              </w:rPr>
              <w:t xml:space="preserve">#5F5E5A</w:t>
            </w:r>
          </w:p>
        </w:tc>
        <w:tc>
          <w:tcPr>
            <w:tcW w:type="dxa" w:w="4200"/>
            <w:tcBorders>
              <w:top w:val="single" w:color="D3D1C7" w:sz="4"/>
              <w:left w:val="single" w:color="D3D1C7" w:sz="4"/>
              <w:bottom w:val="single" w:color="D3D1C7" w:sz="4"/>
              <w:right w:val="single" w:color="D3D1C7" w:sz="4"/>
            </w:tcBorders>
            <w:tcMar>
              <w:top w:type="dxa" w:w="120"/>
              <w:left w:type="dxa" w:w="120"/>
              <w:bottom w:type="dxa" w:w="120"/>
              <w:right w:type="dxa" w:w="120"/>
            </w:tcMar>
            <w:vAlign w:val="center"/>
          </w:tcPr>
          <w:p>
            <w:r>
              <w:rPr>
                <w:rFonts w:ascii="Arial" w:cs="Arial" w:eastAsia="Arial" w:hAnsi="Arial"/>
                <w:color w:val="5F5E5A"/>
                <w:sz w:val="20"/>
                <w:szCs w:val="20"/>
              </w:rPr>
              <w:t xml:space="preserve">Body text, secondary labels, captions</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Colour usage principles</w:t>
      </w:r>
    </w:p>
    <w:p>
      <w:pPr>
        <w:pStyle w:val="ListParagraph"/>
        <w:numPr>
          <w:ilvl w:val="0"/>
          <w:numId w:val="2"/>
        </w:numPr>
        <w:spacing w:before="0" w:after="80"/>
      </w:pPr>
      <w:r>
        <w:rPr>
          <w:rFonts w:ascii="Arial" w:cs="Arial" w:eastAsia="Arial" w:hAnsi="Arial"/>
          <w:color w:val="5F5E5A"/>
          <w:sz w:val="22"/>
          <w:szCs w:val="22"/>
        </w:rPr>
        <w:t xml:space="preserve">Navy 900 is the dominant brand colour. Any time a surface needs authority, it gets Navy 900.</w:t>
      </w:r>
    </w:p>
    <w:p>
      <w:pPr>
        <w:pStyle w:val="ListParagraph"/>
        <w:numPr>
          <w:ilvl w:val="0"/>
          <w:numId w:val="2"/>
        </w:numPr>
        <w:spacing w:before="0" w:after="80"/>
      </w:pPr>
      <w:r>
        <w:rPr>
          <w:rFonts w:ascii="Arial" w:cs="Arial" w:eastAsia="Arial" w:hAnsi="Arial"/>
          <w:color w:val="5F5E5A"/>
          <w:sz w:val="22"/>
          <w:szCs w:val="22"/>
        </w:rPr>
        <w:t xml:space="preserve">Green 400 is used exclusively for positive, verified, or gate-cleared states. Do not use it decoratively.</w:t>
      </w:r>
    </w:p>
    <w:p>
      <w:pPr>
        <w:pStyle w:val="ListParagraph"/>
        <w:numPr>
          <w:ilvl w:val="0"/>
          <w:numId w:val="2"/>
        </w:numPr>
        <w:spacing w:before="0" w:after="80"/>
      </w:pPr>
      <w:r>
        <w:rPr>
          <w:rFonts w:ascii="Arial" w:cs="Arial" w:eastAsia="Arial" w:hAnsi="Arial"/>
          <w:color w:val="5F5E5A"/>
          <w:sz w:val="22"/>
          <w:szCs w:val="22"/>
        </w:rPr>
        <w:t xml:space="preserve">Stone 50 replaces pure white as the default page background. The warmth signals that people, not machines, are at the centre.</w:t>
      </w:r>
    </w:p>
    <w:p>
      <w:pPr>
        <w:pStyle w:val="ListParagraph"/>
        <w:numPr>
          <w:ilvl w:val="0"/>
          <w:numId w:val="2"/>
        </w:numPr>
        <w:spacing w:before="0" w:after="80"/>
      </w:pPr>
      <w:r>
        <w:rPr>
          <w:rFonts w:ascii="Arial" w:cs="Arial" w:eastAsia="Arial" w:hAnsi="Arial"/>
          <w:color w:val="5F5E5A"/>
          <w:sz w:val="22"/>
          <w:szCs w:val="22"/>
        </w:rPr>
        <w:t xml:space="preserve">Navy 50 is used for light informational fills — never as a primary background at scale.</w:t>
      </w:r>
    </w:p>
    <w:p>
      <w:pPr>
        <w:pStyle w:val="ListParagraph"/>
        <w:numPr>
          <w:ilvl w:val="0"/>
          <w:numId w:val="2"/>
        </w:numPr>
        <w:spacing w:before="0" w:after="80"/>
      </w:pPr>
      <w:r>
        <w:rPr>
          <w:rFonts w:ascii="Arial" w:cs="Arial" w:eastAsia="Arial" w:hAnsi="Arial"/>
          <w:color w:val="5F5E5A"/>
          <w:sz w:val="22"/>
          <w:szCs w:val="22"/>
        </w:rPr>
        <w:t xml:space="preserve">Never use more than three colours from the palette in a single composition.</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Colour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AA Contrast</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Navy 900 on white and Stone 50 meets WCAG AA (4.5:1). Green 400 on white meets WCAG AA for large text only. Always pair Green 400 with a Navy or Stone background when used for body text.</w:t>
            </w:r>
          </w:p>
        </w:tc>
      </w:tr>
    </w:tbl>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4. Typography</w:t>
      </w:r>
    </w:p>
    <w:p>
      <w:pPr>
        <w:spacing w:before="0" w:after="120"/>
        <w:jc w:val="both"/>
      </w:pPr>
      <w:r>
        <w:rPr>
          <w:rFonts w:ascii="Arial" w:cs="Arial" w:eastAsia="Arial" w:hAnsi="Arial"/>
          <w:color w:val="5F5E5A"/>
          <w:sz w:val="22"/>
          <w:szCs w:val="22"/>
        </w:rPr>
        <w:t xml:space="preserve">Kaya uses two typefaces. Georgia is reserved exclusively for the wordmark and large display moments — it carries the weight and confidence of an institution. Arial is the system typeface for all documents, UI, and communications — universally available, highly legible, impossible to get wrong.</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080"/>
        <w:gridCol w:w="3960"/>
      </w:tblGrid>
      <w:tr>
        <w:tc>
          <w:tcPr>
            <w:tcW w:type="dxa" w:w="144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Style</w:t>
            </w:r>
          </w:p>
        </w:tc>
        <w:tc>
          <w:tcPr>
            <w:tcW w:type="dxa" w:w="144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Typeface</w:t>
            </w:r>
          </w:p>
        </w:tc>
        <w:tc>
          <w:tcPr>
            <w:tcW w:type="dxa" w:w="144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Weight</w:t>
            </w:r>
          </w:p>
        </w:tc>
        <w:tc>
          <w:tcPr>
            <w:tcW w:type="dxa" w:w="108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Size</w:t>
            </w:r>
          </w:p>
        </w:tc>
        <w:tc>
          <w:tcPr>
            <w:tcW w:type="dxa" w:w="396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Used for</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Display</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Georgia" w:cs="Georgia" w:eastAsia="Georgia" w:hAnsi="Georgia"/>
                <w:color w:val="5F5E5A"/>
                <w:sz w:val="20"/>
                <w:szCs w:val="20"/>
              </w:rPr>
              <w:t xml:space="preserve">Georgia</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Bold</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48–72pt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Cover titles, hero wordmark only</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Heading 1</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Arial</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Bold</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18pt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Section titles in documents and UI</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Heading 2</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Arial</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Bold</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14pt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Sub-section headers</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Heading 3</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Arial</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Bold</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11pt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Labels, card titles</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Body</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Arial</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Regular</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11pt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All running text, descriptions</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Caption</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Arial</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Regular Italic</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9pt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Image captions, footnotes</w:t>
            </w:r>
          </w:p>
        </w:tc>
      </w:tr>
      <w:tr>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Code / Data</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Courier New" w:cs="Courier New" w:eastAsia="Courier New" w:hAnsi="Courier New"/>
                <w:color w:val="5F5E5A"/>
                <w:sz w:val="20"/>
                <w:szCs w:val="20"/>
              </w:rPr>
              <w:t xml:space="preserve">Courier New</w:t>
            </w:r>
          </w:p>
        </w:tc>
        <w:tc>
          <w:tcPr>
            <w:tcW w:type="dxa" w:w="14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Regular</w:t>
            </w:r>
          </w:p>
        </w:tc>
        <w:tc>
          <w:tcPr>
            <w:tcW w:type="dxa" w:w="10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10pt</w:t>
            </w:r>
          </w:p>
        </w:tc>
        <w:tc>
          <w:tcPr>
            <w:tcW w:type="dxa" w:w="39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Hex values, technical strings</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Typography rules</w:t>
      </w:r>
    </w:p>
    <w:p>
      <w:pPr>
        <w:pStyle w:val="ListParagraph"/>
        <w:numPr>
          <w:ilvl w:val="0"/>
          <w:numId w:val="2"/>
        </w:numPr>
        <w:spacing w:before="0" w:after="80"/>
      </w:pPr>
      <w:r>
        <w:rPr>
          <w:rFonts w:ascii="Arial" w:cs="Arial" w:eastAsia="Arial" w:hAnsi="Arial"/>
          <w:color w:val="5F5E5A"/>
          <w:sz w:val="22"/>
          <w:szCs w:val="22"/>
        </w:rPr>
        <w:t xml:space="preserve">Never set the wordmark "kaya" in Arial. It must always be Georgia when typeset.</w:t>
      </w:r>
    </w:p>
    <w:p>
      <w:pPr>
        <w:pStyle w:val="ListParagraph"/>
        <w:numPr>
          <w:ilvl w:val="0"/>
          <w:numId w:val="2"/>
        </w:numPr>
        <w:spacing w:before="0" w:after="80"/>
      </w:pPr>
      <w:r>
        <w:rPr>
          <w:rFonts w:ascii="Arial" w:cs="Arial" w:eastAsia="Arial" w:hAnsi="Arial"/>
          <w:color w:val="5F5E5A"/>
          <w:sz w:val="22"/>
          <w:szCs w:val="22"/>
        </w:rPr>
        <w:t xml:space="preserve">Headlines are sentence case. Never title case or all-caps.</w:t>
      </w:r>
    </w:p>
    <w:p>
      <w:pPr>
        <w:pStyle w:val="ListParagraph"/>
        <w:numPr>
          <w:ilvl w:val="0"/>
          <w:numId w:val="2"/>
        </w:numPr>
        <w:spacing w:before="0" w:after="80"/>
      </w:pPr>
      <w:r>
        <w:rPr>
          <w:rFonts w:ascii="Arial" w:cs="Arial" w:eastAsia="Arial" w:hAnsi="Arial"/>
          <w:color w:val="5F5E5A"/>
          <w:sz w:val="22"/>
          <w:szCs w:val="22"/>
        </w:rPr>
        <w:t xml:space="preserve">Body text is set at 11pt with 1.5 line spacing minimum for readability across screen and print.</w:t>
      </w:r>
    </w:p>
    <w:p>
      <w:pPr>
        <w:pStyle w:val="ListParagraph"/>
        <w:numPr>
          <w:ilvl w:val="0"/>
          <w:numId w:val="2"/>
        </w:numPr>
        <w:spacing w:before="0" w:after="80"/>
      </w:pPr>
      <w:r>
        <w:rPr>
          <w:rFonts w:ascii="Arial" w:cs="Arial" w:eastAsia="Arial" w:hAnsi="Arial"/>
          <w:color w:val="5F5E5A"/>
          <w:sz w:val="22"/>
          <w:szCs w:val="22"/>
        </w:rPr>
        <w:t xml:space="preserve">Use bold sparingly — one bold element per paragraph maximum, to preserve hierarchy.</w:t>
      </w:r>
    </w:p>
    <w:p>
      <w:pPr>
        <w:pStyle w:val="ListParagraph"/>
        <w:numPr>
          <w:ilvl w:val="0"/>
          <w:numId w:val="2"/>
        </w:numPr>
        <w:spacing w:before="0" w:after="80"/>
      </w:pPr>
      <w:r>
        <w:rPr>
          <w:rFonts w:ascii="Arial" w:cs="Arial" w:eastAsia="Arial" w:hAnsi="Arial"/>
          <w:color w:val="5F5E5A"/>
          <w:sz w:val="22"/>
          <w:szCs w:val="22"/>
        </w:rPr>
        <w:t xml:space="preserve">Avoid decorative or display typefaces in any Kaya communication. Consistency builds credibility.</w:t>
      </w:r>
    </w:p>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5. Voice and tone</w:t>
      </w:r>
    </w:p>
    <w:p>
      <w:pPr>
        <w:pStyle w:val="Heading2"/>
        <w:spacing w:before="360" w:after="120"/>
      </w:pPr>
      <w:r>
        <w:rPr>
          <w:rFonts w:ascii="Arial" w:cs="Arial" w:eastAsia="Arial" w:hAnsi="Arial"/>
          <w:b/>
          <w:bCs/>
          <w:color w:val="0C447C"/>
          <w:sz w:val="26"/>
          <w:szCs w:val="26"/>
        </w:rPr>
        <w:t xml:space="preserve">The Kaya voice</w:t>
      </w:r>
    </w:p>
    <w:p>
      <w:pPr>
        <w:spacing w:before="0" w:after="120"/>
        <w:jc w:val="both"/>
      </w:pPr>
      <w:r>
        <w:rPr>
          <w:rFonts w:ascii="Arial" w:cs="Arial" w:eastAsia="Arial" w:hAnsi="Arial"/>
          <w:color w:val="5F5E5A"/>
          <w:sz w:val="22"/>
          <w:szCs w:val="22"/>
        </w:rPr>
        <w:t xml:space="preserve">Kaya speaks like a senior colleague who has done this work for a long time and knows exactly what it means. Not a startup trying to sound impressive. Not a NGO asking for empathy. A platform that has 10 years of outcomes data and the confidence that comes with it.</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none" w:color="FFFFFF" w:sz="0"/>
              <w:left w:val="none" w:color="FFFFFF" w:sz="0"/>
              <w:bottom w:val="none" w:color="FFFFFF" w:sz="0"/>
              <w:right w:val="none" w:color="FFFFFF" w:sz="0"/>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We are</w:t>
            </w:r>
          </w:p>
        </w:tc>
        <w:tc>
          <w:tcPr>
            <w:tcW w:type="dxa" w:w="2340"/>
            <w:tcBorders>
              <w:top w:val="none" w:color="FFFFFF" w:sz="0"/>
              <w:left w:val="none" w:color="FFFFFF" w:sz="0"/>
              <w:bottom w:val="none" w:color="FFFFFF" w:sz="0"/>
              <w:right w:val="none" w:color="FFFFFF" w:sz="0"/>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We are not</w:t>
            </w:r>
          </w:p>
        </w:tc>
        <w:tc>
          <w:tcPr>
            <w:tcW w:type="dxa" w:w="4680"/>
            <w:tcBorders>
              <w:top w:val="none" w:color="FFFFFF" w:sz="0"/>
              <w:left w:val="none" w:color="FFFFFF" w:sz="0"/>
              <w:bottom w:val="none" w:color="FFFFFF" w:sz="0"/>
              <w:right w:val="none" w:color="FFFFFF" w:sz="0"/>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In practice</w:t>
            </w:r>
          </w:p>
        </w:tc>
      </w:tr>
      <w:tr>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Confident</w:t>
            </w:r>
          </w:p>
        </w:tc>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Arrogant</w:t>
            </w:r>
          </w:p>
        </w:tc>
        <w:tc>
          <w:tcPr>
            <w:tcW w:type="dxa" w:w="46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Say "Kaya candidates arrive with verified skills." Not "We believe we might be able to help."</w:t>
            </w:r>
          </w:p>
        </w:tc>
      </w:tr>
      <w:tr>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Precise</w:t>
            </w:r>
          </w:p>
        </w:tc>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Jargon-heavy</w:t>
            </w:r>
          </w:p>
        </w:tc>
        <w:tc>
          <w:tcPr>
            <w:tcW w:type="dxa" w:w="46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Say "Three gates. One decision." Not "Our proprietary multi-modal assessment stack."</w:t>
            </w:r>
          </w:p>
        </w:tc>
      </w:tr>
      <w:tr>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Human</w:t>
            </w:r>
          </w:p>
        </w:tc>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Sentimental</w:t>
            </w:r>
          </w:p>
        </w:tc>
        <w:tc>
          <w:tcPr>
            <w:tcW w:type="dxa" w:w="46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Say "Real skills, proven in context." Not "Changing lives one story at a time."</w:t>
            </w:r>
          </w:p>
        </w:tc>
      </w:tr>
      <w:tr>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Direct</w:t>
            </w:r>
          </w:p>
        </w:tc>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Blunt</w:t>
            </w:r>
          </w:p>
        </w:tc>
        <w:tc>
          <w:tcPr>
            <w:tcW w:type="dxa" w:w="46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Say "This role requires evidence of X." Not "You need to have done X or we cannot proceed."</w:t>
            </w:r>
          </w:p>
        </w:tc>
      </w:tr>
      <w:tr>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Optimistic</w:t>
            </w:r>
          </w:p>
        </w:tc>
        <w:tc>
          <w:tcPr>
            <w:tcW w:type="dxa" w:w="234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Promotional</w:t>
            </w:r>
          </w:p>
        </w:tc>
        <w:tc>
          <w:tcPr>
            <w:tcW w:type="dxa" w:w="468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color w:val="5F5E5A"/>
                <w:sz w:val="20"/>
                <w:szCs w:val="20"/>
              </w:rPr>
              <w:t xml:space="preserve">Say "Every person who enters Kaya has somewhere to go." Not "Kaya is the #1 platform for inclusive hiring!"</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Taglines and message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c>
          <w:tcPr>
            <w:tcW w:type="dxa" w:w="220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Register</w:t>
            </w:r>
          </w:p>
        </w:tc>
        <w:tc>
          <w:tcPr>
            <w:tcW w:type="dxa" w:w="276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Line</w:t>
            </w:r>
          </w:p>
        </w:tc>
        <w:tc>
          <w:tcPr>
            <w:tcW w:type="dxa" w:w="4400"/>
            <w:tcBorders>
              <w:top w:val="single" w:color="D3D1C7" w:sz="4"/>
              <w:left w:val="single" w:color="D3D1C7" w:sz="4"/>
              <w:bottom w:val="single" w:color="D3D1C7" w:sz="4"/>
              <w:right w:val="single" w:color="D3D1C7" w:sz="4"/>
            </w:tcBorders>
            <w:shd w:fill="042C53" w:val="clear"/>
            <w:tcMar>
              <w:top w:type="dxa" w:w="100"/>
              <w:left w:type="dxa" w:w="120"/>
              <w:bottom w:type="dxa" w:w="100"/>
              <w:right w:type="dxa" w:w="80"/>
            </w:tcMar>
          </w:tcPr>
          <w:p>
            <w:r>
              <w:rPr>
                <w:rFonts w:ascii="Arial" w:cs="Arial" w:eastAsia="Arial" w:hAnsi="Arial"/>
                <w:b/>
                <w:bCs/>
                <w:color w:val="E6F1FB"/>
                <w:sz w:val="18"/>
                <w:szCs w:val="18"/>
              </w:rPr>
              <w:t xml:space="preserve">When to use</w:t>
            </w:r>
          </w:p>
        </w:tc>
      </w:tr>
      <w:tr>
        <w:tc>
          <w:tcPr>
            <w:tcW w:type="dxa" w:w="22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Primary tagline</w:t>
            </w:r>
          </w:p>
        </w:tc>
        <w:tc>
          <w:tcPr>
            <w:tcW w:type="dxa" w:w="27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bCs/>
                <w:color w:val="0C447C"/>
                <w:sz w:val="20"/>
                <w:szCs w:val="20"/>
              </w:rPr>
              <w:t xml:space="preserve">Hire who can.</w:t>
            </w:r>
          </w:p>
        </w:tc>
        <w:tc>
          <w:tcPr>
            <w:tcW w:type="dxa" w:w="44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Both audiences. All contexts. The default.</w:t>
            </w:r>
          </w:p>
        </w:tc>
      </w:tr>
      <w:tr>
        <w:tc>
          <w:tcPr>
            <w:tcW w:type="dxa" w:w="22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Employer variant</w:t>
            </w:r>
          </w:p>
        </w:tc>
        <w:tc>
          <w:tcPr>
            <w:tcW w:type="dxa" w:w="27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bCs/>
                <w:color w:val="0C447C"/>
                <w:sz w:val="20"/>
                <w:szCs w:val="20"/>
              </w:rPr>
              <w:t xml:space="preserve">Verified talent. Faster.</w:t>
            </w:r>
          </w:p>
        </w:tc>
        <w:tc>
          <w:tcPr>
            <w:tcW w:type="dxa" w:w="44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Enterprise sales, HR director conversations</w:t>
            </w:r>
          </w:p>
        </w:tc>
      </w:tr>
      <w:tr>
        <w:tc>
          <w:tcPr>
            <w:tcW w:type="dxa" w:w="22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Jobseeker variant</w:t>
            </w:r>
          </w:p>
        </w:tc>
        <w:tc>
          <w:tcPr>
            <w:tcW w:type="dxa" w:w="27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bCs/>
                <w:color w:val="0C447C"/>
                <w:sz w:val="20"/>
                <w:szCs w:val="20"/>
              </w:rPr>
              <w:t xml:space="preserve">Every story is evidence.</w:t>
            </w:r>
          </w:p>
        </w:tc>
        <w:tc>
          <w:tcPr>
            <w:tcW w:type="dxa" w:w="44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Alumni onboarding, jobseeker marketing</w:t>
            </w:r>
          </w:p>
        </w:tc>
      </w:tr>
      <w:tr>
        <w:tc>
          <w:tcPr>
            <w:tcW w:type="dxa" w:w="22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Mission statement</w:t>
            </w:r>
          </w:p>
        </w:tc>
        <w:tc>
          <w:tcPr>
            <w:tcW w:type="dxa" w:w="27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bCs/>
                <w:color w:val="0C447C"/>
                <w:sz w:val="20"/>
                <w:szCs w:val="20"/>
              </w:rPr>
              <w:t xml:space="preserve">Skills, not credentials.</w:t>
            </w:r>
          </w:p>
        </w:tc>
        <w:tc>
          <w:tcPr>
            <w:tcW w:type="dxa" w:w="44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Funder pitches, impact reports</w:t>
            </w:r>
          </w:p>
        </w:tc>
      </w:tr>
      <w:tr>
        <w:tc>
          <w:tcPr>
            <w:tcW w:type="dxa" w:w="22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Cultural anchor</w:t>
            </w:r>
          </w:p>
        </w:tc>
        <w:tc>
          <w:tcPr>
            <w:tcW w:type="dxa" w:w="27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bCs/>
                <w:color w:val="0C447C"/>
                <w:sz w:val="20"/>
                <w:szCs w:val="20"/>
              </w:rPr>
              <w:t xml:space="preserve">Kaya — Filipino for capable.</w:t>
            </w:r>
          </w:p>
        </w:tc>
        <w:tc>
          <w:tcPr>
            <w:tcW w:type="dxa" w:w="44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Philippines-first contexts, origin storytelling</w:t>
            </w:r>
          </w:p>
        </w:tc>
      </w:tr>
      <w:tr>
        <w:tc>
          <w:tcPr>
            <w:tcW w:type="dxa" w:w="22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Expanded brand line</w:t>
            </w:r>
          </w:p>
        </w:tc>
        <w:tc>
          <w:tcPr>
            <w:tcW w:type="dxa" w:w="276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bCs/>
                <w:color w:val="0C447C"/>
                <w:sz w:val="20"/>
                <w:szCs w:val="20"/>
              </w:rPr>
              <w:t xml:space="preserve">Proven people. Faster hiring.</w:t>
            </w:r>
          </w:p>
        </w:tc>
        <w:tc>
          <w:tcPr>
            <w:tcW w:type="dxa" w:w="4400"/>
            <w:tcBorders>
              <w:top w:val="single" w:color="D3D1C7" w:sz="4"/>
              <w:left w:val="single" w:color="D3D1C7" w:sz="4"/>
              <w:bottom w:val="single" w:color="D3D1C7" w:sz="4"/>
              <w:right w:val="single" w:color="D3D1C7" w:sz="4"/>
            </w:tcBorders>
            <w:tcMar>
              <w:top w:type="dxa" w:w="100"/>
              <w:left w:type="dxa" w:w="120"/>
              <w:bottom w:type="dxa" w:w="100"/>
              <w:right w:type="dxa" w:w="80"/>
            </w:tcMar>
          </w:tcPr>
          <w:p>
            <w:r>
              <w:rPr>
                <w:rFonts w:ascii="Arial" w:cs="Arial" w:eastAsia="Arial" w:hAnsi="Arial"/>
                <w:b w:val="false"/>
                <w:bCs w:val="false"/>
                <w:color w:val="5F5E5A"/>
                <w:sz w:val="20"/>
                <w:szCs w:val="20"/>
              </w:rPr>
              <w:t xml:space="preserve">Long-form contexts, conference decks</w:t>
            </w:r>
          </w:p>
        </w:tc>
      </w:tr>
    </w:tbl>
    <w:p>
      <w:pPr>
        <w:spacing w:before="0" w:after="160"/>
      </w:pPr>
      <w:r>
        <w:t xml:space="preserve"/>
      </w:r>
    </w:p>
    <w:p>
      <w:pPr>
        <w:pStyle w:val="Heading2"/>
        <w:spacing w:before="360" w:after="120"/>
      </w:pPr>
      <w:r>
        <w:rPr>
          <w:rFonts w:ascii="Arial" w:cs="Arial" w:eastAsia="Arial" w:hAnsi="Arial"/>
          <w:b/>
          <w:bCs/>
          <w:color w:val="0C447C"/>
          <w:sz w:val="26"/>
          <w:szCs w:val="26"/>
        </w:rPr>
        <w:t xml:space="preserve">Writing for two audiences simultaneously</w:t>
      </w:r>
    </w:p>
    <w:p>
      <w:pPr>
        <w:spacing w:before="0" w:after="120"/>
        <w:jc w:val="both"/>
      </w:pPr>
      <w:r>
        <w:rPr>
          <w:rFonts w:ascii="Arial" w:cs="Arial" w:eastAsia="Arial" w:hAnsi="Arial"/>
          <w:color w:val="5F5E5A"/>
          <w:sz w:val="22"/>
          <w:szCs w:val="22"/>
        </w:rPr>
        <w:t xml:space="preserve">Every piece of Kaya communication is read by at least two people: the employer who needs to trust the system, and the jobseeker who needs to trust the process. The language must earn both trusts without splitting into two separate voices.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Employer read</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"Hire who can." → I will get candidates who are genuinely capable, not just well-presented on paper.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Jobseeker read</w:t>
            </w:r>
          </w:p>
        </w:tc>
        <w:tc>
          <w:tcPr>
            <w:tcW w:type="dxa" w:w="77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color w:val="0C447C"/>
                <w:sz w:val="20"/>
                <w:szCs w:val="20"/>
              </w:rPr>
              <w:t xml:space="preserve">"Hire who can." → My actual ability is what gets me this job. My story counts.</w:t>
            </w:r>
          </w:p>
        </w:tc>
      </w:tr>
    </w:tbl>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6. Brand applications</w:t>
      </w:r>
    </w:p>
    <w:p>
      <w:pPr>
        <w:pStyle w:val="Heading2"/>
        <w:spacing w:before="360" w:after="120"/>
      </w:pPr>
      <w:r>
        <w:rPr>
          <w:rFonts w:ascii="Arial" w:cs="Arial" w:eastAsia="Arial" w:hAnsi="Arial"/>
          <w:b/>
          <w:bCs/>
          <w:color w:val="0C447C"/>
          <w:sz w:val="26"/>
          <w:szCs w:val="26"/>
        </w:rPr>
        <w:t xml:space="preserve">Digital — platform UI</w:t>
      </w:r>
    </w:p>
    <w:p>
      <w:pPr>
        <w:pStyle w:val="ListParagraph"/>
        <w:numPr>
          <w:ilvl w:val="0"/>
          <w:numId w:val="2"/>
        </w:numPr>
        <w:spacing w:before="0" w:after="80"/>
      </w:pPr>
      <w:r>
        <w:rPr>
          <w:rFonts w:ascii="Arial" w:cs="Arial" w:eastAsia="Arial" w:hAnsi="Arial"/>
          <w:color w:val="5F5E5A"/>
          <w:sz w:val="22"/>
          <w:szCs w:val="22"/>
        </w:rPr>
        <w:t xml:space="preserve">Navigation, primary buttons, and key action states use Navy 900.</w:t>
      </w:r>
    </w:p>
    <w:p>
      <w:pPr>
        <w:pStyle w:val="ListParagraph"/>
        <w:numPr>
          <w:ilvl w:val="0"/>
          <w:numId w:val="2"/>
        </w:numPr>
        <w:spacing w:before="0" w:after="80"/>
      </w:pPr>
      <w:r>
        <w:rPr>
          <w:rFonts w:ascii="Arial" w:cs="Arial" w:eastAsia="Arial" w:hAnsi="Arial"/>
          <w:color w:val="5F5E5A"/>
          <w:sz w:val="22"/>
          <w:szCs w:val="22"/>
        </w:rPr>
        <w:t xml:space="preserve">Gate-cleared confirmations and success states use Green 400.</w:t>
      </w:r>
    </w:p>
    <w:p>
      <w:pPr>
        <w:pStyle w:val="ListParagraph"/>
        <w:numPr>
          <w:ilvl w:val="0"/>
          <w:numId w:val="2"/>
        </w:numPr>
        <w:spacing w:before="0" w:after="80"/>
      </w:pPr>
      <w:r>
        <w:rPr>
          <w:rFonts w:ascii="Arial" w:cs="Arial" w:eastAsia="Arial" w:hAnsi="Arial"/>
          <w:color w:val="5F5E5A"/>
          <w:sz w:val="22"/>
          <w:szCs w:val="22"/>
        </w:rPr>
        <w:t xml:space="preserve">Page backgrounds use Stone 50 or white. Never Navy 900 at full page scale.</w:t>
      </w:r>
    </w:p>
    <w:p>
      <w:pPr>
        <w:pStyle w:val="ListParagraph"/>
        <w:numPr>
          <w:ilvl w:val="0"/>
          <w:numId w:val="2"/>
        </w:numPr>
        <w:spacing w:before="0" w:after="80"/>
      </w:pPr>
      <w:r>
        <w:rPr>
          <w:rFonts w:ascii="Arial" w:cs="Arial" w:eastAsia="Arial" w:hAnsi="Arial"/>
          <w:color w:val="5F5E5A"/>
          <w:sz w:val="22"/>
          <w:szCs w:val="22"/>
        </w:rPr>
        <w:t xml:space="preserve">The bloom mark appears in the top-left navigation bar at 24px.</w:t>
      </w:r>
    </w:p>
    <w:p>
      <w:pPr>
        <w:pStyle w:val="ListParagraph"/>
        <w:numPr>
          <w:ilvl w:val="0"/>
          <w:numId w:val="2"/>
        </w:numPr>
        <w:spacing w:before="0" w:after="80"/>
      </w:pPr>
      <w:r>
        <w:rPr>
          <w:rFonts w:ascii="Arial" w:cs="Arial" w:eastAsia="Arial" w:hAnsi="Arial"/>
          <w:color w:val="5F5E5A"/>
          <w:sz w:val="22"/>
          <w:szCs w:val="22"/>
        </w:rPr>
        <w:t xml:space="preserve">Loading and progress states use Navy 600 at reduced opacity, not a spinner.</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Documents and pitch materials</w:t>
      </w:r>
    </w:p>
    <w:p>
      <w:pPr>
        <w:pStyle w:val="ListParagraph"/>
        <w:numPr>
          <w:ilvl w:val="0"/>
          <w:numId w:val="2"/>
        </w:numPr>
        <w:spacing w:before="0" w:after="80"/>
      </w:pPr>
      <w:r>
        <w:rPr>
          <w:rFonts w:ascii="Arial" w:cs="Arial" w:eastAsia="Arial" w:hAnsi="Arial"/>
          <w:color w:val="5F5E5A"/>
          <w:sz w:val="22"/>
          <w:szCs w:val="22"/>
        </w:rPr>
        <w:t xml:space="preserve">Cover pages: Navy 900 background, wordmark in Georgia Navy 50, subtitle in Arial Navy 100.</w:t>
      </w:r>
    </w:p>
    <w:p>
      <w:pPr>
        <w:pStyle w:val="ListParagraph"/>
        <w:numPr>
          <w:ilvl w:val="0"/>
          <w:numId w:val="2"/>
        </w:numPr>
        <w:spacing w:before="0" w:after="80"/>
      </w:pPr>
      <w:r>
        <w:rPr>
          <w:rFonts w:ascii="Arial" w:cs="Arial" w:eastAsia="Arial" w:hAnsi="Arial"/>
          <w:color w:val="5F5E5A"/>
          <w:sz w:val="22"/>
          <w:szCs w:val="22"/>
        </w:rPr>
        <w:t xml:space="preserve">Section dividers: a 1pt Navy 600 rule below every H1 heading.</w:t>
      </w:r>
    </w:p>
    <w:p>
      <w:pPr>
        <w:pStyle w:val="ListParagraph"/>
        <w:numPr>
          <w:ilvl w:val="0"/>
          <w:numId w:val="2"/>
        </w:numPr>
        <w:spacing w:before="0" w:after="80"/>
      </w:pPr>
      <w:r>
        <w:rPr>
          <w:rFonts w:ascii="Arial" w:cs="Arial" w:eastAsia="Arial" w:hAnsi="Arial"/>
          <w:color w:val="5F5E5A"/>
          <w:sz w:val="22"/>
          <w:szCs w:val="22"/>
        </w:rPr>
        <w:t xml:space="preserve">Tables: Navy 900 header rows with Navy 50 text. Alternating Stone 50 and white row fills.</w:t>
      </w:r>
    </w:p>
    <w:p>
      <w:pPr>
        <w:pStyle w:val="ListParagraph"/>
        <w:numPr>
          <w:ilvl w:val="0"/>
          <w:numId w:val="2"/>
        </w:numPr>
        <w:spacing w:before="0" w:after="80"/>
      </w:pPr>
      <w:r>
        <w:rPr>
          <w:rFonts w:ascii="Arial" w:cs="Arial" w:eastAsia="Arial" w:hAnsi="Arial"/>
          <w:color w:val="5F5E5A"/>
          <w:sz w:val="22"/>
          <w:szCs w:val="22"/>
        </w:rPr>
        <w:t xml:space="preserve">Pull quotes: left border in Green 400, 2pt. Text in Navy 800 italic.</w:t>
      </w:r>
    </w:p>
    <w:p>
      <w:pPr>
        <w:pStyle w:val="ListParagraph"/>
        <w:numPr>
          <w:ilvl w:val="0"/>
          <w:numId w:val="2"/>
        </w:numPr>
        <w:spacing w:before="0" w:after="80"/>
      </w:pPr>
      <w:r>
        <w:rPr>
          <w:rFonts w:ascii="Arial" w:cs="Arial" w:eastAsia="Arial" w:hAnsi="Arial"/>
          <w:color w:val="5F5E5A"/>
          <w:sz w:val="22"/>
          <w:szCs w:val="22"/>
        </w:rPr>
        <w:t xml:space="preserve">Footer: Stone 200 rule, "kaya.work" in Arial 9pt Stone 600 right-aligned.</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Employer-facing collateral</w:t>
      </w:r>
    </w:p>
    <w:p>
      <w:pPr>
        <w:pStyle w:val="ListParagraph"/>
        <w:numPr>
          <w:ilvl w:val="0"/>
          <w:numId w:val="2"/>
        </w:numPr>
        <w:spacing w:before="0" w:after="80"/>
      </w:pPr>
      <w:r>
        <w:rPr>
          <w:rFonts w:ascii="Arial" w:cs="Arial" w:eastAsia="Arial" w:hAnsi="Arial"/>
          <w:color w:val="5F5E5A"/>
          <w:sz w:val="22"/>
          <w:szCs w:val="22"/>
        </w:rPr>
        <w:t xml:space="preserve">Lead with outcomes data. 65.9% employment rate. 700+ employers. 6 continents.</w:t>
      </w:r>
    </w:p>
    <w:p>
      <w:pPr>
        <w:pStyle w:val="ListParagraph"/>
        <w:numPr>
          <w:ilvl w:val="0"/>
          <w:numId w:val="2"/>
        </w:numPr>
        <w:spacing w:before="0" w:after="80"/>
      </w:pPr>
      <w:r>
        <w:rPr>
          <w:rFonts w:ascii="Arial" w:cs="Arial" w:eastAsia="Arial" w:hAnsi="Arial"/>
          <w:color w:val="5F5E5A"/>
          <w:sz w:val="22"/>
          <w:szCs w:val="22"/>
        </w:rPr>
        <w:t xml:space="preserve">The product name in employer materials is always "Kaya" — never "the SIS" or "the platform."</w:t>
      </w:r>
    </w:p>
    <w:p>
      <w:pPr>
        <w:pStyle w:val="ListParagraph"/>
        <w:numPr>
          <w:ilvl w:val="0"/>
          <w:numId w:val="2"/>
        </w:numPr>
        <w:spacing w:before="0" w:after="80"/>
      </w:pPr>
      <w:r>
        <w:rPr>
          <w:rFonts w:ascii="Arial" w:cs="Arial" w:eastAsia="Arial" w:hAnsi="Arial"/>
          <w:color w:val="5F5E5A"/>
          <w:sz w:val="22"/>
          <w:szCs w:val="22"/>
        </w:rPr>
        <w:t xml:space="preserve">Gate language is visible: Gate 1 Alignment, Gate 2 Evidence, Gate 3 Predictability.</w:t>
      </w:r>
    </w:p>
    <w:p>
      <w:pPr>
        <w:pStyle w:val="ListParagraph"/>
        <w:numPr>
          <w:ilvl w:val="0"/>
          <w:numId w:val="2"/>
        </w:numPr>
        <w:spacing w:before="0" w:after="80"/>
      </w:pPr>
      <w:r>
        <w:rPr>
          <w:rFonts w:ascii="Arial" w:cs="Arial" w:eastAsia="Arial" w:hAnsi="Arial"/>
          <w:color w:val="5F5E5A"/>
          <w:sz w:val="22"/>
          <w:szCs w:val="22"/>
        </w:rPr>
        <w:t xml:space="preserve">Human reviewer roles are named: Recruiter, Hiring Manager, Final Approver.</w:t>
      </w:r>
    </w:p>
    <w:p>
      <w:pPr>
        <w:spacing w:before="0" w:after="160"/>
      </w:pPr>
      <w:r>
        <w:t xml:space="preserve"/>
      </w:r>
    </w:p>
    <w:p>
      <w:pPr>
        <w:pStyle w:val="Heading2"/>
        <w:spacing w:before="360" w:after="120"/>
      </w:pPr>
      <w:r>
        <w:rPr>
          <w:rFonts w:ascii="Arial" w:cs="Arial" w:eastAsia="Arial" w:hAnsi="Arial"/>
          <w:b/>
          <w:bCs/>
          <w:color w:val="0C447C"/>
          <w:sz w:val="26"/>
          <w:szCs w:val="26"/>
        </w:rPr>
        <w:t xml:space="preserve">Jobseeker-facing collateral</w:t>
      </w:r>
    </w:p>
    <w:p>
      <w:pPr>
        <w:pStyle w:val="ListParagraph"/>
        <w:numPr>
          <w:ilvl w:val="0"/>
          <w:numId w:val="2"/>
        </w:numPr>
        <w:spacing w:before="0" w:after="80"/>
      </w:pPr>
      <w:r>
        <w:rPr>
          <w:rFonts w:ascii="Arial" w:cs="Arial" w:eastAsia="Arial" w:hAnsi="Arial"/>
          <w:color w:val="5F5E5A"/>
          <w:sz w:val="22"/>
          <w:szCs w:val="22"/>
        </w:rPr>
        <w:t xml:space="preserve">Lead with agency, not charity. "Show what you can do" not "get the support you need."</w:t>
      </w:r>
    </w:p>
    <w:p>
      <w:pPr>
        <w:pStyle w:val="ListParagraph"/>
        <w:numPr>
          <w:ilvl w:val="0"/>
          <w:numId w:val="2"/>
        </w:numPr>
        <w:spacing w:before="0" w:after="80"/>
      </w:pPr>
      <w:r>
        <w:rPr>
          <w:rFonts w:ascii="Arial" w:cs="Arial" w:eastAsia="Arial" w:hAnsi="Arial"/>
          <w:color w:val="5F5E5A"/>
          <w:sz w:val="22"/>
          <w:szCs w:val="22"/>
        </w:rPr>
        <w:t xml:space="preserve">The LEEE process is described as: "We have a conversation. Your stories become evidence."</w:t>
      </w:r>
    </w:p>
    <w:p>
      <w:pPr>
        <w:pStyle w:val="ListParagraph"/>
        <w:numPr>
          <w:ilvl w:val="0"/>
          <w:numId w:val="2"/>
        </w:numPr>
        <w:spacing w:before="0" w:after="80"/>
      </w:pPr>
      <w:r>
        <w:rPr>
          <w:rFonts w:ascii="Arial" w:cs="Arial" w:eastAsia="Arial" w:hAnsi="Arial"/>
          <w:color w:val="5F5E5A"/>
          <w:sz w:val="22"/>
          <w:szCs w:val="22"/>
        </w:rPr>
        <w:t xml:space="preserve">Outcomes are always specific: "65.9% of Kaya alumni are employed. 80.5% in mature cohorts."</w:t>
      </w:r>
    </w:p>
    <w:p>
      <w:pPr>
        <w:pStyle w:val="ListParagraph"/>
        <w:numPr>
          <w:ilvl w:val="0"/>
          <w:numId w:val="2"/>
        </w:numPr>
        <w:spacing w:before="0" w:after="80"/>
      </w:pPr>
      <w:r>
        <w:rPr>
          <w:rFonts w:ascii="Arial" w:cs="Arial" w:eastAsia="Arial" w:hAnsi="Arial"/>
          <w:color w:val="5F5E5A"/>
          <w:sz w:val="22"/>
          <w:szCs w:val="22"/>
        </w:rPr>
        <w:t xml:space="preserve">Feedback is positioned as a feature: "Even if you do not advance, you leave with a skills report."</w:t>
      </w:r>
    </w:p>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7. What Kaya is not</w:t>
      </w:r>
    </w:p>
    <w:p>
      <w:pPr>
        <w:spacing w:before="0" w:after="120"/>
        <w:jc w:val="both"/>
      </w:pPr>
      <w:r>
        <w:rPr>
          <w:rFonts w:ascii="Arial" w:cs="Arial" w:eastAsia="Arial" w:hAnsi="Arial"/>
          <w:color w:val="5F5E5A"/>
          <w:sz w:val="22"/>
          <w:szCs w:val="22"/>
        </w:rPr>
        <w:t xml:space="preserve">The clearest test of the Kaya brand is what it refuses to be. These boundaries are as important as the guidelines above.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D9E75" w:val="clear"/>
            <w:tcMar>
              <w:top w:type="dxa" w:w="100"/>
              <w:left w:type="dxa" w:w="160"/>
              <w:bottom w:type="dxa" w:w="100"/>
              <w:right w:type="dxa" w:w="160"/>
            </w:tcMar>
          </w:tcPr>
          <w:p>
            <w:r>
              <w:rPr>
                <w:rFonts w:ascii="Arial" w:cs="Arial" w:eastAsia="Arial" w:hAnsi="Arial"/>
                <w:b/>
                <w:bCs/>
                <w:color w:val="FFFFFF"/>
                <w:sz w:val="22"/>
                <w:szCs w:val="22"/>
              </w:rPr>
              <w:t xml:space="preserve">Do</w:t>
            </w:r>
          </w:p>
        </w:tc>
        <w:tc>
          <w:tcPr>
            <w:tcW w:type="dxa" w:w="4680"/>
            <w:tcBorders>
              <w:top w:val="none" w:color="FFFFFF" w:sz="0"/>
              <w:left w:val="none" w:color="FFFFFF" w:sz="0"/>
              <w:bottom w:val="none" w:color="FFFFFF" w:sz="0"/>
              <w:right w:val="none" w:color="FFFFFF" w:sz="0"/>
            </w:tcBorders>
            <w:shd w:fill="D85A30" w:val="clear"/>
            <w:tcMar>
              <w:top w:type="dxa" w:w="100"/>
              <w:left w:type="dxa" w:w="160"/>
              <w:bottom w:type="dxa" w:w="100"/>
              <w:right w:type="dxa" w:w="160"/>
            </w:tcMar>
          </w:tcPr>
          <w:p>
            <w:r>
              <w:rPr>
                <w:rFonts w:ascii="Arial" w:cs="Arial" w:eastAsia="Arial" w:hAnsi="Arial"/>
                <w:b/>
                <w:bCs/>
                <w:color w:val="FFFFFF"/>
                <w:sz w:val="22"/>
                <w:szCs w:val="22"/>
              </w:rPr>
              <w:t xml:space="preserve">Don't</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hiring intelligence platform</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diversity initiative or CSR program</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system that proves capability through evidence</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charity placing disadvantaged workers</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tool employers choose for competitive advantage</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compliance tool for meeting inclusion quotas</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three-gate model with human decision-makers at every stage</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An automated screening system</w:t>
            </w:r>
          </w:p>
        </w:tc>
      </w:tr>
      <w:tr>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product built on 10 years of outcome data</w:t>
            </w:r>
          </w:p>
        </w:tc>
        <w:tc>
          <w:tcPr>
            <w:tcW w:type="dxa" w:w="4680"/>
            <w:tcBorders>
              <w:top w:val="single" w:color="D3D1C7" w:sz="4"/>
              <w:left w:val="single" w:color="D3D1C7" w:sz="4"/>
              <w:bottom w:val="single" w:color="D3D1C7" w:sz="4"/>
              <w:right w:val="single" w:color="D3D1C7" w:sz="4"/>
            </w:tcBorders>
            <w:tcMar>
              <w:top w:type="dxa" w:w="100"/>
              <w:left w:type="dxa" w:w="160"/>
              <w:bottom w:type="dxa" w:w="100"/>
              <w:right w:type="dxa" w:w="160"/>
            </w:tcMar>
          </w:tcPr>
          <w:p>
            <w:r>
              <w:rPr>
                <w:rFonts w:ascii="Arial" w:cs="Arial" w:eastAsia="Arial" w:hAnsi="Arial"/>
                <w:color w:val="5F5E5A"/>
                <w:sz w:val="20"/>
                <w:szCs w:val="20"/>
              </w:rPr>
              <w:t xml:space="preserve">A social enterprise product with a sliding scale of quality</w:t>
            </w:r>
          </w:p>
        </w:tc>
      </w:tr>
    </w:tbl>
    <w:p>
      <w:pPr>
        <w:spacing w:before="0" w:after="200"/>
      </w:pPr>
      <w:r>
        <w:t xml:space="preserve"/>
      </w:r>
    </w:p>
    <w:p>
      <w:pPr>
        <w:pBdr>
          <w:bottom w:val="single" w:color="D3D1C7" w:sz="4"/>
        </w:pBdr>
        <w:spacing w:before="200" w:after="200"/>
      </w:pPr>
      <w:r>
        <w:t xml:space="preserve"/>
      </w:r>
    </w:p>
    <w:p>
      <w:r>
        <w:br w:type="page"/>
      </w:r>
    </w:p>
    <w:p>
      <w:pPr>
        <w:pStyle w:val="Heading1"/>
        <w:pBdr>
          <w:top w:val="none" w:color="FFFFFF" w:sz="0"/>
          <w:bottom w:val="single" w:color="185FA5" w:sz="12"/>
        </w:pBdr>
        <w:spacing w:before="400" w:after="160"/>
      </w:pPr>
      <w:r>
        <w:rPr>
          <w:rFonts w:ascii="Arial" w:cs="Arial" w:eastAsia="Arial" w:hAnsi="Arial"/>
          <w:b/>
          <w:bCs/>
          <w:color w:val="042C53"/>
          <w:sz w:val="36"/>
          <w:szCs w:val="36"/>
        </w:rPr>
        <w:t xml:space="preserve">8. Quick reference</w:t>
      </w:r>
    </w:p>
    <w:p>
      <w:pPr>
        <w:pStyle w:val="Heading2"/>
        <w:spacing w:before="360" w:after="120"/>
      </w:pPr>
      <w:r>
        <w:rPr>
          <w:rFonts w:ascii="Arial" w:cs="Arial" w:eastAsia="Arial" w:hAnsi="Arial"/>
          <w:b/>
          <w:bCs/>
          <w:color w:val="0C447C"/>
          <w:sz w:val="26"/>
          <w:szCs w:val="26"/>
        </w:rPr>
        <w:t xml:space="preserve">Brand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Full name</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Kaya</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Domain</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kaya.work</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Primary tagline</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Hire who can.</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Logo typeface</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Georgia (wordmark only)</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System typeface</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Arial</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Primary colour</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#042C53 — Navy 900</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Accent colour</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#1D9E75 — Green 400</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Background</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#F1EFE8 — Stone 50</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Brand origin</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Filipino: kaya = capable. Built by Virtualahan, Davao City, Philippines, 2015–present.</w:t>
            </w:r>
          </w:p>
        </w:tc>
      </w:tr>
      <w:tr>
        <w:tc>
          <w:tcPr>
            <w:tcW w:type="dxa" w:w="2400"/>
            <w:tcBorders>
              <w:top w:val="single" w:color="D3D1C7" w:sz="4"/>
              <w:left w:val="single" w:color="D3D1C7" w:sz="4"/>
              <w:bottom w:val="single" w:color="D3D1C7" w:sz="4"/>
              <w:right w:val="single" w:color="D3D1C7" w:sz="4"/>
            </w:tcBorders>
            <w:shd w:fill="F1EFE8" w:val="clear"/>
            <w:tcMar>
              <w:top w:type="dxa" w:w="100"/>
              <w:left w:type="dxa" w:w="160"/>
              <w:bottom w:type="dxa" w:w="100"/>
              <w:right w:type="dxa" w:w="120"/>
            </w:tcMar>
          </w:tcPr>
          <w:p>
            <w:r>
              <w:rPr>
                <w:rFonts w:ascii="Arial" w:cs="Arial" w:eastAsia="Arial" w:hAnsi="Arial"/>
                <w:b/>
                <w:bCs/>
                <w:color w:val="0C447C"/>
                <w:sz w:val="20"/>
                <w:szCs w:val="20"/>
              </w:rPr>
              <w:t xml:space="preserve">Do not say</w:t>
            </w:r>
          </w:p>
        </w:tc>
        <w:tc>
          <w:tcPr>
            <w:tcW w:type="dxa" w:w="6960"/>
            <w:tcBorders>
              <w:top w:val="single" w:color="D3D1C7" w:sz="4"/>
              <w:left w:val="single" w:color="D3D1C7" w:sz="4"/>
              <w:bottom w:val="single" w:color="D3D1C7" w:sz="4"/>
              <w:right w:val="single" w:color="D3D1C7" w:sz="4"/>
            </w:tcBorders>
            <w:tcMar>
              <w:top w:type="dxa" w:w="100"/>
              <w:left w:type="dxa" w:w="160"/>
              <w:bottom w:type="dxa" w:w="100"/>
              <w:right w:type="dxa" w:w="120"/>
            </w:tcMar>
          </w:tcPr>
          <w:p>
            <w:r>
              <w:rPr>
                <w:rFonts w:ascii="Arial" w:cs="Arial" w:eastAsia="Arial" w:hAnsi="Arial"/>
                <w:color w:val="5F5E5A"/>
                <w:sz w:val="20"/>
                <w:szCs w:val="20"/>
              </w:rPr>
              <w:t xml:space="preserve">"Social innovation competency", "changemaker index", "diversity placement", "SIS"</w:t>
            </w:r>
          </w:p>
        </w:tc>
      </w:tr>
    </w:tbl>
    <w:p>
      <w:pPr>
        <w:spacing w:before="0" w:after="200"/>
      </w:pPr>
      <w:r>
        <w:t xml:space="preserve"/>
      </w:r>
    </w:p>
    <w:p>
      <w:pPr>
        <w:pBdr>
          <w:bottom w:val="single" w:color="D3D1C7" w:sz="4"/>
        </w:pBdr>
        <w:spacing w:before="200" w:after="200"/>
      </w:pPr>
      <w:r>
        <w:t xml:space="preserve"/>
      </w:r>
    </w:p>
    <w:p>
      <w:pPr>
        <w:spacing w:before="0" w:after="160"/>
      </w:pPr>
      <w:r>
        <w:t xml:space="preserve"/>
      </w:r>
    </w:p>
    <w:p>
      <w:pPr>
        <w:jc w:val="center"/>
      </w:pPr>
      <w:r>
        <w:rPr>
          <w:rFonts w:ascii="Arial" w:cs="Arial" w:eastAsia="Arial" w:hAnsi="Arial"/>
          <w:color w:val="5F5E5A"/>
          <w:sz w:val="18"/>
          <w:szCs w:val="18"/>
        </w:rPr>
        <w:t xml:space="preserve">kaya.work  ·  Virtualahan Inc.  ·  Davao City, Philippines  ·  Version 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42C53"/>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C447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2026-03-16T17:57:33.707Z</dcterms:created>
  <dcterms:modified xsi:type="dcterms:W3CDTF">2026-03-16T17:57:33.708Z</dcterms:modified>
</cp:coreProperties>
</file>

<file path=docProps/custom.xml><?xml version="1.0" encoding="utf-8"?>
<Properties xmlns="http://schemas.openxmlformats.org/officeDocument/2006/custom-properties" xmlns:vt="http://schemas.openxmlformats.org/officeDocument/2006/docPropsVTypes"/>
</file>