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4F72"/>
          <w:sz w:val="52"/>
          <w:szCs w:val="52"/>
        </w:rPr>
        <w:t xml:space="preserve">DESIGN CRITIQUE</w:t>
      </w:r>
    </w:p>
    <w:p>
      <w:pPr>
        <w:spacing w:after="200"/>
        <w:jc w:val="center"/>
      </w:pPr>
      <w:r>
        <w:rPr>
          <w:rFonts w:ascii="Arial" w:cs="Arial" w:eastAsia="Arial" w:hAnsi="Arial"/>
          <w:color w:val="2E86C1"/>
          <w:sz w:val="36"/>
          <w:szCs w:val="36"/>
        </w:rPr>
        <w:t xml:space="preserve">Topology Engine v2.0</w:t>
      </w:r>
    </w:p>
    <w:p>
      <w:pPr>
        <w:spacing w:after="60"/>
        <w:jc w:val="center"/>
      </w:pPr>
      <w:r>
        <w:rPr>
          <w:rFonts w:ascii="Arial" w:cs="Arial" w:eastAsia="Arial" w:hAnsi="Arial"/>
          <w:color w:val="64748B"/>
          <w:sz w:val="24"/>
          <w:szCs w:val="24"/>
        </w:rPr>
        <w:t xml:space="preserve">Kubilitics Platform</w:t>
      </w:r>
    </w:p>
    <w:p>
      <w:pPr>
        <w:pBdr>
          <w:bottom w:val="single" w:color="1B4F72" w:sz="6" w:space="1"/>
        </w:pBdr>
        <w:spacing w:after="200" w:before="200"/>
      </w:pPr>
    </w:p>
    <w:p>
      <w:pPr>
        <w:spacing w:after="60"/>
        <w:jc w:val="center"/>
      </w:pPr>
      <w:r>
        <w:rPr>
          <w:rFonts w:ascii="Arial" w:cs="Arial" w:eastAsia="Arial" w:hAnsi="Arial"/>
          <w:color w:val="64748B"/>
          <w:sz w:val="22"/>
          <w:szCs w:val="22"/>
        </w:rPr>
        <w:t xml:space="preserve">Prepared: March 10, 2026</w:t>
      </w:r>
    </w:p>
    <w:p>
      <w:pPr>
        <w:spacing w:after="60"/>
        <w:jc w:val="center"/>
      </w:pPr>
      <w:r>
        <w:rPr>
          <w:rFonts w:ascii="Arial" w:cs="Arial" w:eastAsia="Arial" w:hAnsi="Arial"/>
          <w:color w:val="94A3B8"/>
          <w:sz w:val="20"/>
          <w:szCs w:val="20"/>
        </w:rPr>
        <w:t xml:space="preserve">Documents Reviewed: 6 (PRD, Design Doc, Design System, Development Tasks, Execution Plan, API Spec)</w:t>
      </w:r>
    </w:p>
    <w:p>
      <w:pPr>
        <w:spacing w:after="60"/>
        <w:jc w:val="center"/>
      </w:pPr>
      <w:r>
        <w:rPr>
          <w:rFonts w:ascii="Arial" w:cs="Arial" w:eastAsia="Arial" w:hAnsi="Arial"/>
          <w:color w:val="94A3B8"/>
          <w:sz w:val="20"/>
          <w:szCs w:val="20"/>
        </w:rPr>
        <w:t xml:space="preserve">Total Estimated Effort: ~204 story points across 62 tasks, 14 weeks</w:t>
      </w:r>
    </w:p>
    <w:p>
      <w:r>
        <w:br w:type="page"/>
      </w:r>
    </w:p>
    <w:p>
      <w:pPr>
        <w:pStyle w:val="Heading1"/>
      </w:pPr>
      <w:r>
        <w:t xml:space="preserve">Executive Summary</w:t>
      </w:r>
    </w:p>
    <w:p>
      <w:pPr>
        <w:spacing w:after="120"/>
      </w:pPr>
      <w:r>
        <w:rPr>
          <w:rFonts w:ascii="Arial" w:cs="Arial" w:eastAsia="Arial" w:hAnsi="Arial"/>
          <w:sz w:val="22"/>
          <w:szCs w:val="22"/>
        </w:rPr>
        <w:t xml:space="preserve">The Topology Engine v2.0 is an ambitious and well-conceived ground-up rewrite of Kubilitics' core differentiating feature. The documentation set is remarkably thorough: a clear PRD with non-negotiable principles, a detailed technical design doc, a complete visual design system, a phased development plan with 62 tasks, and an execution plan with dependency tracking. This is some of the best specification work I've seen for a complex graph visualization project.</w:t>
      </w:r>
    </w:p>
    <w:p>
      <w:pPr>
        <w:spacing w:after="120"/>
      </w:pPr>
      <w:r>
        <w:rPr>
          <w:rFonts w:ascii="Arial" w:cs="Arial" w:eastAsia="Arial" w:hAnsi="Arial"/>
          <w:sz w:val="22"/>
          <w:szCs w:val="22"/>
        </w:rPr>
        <w:t xml:space="preserve">The design correctly identifies the fundamental problems with v1 (missing connections, visual chaos, layout thrashing, no hierarchy) and proposes principled solutions for each. The choice to move from Cytoscape.js to React Flow v12 is sound, the 39-relationship registry is comprehensive, and the ELK-based deterministic layout strategy is well-suited to the problem.</w:t>
      </w:r>
    </w:p>
    <w:p>
      <w:pPr>
        <w:spacing w:after="120"/>
      </w:pPr>
      <w:r>
        <w:rPr>
          <w:rFonts w:ascii="Arial" w:cs="Arial" w:eastAsia="Arial" w:hAnsi="Arial"/>
          <w:sz w:val="22"/>
          <w:szCs w:val="22"/>
        </w:rPr>
        <w:t xml:space="preserve">That said, several areas warrant careful attention before and during implementation. The biggest risks involve complexity management at scale, the gap between specification and implementation reality, and a few interaction design decisions that could undermine the product's usability for its primary persona (the 3 AM SRE).</w:t>
      </w:r>
    </w:p>
    <w:p>
      <w:pPr>
        <w:pStyle w:val="Heading1"/>
      </w:pPr>
      <w:r>
        <w:t xml:space="preserve">Overall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2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Rating</w:t>
            </w:r>
          </w:p>
        </w:tc>
        <w:tc>
          <w:tcPr>
            <w:tcW w:type="dxa" w:w="2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Assessment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Information Architecture</w:t>
            </w:r>
          </w:p>
        </w:tc>
        <w:tc>
          <w:tcPr>
            <w:tcW w:type="dxa" w:w="268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Excellent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Visual Design System</w:t>
            </w:r>
          </w:p>
        </w:tc>
        <w:tc>
          <w:tcPr>
            <w:tcW w:type="dxa" w:w="268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Very Strong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Usability &amp; Interaction</w:t>
            </w:r>
          </w:p>
        </w:tc>
        <w:tc>
          <w:tcPr>
            <w:tcW w:type="dxa" w:w="2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Strong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Technical Architecture</w:t>
            </w:r>
          </w:p>
        </w:tc>
        <w:tc>
          <w:tcPr>
            <w:tcW w:type="dxa" w:w="268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Excellent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Accessibility</w:t>
            </w:r>
          </w:p>
        </w:tc>
        <w:tc>
          <w:tcPr>
            <w:tcW w:type="dxa" w:w="268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Very Strong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Performance Strategy</w:t>
            </w:r>
          </w:p>
        </w:tc>
        <w:tc>
          <w:tcPr>
            <w:tcW w:type="dxa" w:w="2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Strong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Scope &amp; Feasibility</w:t>
            </w:r>
          </w:p>
        </w:tc>
        <w:tc>
          <w:tcPr>
            <w:tcW w:type="dxa" w:w="2680"/>
            <w:tcBorders>
              <w:top w:val="single" w:color="CCCCCC" w:sz="1"/>
              <w:left w:val="single" w:color="CCCCCC" w:sz="1"/>
              <w:bottom w:val="single" w:color="CCCCCC" w:sz="1"/>
              <w:right w:val="single" w:color="CCCCCC" w:sz="1"/>
            </w:tcBorders>
            <w:shd w:fill="EAB30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Good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Documentation Quality</w:t>
            </w:r>
          </w:p>
        </w:tc>
        <w:tc>
          <w:tcPr>
            <w:tcW w:type="dxa" w:w="268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Excellent</w:t>
            </w:r>
          </w:p>
        </w:tc>
      </w:tr>
    </w:tbl>
    <w:p>
      <w:r>
        <w:br w:type="page"/>
      </w:r>
    </w:p>
    <w:p>
      <w:pPr>
        <w:pStyle w:val="Heading1"/>
      </w:pPr>
      <w:r>
        <w:t xml:space="preserve">1. First Impression (The 2-Second Test)</w:t>
      </w:r>
    </w:p>
    <w:p>
      <w:pPr>
        <w:pStyle w:val="Heading2"/>
      </w:pPr>
      <w:r>
        <w:t xml:space="preserve">What Draws the Eye</w:t>
      </w:r>
    </w:p>
    <w:p>
      <w:pPr>
        <w:spacing w:after="120"/>
      </w:pPr>
      <w:r>
        <w:rPr>
          <w:rFonts w:ascii="Arial" w:cs="Arial" w:eastAsia="Arial" w:hAnsi="Arial"/>
          <w:sz w:val="22"/>
          <w:szCs w:val="22"/>
        </w:rPr>
        <w:t xml:space="preserve">The vision statement nails it: clicking any resource should instantly reveal everything connected to it. The ASCII art mockup in the PRD (Section 1, the payment-api pod topology) is perhaps the most effective piece of the entire documentation set. It communicates the product vision in a way that no amount of prose could. Anyone reading this immediately understands what the topology should look and feel like.</w:t>
      </w:r>
    </w:p>
    <w:p>
      <w:pPr>
        <w:pStyle w:val="Heading2"/>
      </w:pPr>
      <w:r>
        <w:t xml:space="preserve">Emotional Reaction</w:t>
      </w:r>
    </w:p>
    <w:p>
      <w:pPr>
        <w:spacing w:after="120"/>
      </w:pPr>
      <w:r>
        <w:rPr>
          <w:rFonts w:ascii="Arial" w:cs="Arial" w:eastAsia="Arial" w:hAnsi="Arial"/>
          <w:sz w:val="22"/>
          <w:szCs w:val="22"/>
        </w:rPr>
        <w:t xml:space="preserve">Confidence. This reads like a team that deeply understands both the problem domain (Kubernetes resource relationships) and the design domain (graph visualization, progressive disclosure, WCAG compliance). The design principles are framed as non-negotiable rules rather than aspirational guidelines, which signals serious intent.</w:t>
      </w:r>
    </w:p>
    <w:p>
      <w:pPr>
        <w:pStyle w:val="Heading2"/>
      </w:pPr>
      <w:r>
        <w:t xml:space="preserve">Is the Purpose Clear?</w:t>
      </w:r>
    </w:p>
    <w:p>
      <w:pPr>
        <w:spacing w:after="120"/>
      </w:pPr>
      <w:r>
        <w:rPr>
          <w:rFonts w:ascii="Arial" w:cs="Arial" w:eastAsia="Arial" w:hAnsi="Arial"/>
          <w:sz w:val="22"/>
          <w:szCs w:val="22"/>
        </w:rPr>
        <w:t xml:space="preserve">Exceptionally clear. Section 0 of the PRD ("Why This Rewrite Exists") is a masterclass in problem framing. The eight enumerated failures are specific, honest, and directly tied to user pain. This is rare. Most PRDs bury the actual problems under feature descriptions.</w:t>
      </w:r>
    </w:p>
    <w:p>
      <w:pPr>
        <w:pBdr>
          <w:bottom w:val="single" w:color="1B4F72" w:sz="6" w:space="1"/>
        </w:pBdr>
        <w:spacing w:after="200" w:before="200"/>
      </w:pPr>
    </w:p>
    <w:p>
      <w:pPr>
        <w:pStyle w:val="Heading1"/>
      </w:pPr>
      <w:r>
        <w:t xml:space="preserve">2. What Works Well</w:t>
      </w:r>
    </w:p>
    <w:p>
      <w:pPr>
        <w:pStyle w:val="Heading2"/>
      </w:pPr>
      <w:r>
        <w:t xml:space="preserve">The 39-Relationship Registry (Principle 1)</w:t>
      </w:r>
    </w:p>
    <w:p>
      <w:pPr>
        <w:spacing w:after="120"/>
      </w:pPr>
      <w:r>
        <w:rPr>
          <w:rFonts w:ascii="Arial" w:cs="Arial" w:eastAsia="Arial" w:hAnsi="Arial"/>
          <w:sz w:val="22"/>
          <w:szCs w:val="22"/>
        </w:rPr>
        <w:t xml:space="preserve">This is the heart of the product, and the specification is outstanding. Each of the 39 relationship types is documented with source, target, edge label, and detection method. This eliminates ambiguity during implementation. The decision to build each relationship type as a separate RelationshipMatcher behind a clean interface is architecturally sound and makes the system extensible for future Kubernetes resource types (CRDs, Gateway API, etc.).</w:t>
      </w:r>
    </w:p>
    <w:p>
      <w:pPr>
        <w:pStyle w:val="Heading2"/>
      </w:pPr>
      <w:r>
        <w:t xml:space="preserve">Semantic Layer Assignment</w:t>
      </w:r>
    </w:p>
    <w:p>
      <w:pPr>
        <w:spacing w:after="120"/>
      </w:pPr>
      <w:r>
        <w:rPr>
          <w:rFonts w:ascii="Arial" w:cs="Arial" w:eastAsia="Arial" w:hAnsi="Arial"/>
          <w:sz w:val="22"/>
          <w:szCs w:val="22"/>
        </w:rPr>
        <w:t xml:space="preserve">The layer assignment table (PRD Section 7.3) is one of the most thoughtful design decisions in the document. By assigning semantic layers (Ingress at top, Service below, Workloads below that, Pods below that, Infrastructure at bottom), the layout naturally mirrors how Kubernetes engineers think about request flow. This is the kind of design choice that makes a topology feel "right" without users being able to articulate why.</w:t>
      </w:r>
    </w:p>
    <w:p>
      <w:pPr>
        <w:pStyle w:val="Heading2"/>
      </w:pPr>
      <w:r>
        <w:t xml:space="preserve">Color-Blind Safety</w:t>
      </w:r>
    </w:p>
    <w:p>
      <w:pPr>
        <w:spacing w:after="120"/>
      </w:pPr>
      <w:r>
        <w:rPr>
          <w:rFonts w:ascii="Arial" w:cs="Arial" w:eastAsia="Arial" w:hAnsi="Arial"/>
          <w:sz w:val="22"/>
          <w:szCs w:val="22"/>
        </w:rPr>
        <w:t xml:space="preserve">The design system explicitly addresses color-blind safety by combining color with shape and text for every status indicator. Health status uses green dot + "Running" text, yellow triangle + "Warning" text, and red square + "Error" text. Edge types combine color with line style (solid, dashed, dotted). This is done correctly and thoroughly.</w:t>
      </w:r>
    </w:p>
    <w:p>
      <w:pPr>
        <w:pStyle w:val="Heading2"/>
      </w:pPr>
      <w:r>
        <w:t xml:space="preserve">Progressive Disclosure</w:t>
      </w:r>
    </w:p>
    <w:p>
      <w:pPr>
        <w:spacing w:after="120"/>
      </w:pPr>
      <w:r>
        <w:rPr>
          <w:rFonts w:ascii="Arial" w:cs="Arial" w:eastAsia="Arial" w:hAnsi="Arial"/>
          <w:sz w:val="22"/>
          <w:szCs w:val="22"/>
        </w:rPr>
        <w:t xml:space="preserve">The four-level drill-down (Cluster, Namespace, Workload, Resource-Centric) is well-conceived. It solves the fundamental tension between showing a 2,000-resource cluster and showing the detail for a single pod. The breadcrumb navigation and Escape-key-to-go-back pattern will feel familiar to users.</w:t>
      </w:r>
    </w:p>
    <w:p>
      <w:pPr>
        <w:pStyle w:val="Heading2"/>
      </w:pPr>
      <w:r>
        <w:t xml:space="preserve">Web Worker Layout Strategy</w:t>
      </w:r>
    </w:p>
    <w:p>
      <w:pPr>
        <w:spacing w:after="120"/>
      </w:pPr>
      <w:r>
        <w:rPr>
          <w:rFonts w:ascii="Arial" w:cs="Arial" w:eastAsia="Arial" w:hAnsi="Arial"/>
          <w:sz w:val="22"/>
          <w:szCs w:val="22"/>
        </w:rPr>
        <w:t xml:space="preserve">Running ELK layout computation in a Web Worker is the right call. Graph layout is CPU-intensive and would otherwise block the main thread, causing jank during initial render and re-layout. The deterministic seed (seed=42) ensures layout stability across page loads.</w:t>
      </w:r>
    </w:p>
    <w:p>
      <w:pPr>
        <w:pStyle w:val="Heading2"/>
      </w:pPr>
      <w:r>
        <w:t xml:space="preserve">Real-Time Incremental Updates</w:t>
      </w:r>
    </w:p>
    <w:p>
      <w:pPr>
        <w:spacing w:after="120"/>
      </w:pPr>
      <w:r>
        <w:rPr>
          <w:rFonts w:ascii="Arial" w:cs="Arial" w:eastAsia="Arial" w:hAnsi="Arial"/>
          <w:sz w:val="22"/>
          <w:szCs w:val="22"/>
        </w:rPr>
        <w:t xml:space="preserve">The partial layout re-computation strategy (only re-layout the connected component affected by a change, not the entire graph) is well-designed. The 100ms batching window for WebSocket events prevents flooding. The "flash of blue border" micro-interaction for updated nodes is a nice touch that gives users confidence the view is live.</w:t>
      </w:r>
    </w:p>
    <w:p>
      <w:r>
        <w:br w:type="page"/>
      </w:r>
    </w:p>
    <w:p>
      <w:pPr>
        <w:pStyle w:val="Heading1"/>
      </w:pPr>
      <w:r>
        <w:t xml:space="preserve">3. Critical Concerns</w:t>
      </w:r>
    </w:p>
    <w:p>
      <w:pPr>
        <w:pStyle w:val="Heading2"/>
      </w:pPr>
      <w:r>
        <w:t xml:space="preserve">3.1 Resource-Centric View Complexity Risk</w:t>
      </w:r>
    </w:p>
    <w:p>
      <w:pPr>
        <w:spacing w:after="120"/>
      </w:pPr>
      <w:r>
        <w:rPr>
          <w:rFonts w:ascii="Arial" w:cs="Arial" w:eastAsia="Arial" w:hAnsi="Arial"/>
          <w:sz w:val="22"/>
          <w:szCs w:val="22"/>
        </w:rPr>
        <w:t xml:space="preserve">The Resource-Centric view is described as "THE CRITICAL MODE" and the spec demands showing EVERY connected resource for a pod. For a production pod in a moderately complex namespace, this could easily be 25-40 nodes with 50+ edges. The spec acknowledges this mode needs to be perfect, but the design doesn't address how to handle visual complexity when a single pod touches 15+ resource types.</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Introduce a secondary progressive disclosure within Resource-Centric view. Group connections by category (Ownership, Networking, Config, Storage, Identity) as collapsible clusters. Default to showing the ownership chain and networking (the most operationally urgent) with other categories collapsed to summary badges. The user expands what they need. This preserves the "show everything" principle while managing visual overload.</w:t>
      </w:r>
    </w:p>
    <w:p>
      <w:pPr>
        <w:pStyle w:val="Heading2"/>
      </w:pPr>
      <w:r>
        <w:t xml:space="preserve">3.2 Edge Label Anti-Overlap at Scale</w:t>
      </w:r>
    </w:p>
    <w:p>
      <w:pPr>
        <w:spacing w:after="120"/>
      </w:pPr>
      <w:r>
        <w:rPr>
          <w:rFonts w:ascii="Arial" w:cs="Arial" w:eastAsia="Arial" w:hAnsi="Arial"/>
          <w:sz w:val="22"/>
          <w:szCs w:val="22"/>
        </w:rPr>
        <w:t xml:space="preserve">The design-system.md describes an anti-overlap algorithm for edge labels: detect overlapping bounding boxes, shift along the edge path, stack vertically, and collapse into a "[3 connections]" badge. This is described in prose but not specified algorithmically. In practice, label anti-overlap in dense graphs is one of the hardest problems in graph visualization. The collapse to "[3 connections]" badge hides exactly the information that makes the topology useful.</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Define a concrete algorithm with fallback tiers. Tier 1: shift labels along edge path (up to 30% of edge length). Tier 2: rotate labels to 45 degrees. Tier 3: show labels on hover only (with a visual indicator that labels exist). Never collapse to an opaque badge. Consider dedicated label placement for the 5 most common edge types and allow less common edges to use hover-reveal.</w:t>
      </w:r>
    </w:p>
    <w:p>
      <w:pPr>
        <w:pStyle w:val="Heading2"/>
      </w:pPr>
      <w:r>
        <w:t xml:space="preserve">3.3 The 14-Week Timeline is Aggressive</w:t>
      </w:r>
    </w:p>
    <w:p>
      <w:pPr>
        <w:spacing w:after="120"/>
      </w:pPr>
      <w:r>
        <w:rPr>
          <w:rFonts w:ascii="Arial" w:cs="Arial" w:eastAsia="Arial" w:hAnsi="Arial"/>
          <w:sz w:val="22"/>
          <w:szCs w:val="22"/>
        </w:rPr>
        <w:t xml:space="preserve">62 tasks at 204 story points with 2 engineers over 14 weeks assumes roughly 7.3 points per engineer per week. This is achievable for straightforward CRUD work but ambitious for a project involving graph algorithms, layout engines, WebSocket real-time updates, Web Workers, and 5 distinct view modes with E2E tests. The critical path (P0, P1, P2, P4 sequentially for backend; P3 in parallel for frontend) leaves little buffer.</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Add 2-3 weeks of buffer. Prioritize shipping a functional Resource-Centric view and Namespace view before Cluster Overview, Workload, and RBAC views. The former two serve the primary persona (SRE during incident). Consider launching with v2 for Resource-Centric mode only (behind feature flag) while continuing to develop other view modes.</w:t>
      </w:r>
    </w:p>
    <w:p>
      <w:pPr>
        <w:pStyle w:val="Heading2"/>
      </w:pPr>
      <w:r>
        <w:t xml:space="preserve">3.4 Missing Error States and Loading Patterns</w:t>
      </w:r>
    </w:p>
    <w:p>
      <w:pPr>
        <w:spacing w:after="120"/>
      </w:pPr>
      <w:r>
        <w:rPr>
          <w:rFonts w:ascii="Arial" w:cs="Arial" w:eastAsia="Arial" w:hAnsi="Arial"/>
          <w:sz w:val="22"/>
          <w:szCs w:val="22"/>
        </w:rPr>
        <w:t xml:space="preserve">The design-system.md specifies a "loading skeleton" with placeholder gray rectangles during graph build, but doesn't address several important states: partial load failure (some resource types fail to list, but others succeed), WebSocket disconnection (the topology is stale but the user doesn't know), slow layout computation (&gt;3s for large graphs with no progress indicator), and permission errors (user can see some resources but not others).</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Design explicit states for: (1) Partial data with a warning banner ("Unable to load Secrets - some connections may be missing"), (2) Stale data indicator when WebSocket disconnects (subtle orange banner with retry), (3) Layout progress bar for large graphs ("Computing layout... 67%"), (4) Permission-filtered nodes shown as locked/redacted placeholders rather than silently omitted.</w:t>
      </w:r>
    </w:p>
    <w:p>
      <w:r>
        <w:br w:type="page"/>
      </w:r>
    </w:p>
    <w:p>
      <w:pPr>
        <w:pStyle w:val="Heading1"/>
      </w:pPr>
      <w:r>
        <w:t xml:space="preserve">4. Usability Analysis</w:t>
      </w:r>
    </w:p>
    <w:p>
      <w:pPr>
        <w:pStyle w:val="Heading2"/>
      </w:pPr>
      <w:r>
        <w:t xml:space="preserve">4.1 SRE at 3 AM: Time-to-Insight</w:t>
      </w:r>
    </w:p>
    <w:p>
      <w:pPr>
        <w:spacing w:after="120"/>
      </w:pPr>
      <w:r>
        <w:rPr>
          <w:rFonts w:ascii="Arial" w:cs="Arial" w:eastAsia="Arial" w:hAnsi="Arial"/>
          <w:sz w:val="22"/>
          <w:szCs w:val="22"/>
        </w:rPr>
        <w:t xml:space="preserve">The primary persona (SRE during incident) needs to go from alert to understanding in under 10 seconds. The current design supports this well through the Resource-Centric view, but the path to get there could be faster. The user must navigate: open Kubilitics, select cluster, navigate to topology, find the failing resource, double-click to enter Resource-Centric mode. That's 5 steps.</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Add a deep-link URL pattern: /topology/{cluster}/resource/{kind}/{ns}/{name}. This allows alert integrations (PagerDuty, Slack, OpsGenie) to link directly to the Resource-Centric topology for the failing resource. One click from the alert to the full topology. This is a high-value, low-effort addition that could be the most impactful single feature for the SRE persona.</w:t>
      </w:r>
    </w:p>
    <w:p>
      <w:pPr>
        <w:pStyle w:val="Heading2"/>
      </w:pPr>
      <w:r>
        <w:t xml:space="preserve">4.2 Right-Click Context Menu</w:t>
      </w:r>
    </w:p>
    <w:p>
      <w:pPr>
        <w:spacing w:after="120"/>
      </w:pPr>
      <w:r>
        <w:rPr>
          <w:rFonts w:ascii="Arial" w:cs="Arial" w:eastAsia="Arial" w:hAnsi="Arial"/>
          <w:sz w:val="22"/>
          <w:szCs w:val="22"/>
        </w:rPr>
        <w:t xml:space="preserve">The spec includes a right-click context menu with "View YAML, View Logs (pods), Open Detail Page, Copy Name, Investigate with AI." These are the right actions, but the right-click pattern is not discoverable and doesn't work on mobile/tablet. The Detail Panel (Section 8.4) duplicates some of these actions at the bottom.</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Make the Detail Panel the primary action surface. Add all context-menu actions as prominent buttons in the Detail Panel. Keep the right-click menu as a power-user shortcut. On mobile, long-press should open the Detail Panel, not a context menu.</w:t>
      </w:r>
    </w:p>
    <w:p>
      <w:pPr>
        <w:pStyle w:val="Heading2"/>
      </w:pPr>
      <w:r>
        <w:t xml:space="preserve">4.3 View Mode Discovery</w:t>
      </w:r>
    </w:p>
    <w:p>
      <w:pPr>
        <w:spacing w:after="120"/>
      </w:pPr>
      <w:r>
        <w:rPr>
          <w:rFonts w:ascii="Arial" w:cs="Arial" w:eastAsia="Arial" w:hAnsi="Arial"/>
          <w:sz w:val="22"/>
          <w:szCs w:val="22"/>
        </w:rPr>
        <w:t xml:space="preserve">Five view modes (Cluster, Namespace, Workload, Resource, RBAC) is a lot of cognitive overhead for a new user. The toolbar dropdown lists them, but users may not know which mode is appropriate for their task. The keyboard shortcuts (1-5) are efficient for power users but undiscoverable.</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Add contextual view mode suggestions. When the user selects a Pod, show a subtle prompt: "Double-click to see all connections" or "Press 4 for resource-centric view." When viewing a namespace, offer: "Press 1 for cluster overview." These contextual hints teach the view mode system organically.</w:t>
      </w:r>
    </w:p>
    <w:p>
      <w:pPr>
        <w:pStyle w:val="Heading2"/>
      </w:pPr>
      <w:r>
        <w:t xml:space="preserve">4.4 Search and Filter</w:t>
      </w:r>
    </w:p>
    <w:p>
      <w:pPr>
        <w:spacing w:after="120"/>
      </w:pPr>
      <w:r>
        <w:rPr>
          <w:rFonts w:ascii="Arial" w:cs="Arial" w:eastAsia="Arial" w:hAnsi="Arial"/>
          <w:sz w:val="22"/>
          <w:szCs w:val="22"/>
        </w:rPr>
        <w:t xml:space="preserve">The spec mentions a search overlay (/ key to open) but provides minimal detail. For a topology with 200+ resources, search is not optional. The design should specify: search by resource name, kind, namespace, label, and status. Results should highlight matching nodes on the canvas and dim non-matches. Consider a filter sidebar for persistent filtering by resource type, health status, or namespace.</w:t>
      </w:r>
    </w:p>
    <w:p>
      <w:r>
        <w:br w:type="page"/>
      </w:r>
    </w:p>
    <w:p>
      <w:pPr>
        <w:pStyle w:val="Heading1"/>
      </w:pPr>
      <w:r>
        <w:t xml:space="preserve">5. Visual Hierarchy Analysis</w:t>
      </w:r>
    </w:p>
    <w:p>
      <w:pPr>
        <w:pStyle w:val="Heading2"/>
      </w:pPr>
      <w:r>
        <w:t xml:space="preserve">5.1 Reading Order</w:t>
      </w:r>
    </w:p>
    <w:p>
      <w:pPr>
        <w:spacing w:after="120"/>
      </w:pPr>
      <w:r>
        <w:rPr>
          <w:rFonts w:ascii="Arial" w:cs="Arial" w:eastAsia="Arial" w:hAnsi="Arial"/>
          <w:sz w:val="22"/>
          <w:szCs w:val="22"/>
        </w:rPr>
        <w:t xml:space="preserve">The semantic layer assignment creates a natural top-to-bottom reading order that mirrors Kubernetes request flow: Ingress at top, Services below, Workloads below that, Pods below. This is excellent. The left-to-right alternative for Namespace view (Ingress on left, Storage on right) is also intuitive.</w:t>
      </w:r>
    </w:p>
    <w:p>
      <w:pPr>
        <w:spacing w:after="120"/>
      </w:pPr>
      <w:r>
        <w:rPr>
          <w:rFonts w:ascii="Arial" w:cs="Arial" w:eastAsia="Arial" w:hAnsi="Arial"/>
          <w:sz w:val="22"/>
          <w:szCs w:val="22"/>
        </w:rPr>
        <w:t xml:space="preserve">The sidebar placement of ConfigMaps/Secrets (left) and Storage (right) in the layer assignment table is a smart decision that prevents the main hierarchy from becoming too wide while keeping config resources accessible.</w:t>
      </w:r>
    </w:p>
    <w:p>
      <w:pPr>
        <w:pStyle w:val="Heading2"/>
      </w:pPr>
      <w:r>
        <w:t xml:space="preserve">5.2 Category Color Differentiation</w:t>
      </w:r>
    </w:p>
    <w:p>
      <w:pPr>
        <w:spacing w:after="120"/>
      </w:pPr>
      <w:r>
        <w:rPr>
          <w:rFonts w:ascii="Arial" w:cs="Arial" w:eastAsia="Arial" w:hAnsi="Arial"/>
          <w:sz w:val="22"/>
          <w:szCs w:val="22"/>
        </w:rPr>
        <w:t xml:space="preserve">The 8 category colors are well-chosen and sufficiently distinct. Blue for Workloads, Violet for Networking, Teal for Config, Orange for Storage, Amber for RBAC, Green for Scaling, Slate for Cluster, and Pink for Extensions. The use of the 600 shade for headers provides strong contrast against white text.</w:t>
      </w:r>
    </w:p>
    <w:p>
      <w:pPr>
        <w:spacing w:after="120"/>
      </w:pPr>
      <w:r>
        <w:rPr>
          <w:rFonts w:ascii="Arial" w:cs="Arial" w:eastAsia="Arial" w:hAnsi="Arial"/>
          <w:b/>
          <w:bCs/>
          <w:sz w:val="22"/>
          <w:szCs w:val="22"/>
        </w:rPr>
        <w:t xml:space="preserve">Minor concern: </w:t>
      </w:r>
      <w:r>
        <w:rPr>
          <w:rFonts w:ascii="Arial" w:cs="Arial" w:eastAsia="Arial" w:hAnsi="Arial"/>
          <w:sz w:val="22"/>
          <w:szCs w:val="22"/>
        </w:rPr>
        <w:t xml:space="preserve">Amber (RBAC, #D97706) and Orange (Storage, #EA580C) may be difficult to distinguish at small sizes or for users with red-green color vision deficiency. Consider increasing the hue separation between these two categories. Moving RBAC to a deeper amber (#B45309) or shifting Storage toward a warmer red-orange (#DC2626) would improve discriminability.</w:t>
      </w:r>
    </w:p>
    <w:p>
      <w:pPr>
        <w:pStyle w:val="Heading2"/>
      </w:pPr>
      <w:r>
        <w:t xml:space="preserve">5.3 Node Size Hierarchy</w:t>
      </w:r>
    </w:p>
    <w:p>
      <w:pPr>
        <w:spacing w:after="120"/>
      </w:pPr>
      <w:r>
        <w:rPr>
          <w:rFonts w:ascii="Arial" w:cs="Arial" w:eastAsia="Arial" w:hAnsi="Arial"/>
          <w:sz w:val="22"/>
          <w:szCs w:val="22"/>
        </w:rPr>
        <w:t xml:space="preserve">The four node sizes (Standard 240px, Compact 160px, Expanded 320px, Collapsed 120px) provide good differentiation. The semantic zoom behavior (switching node types based on zoom level) is well-specified with smooth transitions. However, all standard nodes are the same size regardless of importance.</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Consider making the focused/selected resource slightly larger (260px) even in standard mode, not just in Resource-Centric expanded mode. This creates a visual anchor point when selecting nodes in any view mode.</w:t>
      </w:r>
    </w:p>
    <w:p>
      <w:pPr>
        <w:pBdr>
          <w:bottom w:val="single" w:color="1B4F72" w:sz="6" w:space="1"/>
        </w:pBdr>
        <w:spacing w:after="200" w:before="200"/>
      </w:pPr>
    </w:p>
    <w:p>
      <w:pPr>
        <w:pStyle w:val="Heading1"/>
      </w:pPr>
      <w:r>
        <w:t xml:space="preserve">6. Consistency Analysis</w:t>
      </w:r>
    </w:p>
    <w:p>
      <w:pPr>
        <w:pStyle w:val="Heading2"/>
      </w:pPr>
      <w:r>
        <w:t xml:space="preserve">Design System Adherence</w:t>
      </w:r>
    </w:p>
    <w:p>
      <w:pPr>
        <w:spacing w:after="120"/>
      </w:pPr>
      <w:r>
        <w:rPr>
          <w:rFonts w:ascii="Arial" w:cs="Arial" w:eastAsia="Arial" w:hAnsi="Arial"/>
          <w:sz w:val="22"/>
          <w:szCs w:val="22"/>
        </w:rPr>
        <w:t xml:space="preserve">The design system document is comprehensive and self-consistent. Color tokens, typography scales, spacing values, and animation timings are all defined. The dark mode mapping table (Section 6.1) covers every element systematically. The WCAG contrast verification table demonstrates rigor.</w:t>
      </w:r>
    </w:p>
    <w:p>
      <w:pPr>
        <w:spacing w:after="120"/>
      </w:pPr>
      <w:r>
        <w:rPr>
          <w:rFonts w:ascii="Arial" w:cs="Arial" w:eastAsia="Arial" w:hAnsi="Arial"/>
          <w:sz w:val="22"/>
          <w:szCs w:val="22"/>
        </w:rPr>
        <w:t xml:space="preserve">The design-doc.md code examples (BaseNode.tsx, LabeledEdge.tsx, elkWorker.ts) correctly reference the design system values, which builds confidence that the spec will be implemented accurately.</w:t>
      </w:r>
    </w:p>
    <w:p>
      <w:pPr>
        <w:pStyle w:val="Heading2"/>
      </w:pPr>
      <w:r>
        <w:t xml:space="preserve">Cross-Document Consistency</w:t>
      </w:r>
    </w:p>
    <w:p>
      <w:pPr>
        <w:spacing w:after="120"/>
      </w:pPr>
      <w:r>
        <w:rPr>
          <w:rFonts w:ascii="Arial" w:cs="Arial" w:eastAsia="Arial" w:hAnsi="Arial"/>
          <w:b/>
          <w:bCs/>
          <w:sz w:val="22"/>
          <w:szCs w:val="22"/>
        </w:rPr>
        <w:t xml:space="preserve">Minor inconsistency found: </w:t>
      </w:r>
      <w:r>
        <w:rPr>
          <w:rFonts w:ascii="Arial" w:cs="Arial" w:eastAsia="Arial" w:hAnsi="Arial"/>
          <w:sz w:val="22"/>
          <w:szCs w:val="22"/>
        </w:rPr>
        <w:t xml:space="preserve">The PRD Section 5.4 lists node widths as 200/220/240/260/120px by view mode, while the design-system.md Section 3.1 states "Width: 240px (configurable by view mode)." These are compatible but could be clearer. The design system should include the per-view-mode size table from the PRD to be the single source of truth.</w:t>
      </w:r>
    </w:p>
    <w:p>
      <w:pPr>
        <w:spacing w:after="120"/>
      </w:pPr>
      <w:r>
        <w:rPr>
          <w:rFonts w:ascii="Arial" w:cs="Arial" w:eastAsia="Arial" w:hAnsi="Arial"/>
          <w:b/>
          <w:bCs/>
          <w:sz w:val="22"/>
          <w:szCs w:val="22"/>
        </w:rPr>
        <w:t xml:space="preserve">Another inconsistency: </w:t>
      </w:r>
      <w:r>
        <w:rPr>
          <w:rFonts w:ascii="Arial" w:cs="Arial" w:eastAsia="Arial" w:hAnsi="Arial"/>
          <w:sz w:val="22"/>
          <w:szCs w:val="22"/>
        </w:rPr>
        <w:t xml:space="preserve">The PRD Section 3 states "No text smaller than 12px" but the design-system.md Section 4.2 specifies edge labels at "10px". This is a direct contradiction that needs resolution before implementation. Consider making edge labels 12px with more aggressive truncation, or document a principled exception for edge labels.</w:t>
      </w:r>
    </w:p>
    <w:p>
      <w:r>
        <w:br w:type="page"/>
      </w:r>
    </w:p>
    <w:p>
      <w:pPr>
        <w:pStyle w:val="Heading1"/>
      </w:pPr>
      <w:r>
        <w:t xml:space="preserve">7. Accessibility Deep Dive</w:t>
      </w:r>
    </w:p>
    <w:p>
      <w:pPr>
        <w:pStyle w:val="Heading2"/>
      </w:pPr>
      <w:r>
        <w:t xml:space="preserve">Strengths</w:t>
      </w:r>
    </w:p>
    <w:p>
      <w:pPr>
        <w:pStyle w:val="ListParagraph"/>
        <w:numPr>
          <w:ilvl w:val="0"/>
          <w:numId w:val="2"/>
        </w:numPr>
        <w:spacing w:after="60"/>
      </w:pPr>
      <w:r>
        <w:rPr>
          <w:rFonts w:ascii="Arial" w:cs="Arial" w:eastAsia="Arial" w:hAnsi="Arial"/>
          <w:sz w:val="22"/>
          <w:szCs w:val="22"/>
        </w:rPr>
        <w:t xml:space="preserve">WCAG AA contrast ratios verified for all text/background combinations</w:t>
      </w:r>
    </w:p>
    <w:p>
      <w:pPr>
        <w:pStyle w:val="ListParagraph"/>
        <w:numPr>
          <w:ilvl w:val="0"/>
          <w:numId w:val="2"/>
        </w:numPr>
        <w:spacing w:after="60"/>
      </w:pPr>
      <w:r>
        <w:rPr>
          <w:rFonts w:ascii="Arial" w:cs="Arial" w:eastAsia="Arial" w:hAnsi="Arial"/>
          <w:sz w:val="22"/>
          <w:szCs w:val="22"/>
        </w:rPr>
        <w:t xml:space="preserve">Color + shape + text for all status indicators (never color alone)</w:t>
      </w:r>
    </w:p>
    <w:p>
      <w:pPr>
        <w:pStyle w:val="ListParagraph"/>
        <w:numPr>
          <w:ilvl w:val="0"/>
          <w:numId w:val="2"/>
        </w:numPr>
        <w:spacing w:after="60"/>
      </w:pPr>
      <w:r>
        <w:rPr>
          <w:rFonts w:ascii="Arial" w:cs="Arial" w:eastAsia="Arial" w:hAnsi="Arial"/>
          <w:sz w:val="22"/>
          <w:szCs w:val="22"/>
        </w:rPr>
        <w:t xml:space="preserve">Full keyboard navigation (Tab, Shift+Tab, Enter, Escape, Space)</w:t>
      </w:r>
    </w:p>
    <w:p>
      <w:pPr>
        <w:pStyle w:val="ListParagraph"/>
        <w:numPr>
          <w:ilvl w:val="0"/>
          <w:numId w:val="2"/>
        </w:numPr>
        <w:spacing w:after="60"/>
      </w:pPr>
      <w:r>
        <w:rPr>
          <w:rFonts w:ascii="Arial" w:cs="Arial" w:eastAsia="Arial" w:hAnsi="Arial"/>
          <w:sz w:val="22"/>
          <w:szCs w:val="22"/>
        </w:rPr>
        <w:t xml:space="preserve">ARIA labels defined for nodes, edges, and groups</w:t>
      </w:r>
    </w:p>
    <w:p>
      <w:pPr>
        <w:pStyle w:val="ListParagraph"/>
        <w:numPr>
          <w:ilvl w:val="0"/>
          <w:numId w:val="2"/>
        </w:numPr>
        <w:spacing w:after="60"/>
      </w:pPr>
      <w:r>
        <w:rPr>
          <w:rFonts w:ascii="Arial" w:cs="Arial" w:eastAsia="Arial" w:hAnsi="Arial"/>
          <w:sz w:val="22"/>
          <w:szCs w:val="22"/>
        </w:rPr>
        <w:t xml:space="preserve">Screen reader announcements for view mode changes</w:t>
      </w:r>
    </w:p>
    <w:p>
      <w:pPr>
        <w:pStyle w:val="ListParagraph"/>
        <w:numPr>
          <w:ilvl w:val="0"/>
          <w:numId w:val="2"/>
        </w:numPr>
        <w:spacing w:after="60"/>
      </w:pPr>
      <w:r>
        <w:rPr>
          <w:rFonts w:ascii="Arial" w:cs="Arial" w:eastAsia="Arial" w:hAnsi="Arial"/>
          <w:sz w:val="22"/>
          <w:szCs w:val="22"/>
        </w:rPr>
        <w:t xml:space="preserve">Color-blind simulations (deuteranopia, protanopia, tritanopia) mentioned</w:t>
      </w:r>
    </w:p>
    <w:p>
      <w:pPr>
        <w:pStyle w:val="Heading2"/>
      </w:pPr>
      <w:r>
        <w:t xml:space="preserve">Gaps</w:t>
      </w:r>
    </w:p>
    <w:p>
      <w:pPr>
        <w:pStyle w:val="ListParagraph"/>
        <w:numPr>
          <w:ilvl w:val="0"/>
          <w:numId w:val="2"/>
        </w:numPr>
        <w:spacing w:after="60"/>
      </w:pPr>
      <w:r>
        <w:rPr>
          <w:rFonts w:ascii="Arial" w:cs="Arial" w:eastAsia="Arial" w:hAnsi="Arial"/>
          <w:sz w:val="22"/>
          <w:szCs w:val="22"/>
        </w:rPr>
        <w:t xml:space="preserve">No mention of reduced-motion preferences. All animations (node appear, edge draw, layout morph, health pulse) should respect prefers-reduced-motion. Users with vestibular disorders may experience discomfort with the 500ms layout morph animation.</w:t>
      </w:r>
    </w:p>
    <w:p>
      <w:pPr>
        <w:pStyle w:val="ListParagraph"/>
        <w:numPr>
          <w:ilvl w:val="0"/>
          <w:numId w:val="2"/>
        </w:numPr>
        <w:spacing w:after="60"/>
      </w:pPr>
      <w:r>
        <w:rPr>
          <w:rFonts w:ascii="Arial" w:cs="Arial" w:eastAsia="Arial" w:hAnsi="Arial"/>
          <w:sz w:val="22"/>
          <w:szCs w:val="22"/>
        </w:rPr>
        <w:t xml:space="preserve">The keyboard Tab cycle order ("layout order") is undefined. For a graph visualization, layout order is ambiguous. Define a specific traversal: left-to-right, top-to-bottom within each layer.</w:t>
      </w:r>
    </w:p>
    <w:p>
      <w:pPr>
        <w:pStyle w:val="ListParagraph"/>
        <w:numPr>
          <w:ilvl w:val="0"/>
          <w:numId w:val="2"/>
        </w:numPr>
        <w:spacing w:after="60"/>
      </w:pPr>
      <w:r>
        <w:rPr>
          <w:rFonts w:ascii="Arial" w:cs="Arial" w:eastAsia="Arial" w:hAnsi="Arial"/>
          <w:sz w:val="22"/>
          <w:szCs w:val="22"/>
        </w:rPr>
        <w:t xml:space="preserve">High-contrast mode is not addressed. Windows High Contrast mode may override the category colors and health indicators. Test and document behavior.</w:t>
      </w:r>
    </w:p>
    <w:p>
      <w:pPr>
        <w:pStyle w:val="ListParagraph"/>
        <w:numPr>
          <w:ilvl w:val="0"/>
          <w:numId w:val="2"/>
        </w:numPr>
        <w:spacing w:after="60"/>
      </w:pPr>
      <w:r>
        <w:rPr>
          <w:rFonts w:ascii="Arial" w:cs="Arial" w:eastAsia="Arial" w:hAnsi="Arial"/>
          <w:sz w:val="22"/>
          <w:szCs w:val="22"/>
        </w:rPr>
        <w:t xml:space="preserve">Focus indicators are not specified. When Tab-cycling through nodes, the focus ring needs to be visible (not just the selection ring described for isSelected). Use a 3px blue outline offset by 2px.</w:t>
      </w:r>
    </w:p>
    <w:p>
      <w:pPr>
        <w:pBdr>
          <w:bottom w:val="single" w:color="1B4F72" w:sz="6" w:space="1"/>
        </w:pBdr>
        <w:spacing w:after="200" w:before="200"/>
      </w:pPr>
    </w:p>
    <w:p>
      <w:pPr>
        <w:pStyle w:val="Heading1"/>
      </w:pPr>
      <w:r>
        <w:t xml:space="preserve">8. Performance Strategy Review</w:t>
      </w:r>
    </w:p>
    <w:p>
      <w:pPr>
        <w:pStyle w:val="Heading2"/>
      </w:pPr>
      <w:r>
        <w:t xml:space="preserve">Well-Designed Aspects</w:t>
      </w:r>
    </w:p>
    <w:p>
      <w:pPr>
        <w:pStyle w:val="ListParagraph"/>
        <w:numPr>
          <w:ilvl w:val="0"/>
          <w:numId w:val="2"/>
        </w:numPr>
        <w:spacing w:after="60"/>
      </w:pPr>
      <w:r>
        <w:rPr>
          <w:rFonts w:ascii="Arial" w:cs="Arial" w:eastAsia="Arial" w:hAnsi="Arial"/>
          <w:sz w:val="22"/>
          <w:szCs w:val="22"/>
        </w:rPr>
        <w:t xml:space="preserve">Web Worker for ELK layout prevents main-thread blocking</w:t>
      </w:r>
    </w:p>
    <w:p>
      <w:pPr>
        <w:pStyle w:val="ListParagraph"/>
        <w:numPr>
          <w:ilvl w:val="0"/>
          <w:numId w:val="2"/>
        </w:numPr>
        <w:spacing w:after="60"/>
      </w:pPr>
      <w:r>
        <w:rPr>
          <w:rFonts w:ascii="Arial" w:cs="Arial" w:eastAsia="Arial" w:hAnsi="Arial"/>
          <w:sz w:val="22"/>
          <w:szCs w:val="22"/>
        </w:rPr>
        <w:t xml:space="preserve">React Flow virtualization (only render visible nodes)</w:t>
      </w:r>
    </w:p>
    <w:p>
      <w:pPr>
        <w:pStyle w:val="ListParagraph"/>
        <w:numPr>
          <w:ilvl w:val="0"/>
          <w:numId w:val="2"/>
        </w:numPr>
        <w:spacing w:after="60"/>
      </w:pPr>
      <w:r>
        <w:rPr>
          <w:rFonts w:ascii="Arial" w:cs="Arial" w:eastAsia="Arial" w:hAnsi="Arial"/>
          <w:sz w:val="22"/>
          <w:szCs w:val="22"/>
        </w:rPr>
        <w:t xml:space="preserve">Semantic zoom reduces DOM complexity at low zoom levels</w:t>
      </w:r>
    </w:p>
    <w:p>
      <w:pPr>
        <w:pStyle w:val="ListParagraph"/>
        <w:numPr>
          <w:ilvl w:val="0"/>
          <w:numId w:val="2"/>
        </w:numPr>
        <w:spacing w:after="60"/>
      </w:pPr>
      <w:r>
        <w:rPr>
          <w:rFonts w:ascii="Arial" w:cs="Arial" w:eastAsia="Arial" w:hAnsi="Arial"/>
          <w:sz w:val="22"/>
          <w:szCs w:val="22"/>
        </w:rPr>
        <w:t xml:space="preserve">WebSocket event batching (100ms window) prevents render flooding</w:t>
      </w:r>
    </w:p>
    <w:p>
      <w:pPr>
        <w:pStyle w:val="ListParagraph"/>
        <w:numPr>
          <w:ilvl w:val="0"/>
          <w:numId w:val="2"/>
        </w:numPr>
        <w:spacing w:after="60"/>
      </w:pPr>
      <w:r>
        <w:rPr>
          <w:rFonts w:ascii="Arial" w:cs="Arial" w:eastAsia="Arial" w:hAnsi="Arial"/>
          <w:sz w:val="22"/>
          <w:szCs w:val="22"/>
        </w:rPr>
        <w:t xml:space="preserve">Per-cluster TTL cache with informer-based invalidation</w:t>
      </w:r>
    </w:p>
    <w:p>
      <w:pPr>
        <w:pStyle w:val="ListParagraph"/>
        <w:numPr>
          <w:ilvl w:val="0"/>
          <w:numId w:val="2"/>
        </w:numPr>
        <w:spacing w:after="60"/>
      </w:pPr>
      <w:r>
        <w:rPr>
          <w:rFonts w:ascii="Arial" w:cs="Arial" w:eastAsia="Arial" w:hAnsi="Arial"/>
          <w:sz w:val="22"/>
          <w:szCs w:val="22"/>
        </w:rPr>
        <w:t xml:space="preserve">Partial re-layout for incremental updates (not full graph)</w:t>
      </w:r>
    </w:p>
    <w:p>
      <w:pPr>
        <w:pStyle w:val="Heading2"/>
      </w:pPr>
      <w:r>
        <w:t xml:space="preserve">Concerns</w:t>
      </w:r>
    </w:p>
    <w:p>
      <w:pPr>
        <w:spacing w:after="120"/>
      </w:pPr>
      <w:r>
        <w:rPr>
          <w:rFonts w:ascii="Arial" w:cs="Arial" w:eastAsia="Arial" w:hAnsi="Arial"/>
          <w:b/>
          <w:bCs/>
          <w:sz w:val="22"/>
          <w:szCs w:val="22"/>
        </w:rPr>
        <w:t xml:space="preserve">Backend ResourceCollector concurrency: </w:t>
      </w:r>
      <w:r>
        <w:rPr>
          <w:rFonts w:ascii="Arial" w:cs="Arial" w:eastAsia="Arial" w:hAnsi="Arial"/>
          <w:sz w:val="22"/>
          <w:szCs w:val="22"/>
        </w:rPr>
        <w:t xml:space="preserve">Listing 28+ resource types concurrently via the Kubernetes API could overwhelm the API server, especially for large clusters. The spec doesn't mention rate limiting or concurrency limits on the errgroup. Consider limiting to 10 concurrent API calls with a semaphore.</w:t>
      </w:r>
    </w:p>
    <w:p>
      <w:pPr>
        <w:spacing w:after="120"/>
      </w:pPr>
      <w:r>
        <w:rPr>
          <w:rFonts w:ascii="Arial" w:cs="Arial" w:eastAsia="Arial" w:hAnsi="Arial"/>
          <w:b/>
          <w:bCs/>
          <w:sz w:val="22"/>
          <w:szCs w:val="22"/>
        </w:rPr>
        <w:t xml:space="preserve">Cache key granularity: </w:t>
      </w:r>
      <w:r>
        <w:rPr>
          <w:rFonts w:ascii="Arial" w:cs="Arial" w:eastAsia="Arial" w:hAnsi="Arial"/>
          <w:sz w:val="22"/>
          <w:szCs w:val="22"/>
        </w:rPr>
        <w:t xml:space="preserve">The cache key "clusterID:mode:namespace:resource" means Resource-Centric views for different resources generate different cache entries. In a cluster with 500 pods, that's potentially 500 cache entries. The 15-second TTL helps, but monitor memory usage. Consider an LRU eviction policy.</w:t>
      </w:r>
    </w:p>
    <w:p>
      <w:pPr>
        <w:spacing w:after="120"/>
      </w:pPr>
      <w:r>
        <w:rPr>
          <w:rFonts w:ascii="Arial" w:cs="Arial" w:eastAsia="Arial" w:hAnsi="Arial"/>
          <w:b/>
          <w:bCs/>
          <w:sz w:val="22"/>
          <w:szCs w:val="22"/>
        </w:rPr>
        <w:t xml:space="preserve">ELK layout for 1000+ nodes: </w:t>
      </w:r>
      <w:r>
        <w:rPr>
          <w:rFonts w:ascii="Arial" w:cs="Arial" w:eastAsia="Arial" w:hAnsi="Arial"/>
          <w:sz w:val="22"/>
          <w:szCs w:val="22"/>
        </w:rPr>
        <w:t xml:space="preserve">The spec targets &lt;3s for 1000 nodes with the layered algorithm. ELK's layered algorithm is O(n*m) in the worst case. Test early with realistic data to validate this target. If it's exceeded, consider pre-computing layout on the backend and caching it.</w:t>
      </w:r>
    </w:p>
    <w:p>
      <w:r>
        <w:br w:type="page"/>
      </w:r>
    </w:p>
    <w:p>
      <w:pPr>
        <w:pStyle w:val="Heading1"/>
      </w:pPr>
      <w:r>
        <w:t xml:space="preserve">9. Priority Recommendations</w:t>
      </w:r>
    </w:p>
    <w:p>
      <w:pPr>
        <w:spacing w:after="120"/>
      </w:pPr>
      <w:r>
        <w:rPr>
          <w:rFonts w:ascii="Arial" w:cs="Arial" w:eastAsia="Arial" w:hAnsi="Arial"/>
          <w:sz w:val="22"/>
          <w:szCs w:val="22"/>
        </w:rPr>
        <w:t xml:space="preserve">Ranked by impact on user experience and implementation risk:</w:t>
      </w:r>
    </w:p>
    <w:p>
      <w:pPr>
        <w:pStyle w:val="ListParagraph"/>
        <w:numPr>
          <w:ilvl w:val="0"/>
          <w:numId w:val="3"/>
        </w:numPr>
        <w:spacing w:after="60"/>
      </w:pPr>
      <w:r>
        <w:rPr>
          <w:rFonts w:ascii="Arial" w:cs="Arial" w:eastAsia="Arial" w:hAnsi="Arial"/>
          <w:b/>
          <w:bCs/>
          <w:sz w:val="22"/>
          <w:szCs w:val="22"/>
        </w:rPr>
        <w:t xml:space="preserve">Add deep-link URLs for Resource-Centric view. </w:t>
      </w:r>
      <w:r>
        <w:rPr>
          <w:rFonts w:ascii="Arial" w:cs="Arial" w:eastAsia="Arial" w:hAnsi="Arial"/>
          <w:sz w:val="22"/>
          <w:szCs w:val="22"/>
        </w:rPr>
        <w:t xml:space="preserve">Highest impact, lowest effort. Enables alert-to-topology in one click. This single feature could define the SRE experience.</w:t>
      </w:r>
    </w:p>
    <w:p>
      <w:pPr>
        <w:pStyle w:val="ListParagraph"/>
        <w:numPr>
          <w:ilvl w:val="0"/>
          <w:numId w:val="3"/>
        </w:numPr>
        <w:spacing w:after="60"/>
      </w:pPr>
      <w:r>
        <w:rPr>
          <w:rFonts w:ascii="Arial" w:cs="Arial" w:eastAsia="Arial" w:hAnsi="Arial"/>
          <w:b/>
          <w:bCs/>
          <w:sz w:val="22"/>
          <w:szCs w:val="22"/>
        </w:rPr>
        <w:t xml:space="preserve">Resolve the 10px vs 12px edge label contradiction. </w:t>
      </w:r>
      <w:r>
        <w:rPr>
          <w:rFonts w:ascii="Arial" w:cs="Arial" w:eastAsia="Arial" w:hAnsi="Arial"/>
          <w:sz w:val="22"/>
          <w:szCs w:val="22"/>
        </w:rPr>
        <w:t xml:space="preserve">Specification contradictions cause implementation confusion and QA disputes. Fix this before development begins.</w:t>
      </w:r>
    </w:p>
    <w:p>
      <w:pPr>
        <w:pStyle w:val="ListParagraph"/>
        <w:numPr>
          <w:ilvl w:val="0"/>
          <w:numId w:val="3"/>
        </w:numPr>
        <w:spacing w:after="60"/>
      </w:pPr>
      <w:r>
        <w:rPr>
          <w:rFonts w:ascii="Arial" w:cs="Arial" w:eastAsia="Arial" w:hAnsi="Arial"/>
          <w:b/>
          <w:bCs/>
          <w:sz w:val="22"/>
          <w:szCs w:val="22"/>
        </w:rPr>
        <w:t xml:space="preserve">Design error and loading states explicitly. </w:t>
      </w:r>
      <w:r>
        <w:rPr>
          <w:rFonts w:ascii="Arial" w:cs="Arial" w:eastAsia="Arial" w:hAnsi="Arial"/>
          <w:sz w:val="22"/>
          <w:szCs w:val="22"/>
        </w:rPr>
        <w:t xml:space="preserve">Partial failures, stale data indicators, and layout progress bars are essential for production use. Don't let these be last-minute improvisation.</w:t>
      </w:r>
    </w:p>
    <w:p>
      <w:pPr>
        <w:pStyle w:val="ListParagraph"/>
        <w:numPr>
          <w:ilvl w:val="0"/>
          <w:numId w:val="3"/>
        </w:numPr>
        <w:spacing w:after="60"/>
      </w:pPr>
      <w:r>
        <w:rPr>
          <w:rFonts w:ascii="Arial" w:cs="Arial" w:eastAsia="Arial" w:hAnsi="Arial"/>
          <w:b/>
          <w:bCs/>
          <w:sz w:val="22"/>
          <w:szCs w:val="22"/>
        </w:rPr>
        <w:t xml:space="preserve">Add prefers-reduced-motion support. </w:t>
      </w:r>
      <w:r>
        <w:rPr>
          <w:rFonts w:ascii="Arial" w:cs="Arial" w:eastAsia="Arial" w:hAnsi="Arial"/>
          <w:sz w:val="22"/>
          <w:szCs w:val="22"/>
        </w:rPr>
        <w:t xml:space="preserve">The animation spec is thorough but needs a reduced-motion path. Easy to implement during Phase 3 if planned now.</w:t>
      </w:r>
    </w:p>
    <w:p>
      <w:pPr>
        <w:pStyle w:val="ListParagraph"/>
        <w:numPr>
          <w:ilvl w:val="0"/>
          <w:numId w:val="3"/>
        </w:numPr>
        <w:spacing w:after="60"/>
      </w:pPr>
      <w:r>
        <w:rPr>
          <w:rFonts w:ascii="Arial" w:cs="Arial" w:eastAsia="Arial" w:hAnsi="Arial"/>
          <w:b/>
          <w:bCs/>
          <w:sz w:val="22"/>
          <w:szCs w:val="22"/>
        </w:rPr>
        <w:t xml:space="preserve">Add 2-3 weeks of timeline buffer. </w:t>
      </w:r>
      <w:r>
        <w:rPr>
          <w:rFonts w:ascii="Arial" w:cs="Arial" w:eastAsia="Arial" w:hAnsi="Arial"/>
          <w:sz w:val="22"/>
          <w:szCs w:val="22"/>
        </w:rPr>
        <w:t xml:space="preserve">Graph visualization is notoriously unpredictable in implementation. Budget for layout edge cases, browser rendering quirks, and the inevitable "it looks right in the spec but wrong in practice" adjustments.</w:t>
      </w:r>
    </w:p>
    <w:p>
      <w:pPr>
        <w:pStyle w:val="ListParagraph"/>
        <w:numPr>
          <w:ilvl w:val="0"/>
          <w:numId w:val="3"/>
        </w:numPr>
        <w:spacing w:after="60"/>
      </w:pPr>
      <w:r>
        <w:rPr>
          <w:rFonts w:ascii="Arial" w:cs="Arial" w:eastAsia="Arial" w:hAnsi="Arial"/>
          <w:b/>
          <w:bCs/>
          <w:sz w:val="22"/>
          <w:szCs w:val="22"/>
        </w:rPr>
        <w:t xml:space="preserve">Prototype the Resource-Centric view first. </w:t>
      </w:r>
      <w:r>
        <w:rPr>
          <w:rFonts w:ascii="Arial" w:cs="Arial" w:eastAsia="Arial" w:hAnsi="Arial"/>
          <w:sz w:val="22"/>
          <w:szCs w:val="22"/>
        </w:rPr>
        <w:t xml:space="preserve">This is the product's core value proposition. Build a static prototype with the payment-api example data before building the full infrastructure. Validate the visual design with real users before committing to the full 62-task plan.</w:t>
      </w:r>
    </w:p>
    <w:p>
      <w:pPr>
        <w:pStyle w:val="ListParagraph"/>
        <w:numPr>
          <w:ilvl w:val="0"/>
          <w:numId w:val="3"/>
        </w:numPr>
        <w:spacing w:after="60"/>
      </w:pPr>
      <w:r>
        <w:rPr>
          <w:rFonts w:ascii="Arial" w:cs="Arial" w:eastAsia="Arial" w:hAnsi="Arial"/>
          <w:b/>
          <w:bCs/>
          <w:sz w:val="22"/>
          <w:szCs w:val="22"/>
        </w:rPr>
        <w:t xml:space="preserve">Add contextual view-mode hints. </w:t>
      </w:r>
      <w:r>
        <w:rPr>
          <w:rFonts w:ascii="Arial" w:cs="Arial" w:eastAsia="Arial" w:hAnsi="Arial"/>
          <w:sz w:val="22"/>
          <w:szCs w:val="22"/>
        </w:rPr>
        <w:t xml:space="preserve">Five view modes is powerful but not discoverable. Contextual prompts reduce the learning curve for new users.</w:t>
      </w:r>
    </w:p>
    <w:p>
      <w:pPr>
        <w:pBdr>
          <w:bottom w:val="single" w:color="1B4F72" w:sz="6" w:space="1"/>
        </w:pBdr>
        <w:spacing w:after="200" w:before="200"/>
      </w:pPr>
    </w:p>
    <w:p>
      <w:pPr>
        <w:pStyle w:val="Heading1"/>
      </w:pPr>
      <w:r>
        <w:t xml:space="preserve">10. Conclusion</w:t>
      </w:r>
    </w:p>
    <w:p>
      <w:pPr>
        <w:spacing w:after="120"/>
      </w:pPr>
      <w:r>
        <w:rPr>
          <w:rFonts w:ascii="Arial" w:cs="Arial" w:eastAsia="Arial" w:hAnsi="Arial"/>
          <w:sz w:val="22"/>
          <w:szCs w:val="22"/>
        </w:rPr>
        <w:t xml:space="preserve">This is a strong, well-specified design for a complex product. The documentation quality alone sets this project apart. The 39-relationship registry is comprehensive, the design system is principled and accessible, the technical architecture is sound, and the development plan is realistic (with the caveat of timeline buffer).</w:t>
      </w:r>
    </w:p>
    <w:p>
      <w:pPr>
        <w:spacing w:after="120"/>
      </w:pPr>
      <w:r>
        <w:rPr>
          <w:rFonts w:ascii="Arial" w:cs="Arial" w:eastAsia="Arial" w:hAnsi="Arial"/>
          <w:sz w:val="22"/>
          <w:szCs w:val="22"/>
        </w:rPr>
        <w:t xml:space="preserve">The primary risks are scope-driven: the specification describes an ambitious product and the team must be disciplined about shipping the Resource-Centric view and Namespace view as the MVP, then iterating on the remaining views. The usability recommendations (deep-link URLs, contextual hints, error states) are high-impact additions that should be incorporated into the plan before Phase 4.</w:t>
      </w:r>
    </w:p>
    <w:p>
      <w:pPr>
        <w:spacing w:after="120"/>
      </w:pPr>
      <w:r>
        <w:rPr>
          <w:rFonts w:ascii="Arial" w:cs="Arial" w:eastAsia="Arial" w:hAnsi="Arial"/>
          <w:sz w:val="22"/>
          <w:szCs w:val="22"/>
        </w:rPr>
        <w:t xml:space="preserve">Ship the Resource-Centric view first. Get it into the hands of SREs. If that one mode works perfectly, the rest of the product is a matter of execution. If that one mode falls short, nothing else matters.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360"/>
      </w:tabs>
    </w:pPr>
    <w:r>
      <w:rPr>
        <w:rFonts w:ascii="Arial" w:cs="Arial" w:eastAsia="Arial" w:hAnsi="Arial"/>
        <w:b/>
        <w:bCs/>
        <w:color w:val="1B4F72"/>
        <w:sz w:val="18"/>
        <w:szCs w:val="18"/>
      </w:rPr>
      <w:t xml:space="preserve">DESIGN CRITIQUE</w:t>
    </w:r>
    <w:r>
      <w:rPr>
        <w:rFonts w:ascii="Arial" w:cs="Arial" w:eastAsia="Arial" w:hAnsi="Arial"/>
        <w:color w:val="64748B"/>
        <w:sz w:val="18"/>
        <w:szCs w:val="18"/>
      </w:rPr>
      <w:t xml:space="preserve">	Topology Engine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2026-03-10T14:58:40.701Z</dcterms:created>
  <dcterms:modified xsi:type="dcterms:W3CDTF">2026-03-10T14:58:40.702Z</dcterms:modified>
</cp:coreProperties>
</file>

<file path=docProps/custom.xml><?xml version="1.0" encoding="utf-8"?>
<Properties xmlns="http://schemas.openxmlformats.org/officeDocument/2006/custom-properties" xmlns:vt="http://schemas.openxmlformats.org/officeDocument/2006/docPropsVTypes"/>
</file>