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555555"/>
          <w:sz w:val="20"/>
          <w:szCs w:val="20"/>
        </w:rPr>
        <w:t xml:space="preserve">GLOBAAL ELEVATE PRODUCTION s.r.o.</w:t>
      </w:r>
    </w:p>
    <w:p>
      <w:pPr>
        <w:spacing w:after="60"/>
      </w:pPr>
      <w:r>
        <w:rPr>
          <w:b/>
          <w:bCs/>
          <w:color w:val="0b3d5c"/>
          <w:sz w:val="48"/>
          <w:szCs w:val="48"/>
        </w:rPr>
        <w:t xml:space="preserve">Nezávislý účetní systém</w:t>
      </w:r>
    </w:p>
    <w:p>
      <w:pPr>
        <w:spacing w:after="400"/>
      </w:pPr>
      <w:r>
        <w:rPr>
          <w:i/>
          <w:iCs/>
          <w:color w:val="555555"/>
          <w:sz w:val="24"/>
          <w:szCs w:val="24"/>
        </w:rPr>
        <w:t xml:space="preserve">Právní research, architektura, moduly a implementační brief</w:t>
      </w:r>
    </w:p>
    <w:p>
      <w:pPr>
        <w:spacing w:after="40"/>
      </w:pPr>
      <w:r>
        <w:rPr>
          <w:color w:val="555555"/>
          <w:sz w:val="20"/>
          <w:szCs w:val="20"/>
        </w:rPr>
        <w:t xml:space="preserve">Verze 1.0 — červenec 2026</w:t>
      </w:r>
    </w:p>
    <w:p>
      <w:r>
        <w:br w:type="page"/>
      </w:r>
    </w:p>
    <w:p>
      <w:pPr>
        <w:pStyle w:val="Heading1"/>
        <w:spacing w:after="180" w:before="420"/>
      </w:pPr>
      <w:r>
        <w:rPr>
          <w:b/>
          <w:bCs/>
          <w:color w:val="0b3d5c"/>
          <w:sz w:val="30"/>
          <w:szCs w:val="30"/>
        </w:rPr>
        <w:t xml:space="preserve">Úvod a cíl dokumentu</w:t>
      </w:r>
    </w:p>
    <w:p>
      <w:pPr>
        <w:spacing w:after="140" w:line="300"/>
      </w:pPr>
      <w:r>
        <w:rPr>
          <w:sz w:val="21"/>
          <w:szCs w:val="21"/>
        </w:rPr>
        <w:t xml:space="preserve">Tento dokument slouží jako kompletní podklad pro stavbu nezávislého účetního systému pro Globaal Elevate Production s.r.o. Systém má fungovat samostatně, bez napojení na externí certifikovaný software (Pohoda, Money S3, Fakturoid apod.) — cílem je, aby splňoval veškeré obsahové a formální požadavky české legislativy sám o sobě.</w:t>
      </w:r>
    </w:p>
    <w:p>
      <w:pPr>
        <w:spacing w:after="140" w:line="300"/>
      </w:pPr>
      <w:r>
        <w:rPr>
          <w:sz w:val="21"/>
          <w:szCs w:val="21"/>
        </w:rPr>
        <w:t xml:space="preserve">Dokument vznikl na základě právního researche nad zákonem o účetnictví (č. 563/1991 Sb.) a jeho novelou účinnou od 1. 1. 2026, prováděcí vyhláškou č. 500/2002 Sb., zákonem o dani z přidané hodnoty (č. 235/2004 Sb.) a zákonem o daních z příjmů (č. 586/1992 Sb., § 7b — daňová evidence).</w:t>
      </w:r>
    </w:p>
    <w:p>
      <w:pPr>
        <w:spacing w:after="140" w:line="300"/>
      </w:pPr>
      <w:r>
        <w:rPr>
          <w:b/>
          <w:bCs/>
          <w:sz w:val="21"/>
          <w:szCs w:val="21"/>
        </w:rPr>
        <w:t xml:space="preserve">Rozsah systému: </w:t>
      </w:r>
      <w:r>
        <w:rPr>
          <w:sz w:val="21"/>
          <w:szCs w:val="21"/>
        </w:rPr>
        <w:t xml:space="preserve">podvojné účetnictví (pro s.r.o.) i jednoduchá daňová evidence (pro případné využití u OSVČ), s modulem pro DPH připraveným už teď, i když Globaal Elevate aktuálně není plátcem. Mzdová agenda je záměrně mimo rozsah.</w:t>
      </w:r>
    </w:p>
    <w:p>
      <w:pPr>
        <w:pBdr>
          <w:left w:val="single" w:color="0b3d5c" w:sz="24" w:space="8"/>
        </w:pBdr>
        <w:shd w:fill="f2f2f2" w:val="clear"/>
        <w:spacing w:after="200" w:before="100" w:line="280"/>
        <w:ind w:left="120"/>
      </w:pPr>
      <w:r>
        <w:rPr>
          <w:i/>
          <w:iCs/>
          <w:color w:val="555555"/>
          <w:sz w:val="20"/>
          <w:szCs w:val="20"/>
        </w:rPr>
        <w:t xml:space="preserve">Tento dokument je technický a právní podklad pro vývoj software, nikoli právní poradenství. Před nasazením do ostrého provozu doporučujeme finální revizi daňovým poradcem nebo auditorem — zejména u výkazů a DPH modulu.</w:t>
      </w:r>
    </w:p>
    <w:p>
      <w:pPr>
        <w:pStyle w:val="Heading1"/>
        <w:spacing w:after="180" w:before="420"/>
      </w:pPr>
      <w:r>
        <w:rPr>
          <w:b/>
          <w:bCs/>
          <w:color w:val="0b3d5c"/>
          <w:sz w:val="30"/>
          <w:szCs w:val="30"/>
        </w:rPr>
        <w:t xml:space="preserve">2. Právní rámec — shrnutí researche</w:t>
      </w:r>
    </w:p>
    <w:p>
      <w:pPr>
        <w:spacing w:after="140" w:line="300"/>
      </w:pPr>
      <w:r>
        <w:rPr>
          <w:sz w:val="21"/>
          <w:szCs w:val="21"/>
        </w:rPr>
        <w:t xml:space="preserve">Tato kapitola mapuje všechny zákonné a prováděcí předpisy, které se na systém vztahují, a shrnuje z nich konkrétní požadavky, které musí být promítnuty do funkcí a datového modelu.</w:t>
      </w:r>
    </w:p>
    <w:p>
      <w:pPr>
        <w:pStyle w:val="Heading2"/>
        <w:spacing w:after="120" w:before="280"/>
      </w:pPr>
      <w:r>
        <w:rPr>
          <w:b/>
          <w:bCs/>
          <w:color w:val="0b3d5c"/>
          <w:sz w:val="24"/>
          <w:szCs w:val="24"/>
        </w:rPr>
        <w:t xml:space="preserve">2.1 Přehled relevantních předpisů</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34%"/>
            <w:shd w:fill="0b3d5c" w:val="clear"/>
            <w:tcMar>
              <w:top w:type="dxa" w:w="80"/>
              <w:left w:type="dxa" w:w="120"/>
              <w:bottom w:type="dxa" w:w="80"/>
              <w:right w:type="dxa" w:w="120"/>
            </w:tcMar>
          </w:tcPr>
          <w:p>
            <w:r>
              <w:rPr>
                <w:b/>
                <w:bCs/>
                <w:color w:val="FFFFFF"/>
                <w:sz w:val="19"/>
                <w:szCs w:val="19"/>
              </w:rPr>
              <w:t xml:space="preserve">Předpis</w:t>
            </w:r>
          </w:p>
        </w:tc>
        <w:tc>
          <w:tcPr>
            <w:tcW w:type="pct" w:w="38%"/>
            <w:shd w:fill="0b3d5c" w:val="clear"/>
            <w:tcMar>
              <w:top w:type="dxa" w:w="80"/>
              <w:left w:type="dxa" w:w="120"/>
              <w:bottom w:type="dxa" w:w="80"/>
              <w:right w:type="dxa" w:w="120"/>
            </w:tcMar>
          </w:tcPr>
          <w:p>
            <w:r>
              <w:rPr>
                <w:b/>
                <w:bCs/>
                <w:color w:val="FFFFFF"/>
                <w:sz w:val="19"/>
                <w:szCs w:val="19"/>
              </w:rPr>
              <w:t xml:space="preserve">Co upravuje</w:t>
            </w:r>
          </w:p>
        </w:tc>
        <w:tc>
          <w:tcPr>
            <w:tcW w:type="pct" w:w="28%"/>
            <w:shd w:fill="0b3d5c" w:val="clear"/>
            <w:tcMar>
              <w:top w:type="dxa" w:w="80"/>
              <w:left w:type="dxa" w:w="120"/>
              <w:bottom w:type="dxa" w:w="80"/>
              <w:right w:type="dxa" w:w="120"/>
            </w:tcMar>
          </w:tcPr>
          <w:p>
            <w:r>
              <w:rPr>
                <w:b/>
                <w:bCs/>
                <w:color w:val="FFFFFF"/>
                <w:sz w:val="19"/>
                <w:szCs w:val="19"/>
              </w:rPr>
              <w:t xml:space="preserve">Relevance pro systém</w:t>
            </w:r>
          </w:p>
        </w:tc>
      </w:tr>
      <w:tr>
        <w:tc>
          <w:tcPr>
            <w:tcW w:type="pct" w:w="34%"/>
            <w:tcMar>
              <w:top w:type="dxa" w:w="80"/>
              <w:left w:type="dxa" w:w="120"/>
              <w:bottom w:type="dxa" w:w="80"/>
              <w:right w:type="dxa" w:w="120"/>
            </w:tcMar>
          </w:tcPr>
          <w:p>
            <w:r>
              <w:rPr>
                <w:b w:val="false"/>
                <w:bCs w:val="false"/>
                <w:color w:val="000000"/>
                <w:sz w:val="19"/>
                <w:szCs w:val="19"/>
              </w:rPr>
              <w:t xml:space="preserve">Zákon č. 563/1991 Sb., o účetnictví (ve znění novely 316/2025 Sb., účinné od 1. 1. 2026)</w:t>
            </w:r>
          </w:p>
        </w:tc>
        <w:tc>
          <w:tcPr>
            <w:tcW w:type="pct" w:w="38%"/>
            <w:tcMar>
              <w:top w:type="dxa" w:w="80"/>
              <w:left w:type="dxa" w:w="120"/>
              <w:bottom w:type="dxa" w:w="80"/>
              <w:right w:type="dxa" w:w="120"/>
            </w:tcMar>
          </w:tcPr>
          <w:p>
            <w:r>
              <w:rPr>
                <w:b w:val="false"/>
                <w:bCs w:val="false"/>
                <w:color w:val="000000"/>
                <w:sz w:val="19"/>
                <w:szCs w:val="19"/>
              </w:rPr>
              <w:t xml:space="preserve">Rozsah a způsob vedení účetnictví, průkaznost, archivace</w:t>
            </w:r>
          </w:p>
        </w:tc>
        <w:tc>
          <w:tcPr>
            <w:tcW w:type="pct" w:w="28%"/>
            <w:tcMar>
              <w:top w:type="dxa" w:w="80"/>
              <w:left w:type="dxa" w:w="120"/>
              <w:bottom w:type="dxa" w:w="80"/>
              <w:right w:type="dxa" w:w="120"/>
            </w:tcMar>
          </w:tcPr>
          <w:p>
            <w:r>
              <w:rPr>
                <w:b w:val="false"/>
                <w:bCs w:val="false"/>
                <w:color w:val="000000"/>
                <w:sz w:val="19"/>
                <w:szCs w:val="19"/>
              </w:rPr>
              <w:t xml:space="preserve">Jádro celého systému — struktura záznamů, auditní stopa, výkazy</w:t>
            </w:r>
          </w:p>
        </w:tc>
      </w:tr>
      <w:tr>
        <w:tc>
          <w:tcPr>
            <w:tcW w:type="pct" w:w="34%"/>
            <w:tcMar>
              <w:top w:type="dxa" w:w="80"/>
              <w:left w:type="dxa" w:w="120"/>
              <w:bottom w:type="dxa" w:w="80"/>
              <w:right w:type="dxa" w:w="120"/>
            </w:tcMar>
          </w:tcPr>
          <w:p>
            <w:r>
              <w:rPr>
                <w:b w:val="false"/>
                <w:bCs w:val="false"/>
                <w:color w:val="000000"/>
                <w:sz w:val="19"/>
                <w:szCs w:val="19"/>
              </w:rPr>
              <w:t xml:space="preserve">Vyhláška č. 500/2002 Sb.</w:t>
            </w:r>
          </w:p>
        </w:tc>
        <w:tc>
          <w:tcPr>
            <w:tcW w:type="pct" w:w="38%"/>
            <w:tcMar>
              <w:top w:type="dxa" w:w="80"/>
              <w:left w:type="dxa" w:w="120"/>
              <w:bottom w:type="dxa" w:w="80"/>
              <w:right w:type="dxa" w:w="120"/>
            </w:tcMar>
          </w:tcPr>
          <w:p>
            <w:r>
              <w:rPr>
                <w:b w:val="false"/>
                <w:bCs w:val="false"/>
                <w:color w:val="000000"/>
                <w:sz w:val="19"/>
                <w:szCs w:val="19"/>
              </w:rPr>
              <w:t xml:space="preserve">Směrná účtová osnova, obsah a uspořádání rozvahy a výsledovky pro podnikatele</w:t>
            </w:r>
          </w:p>
        </w:tc>
        <w:tc>
          <w:tcPr>
            <w:tcW w:type="pct" w:w="28%"/>
            <w:tcMar>
              <w:top w:type="dxa" w:w="80"/>
              <w:left w:type="dxa" w:w="120"/>
              <w:bottom w:type="dxa" w:w="80"/>
              <w:right w:type="dxa" w:w="120"/>
            </w:tcMar>
          </w:tcPr>
          <w:p>
            <w:r>
              <w:rPr>
                <w:b w:val="false"/>
                <w:bCs w:val="false"/>
                <w:color w:val="000000"/>
                <w:sz w:val="19"/>
                <w:szCs w:val="19"/>
              </w:rPr>
              <w:t xml:space="preserve">Definuje účtový rozvrh a strukturu povinných výkazů</w:t>
            </w:r>
          </w:p>
        </w:tc>
      </w:tr>
      <w:tr>
        <w:tc>
          <w:tcPr>
            <w:tcW w:type="pct" w:w="34%"/>
            <w:tcMar>
              <w:top w:type="dxa" w:w="80"/>
              <w:left w:type="dxa" w:w="120"/>
              <w:bottom w:type="dxa" w:w="80"/>
              <w:right w:type="dxa" w:w="120"/>
            </w:tcMar>
          </w:tcPr>
          <w:p>
            <w:r>
              <w:rPr>
                <w:b w:val="false"/>
                <w:bCs w:val="false"/>
                <w:color w:val="000000"/>
                <w:sz w:val="19"/>
                <w:szCs w:val="19"/>
              </w:rPr>
              <w:t xml:space="preserve">Zákon č. 235/2004 Sb., o DPH</w:t>
            </w:r>
          </w:p>
        </w:tc>
        <w:tc>
          <w:tcPr>
            <w:tcW w:type="pct" w:w="38%"/>
            <w:tcMar>
              <w:top w:type="dxa" w:w="80"/>
              <w:left w:type="dxa" w:w="120"/>
              <w:bottom w:type="dxa" w:w="80"/>
              <w:right w:type="dxa" w:w="120"/>
            </w:tcMar>
          </w:tcPr>
          <w:p>
            <w:r>
              <w:rPr>
                <w:b w:val="false"/>
                <w:bCs w:val="false"/>
                <w:color w:val="000000"/>
                <w:sz w:val="19"/>
                <w:szCs w:val="19"/>
              </w:rPr>
              <w:t xml:space="preserve">Náležitosti daňových dokladů, evidence pro účely DPH, kontrolní hlášení</w:t>
            </w:r>
          </w:p>
        </w:tc>
        <w:tc>
          <w:tcPr>
            <w:tcW w:type="pct" w:w="28%"/>
            <w:tcMar>
              <w:top w:type="dxa" w:w="80"/>
              <w:left w:type="dxa" w:w="120"/>
              <w:bottom w:type="dxa" w:w="80"/>
              <w:right w:type="dxa" w:w="120"/>
            </w:tcMar>
          </w:tcPr>
          <w:p>
            <w:r>
              <w:rPr>
                <w:b w:val="false"/>
                <w:bCs w:val="false"/>
                <w:color w:val="000000"/>
                <w:sz w:val="19"/>
                <w:szCs w:val="19"/>
              </w:rPr>
              <w:t xml:space="preserve">DPH modul (připraven pro budoucí registraci)</w:t>
            </w:r>
          </w:p>
        </w:tc>
      </w:tr>
      <w:tr>
        <w:tc>
          <w:tcPr>
            <w:tcW w:type="pct" w:w="34%"/>
            <w:tcMar>
              <w:top w:type="dxa" w:w="80"/>
              <w:left w:type="dxa" w:w="120"/>
              <w:bottom w:type="dxa" w:w="80"/>
              <w:right w:type="dxa" w:w="120"/>
            </w:tcMar>
          </w:tcPr>
          <w:p>
            <w:r>
              <w:rPr>
                <w:b w:val="false"/>
                <w:bCs w:val="false"/>
                <w:color w:val="000000"/>
                <w:sz w:val="19"/>
                <w:szCs w:val="19"/>
              </w:rPr>
              <w:t xml:space="preserve">Zákon č. 586/1992 Sb., o daních z příjmů, § 7b</w:t>
            </w:r>
          </w:p>
        </w:tc>
        <w:tc>
          <w:tcPr>
            <w:tcW w:type="pct" w:w="38%"/>
            <w:tcMar>
              <w:top w:type="dxa" w:w="80"/>
              <w:left w:type="dxa" w:w="120"/>
              <w:bottom w:type="dxa" w:w="80"/>
              <w:right w:type="dxa" w:w="120"/>
            </w:tcMar>
          </w:tcPr>
          <w:p>
            <w:r>
              <w:rPr>
                <w:b w:val="false"/>
                <w:bCs w:val="false"/>
                <w:color w:val="000000"/>
                <w:sz w:val="19"/>
                <w:szCs w:val="19"/>
              </w:rPr>
              <w:t xml:space="preserve">Daňová evidence (náhrada jednoduchého účetnictví pro OSVČ)</w:t>
            </w:r>
          </w:p>
        </w:tc>
        <w:tc>
          <w:tcPr>
            <w:tcW w:type="pct" w:w="28%"/>
            <w:tcMar>
              <w:top w:type="dxa" w:w="80"/>
              <w:left w:type="dxa" w:w="120"/>
              <w:bottom w:type="dxa" w:w="80"/>
              <w:right w:type="dxa" w:w="120"/>
            </w:tcMar>
          </w:tcPr>
          <w:p>
            <w:r>
              <w:rPr>
                <w:b w:val="false"/>
                <w:bCs w:val="false"/>
                <w:color w:val="000000"/>
                <w:sz w:val="19"/>
                <w:szCs w:val="19"/>
              </w:rPr>
              <w:t xml:space="preserve">Alternativní režim evidence pro OSVČ use-case</w:t>
            </w:r>
          </w:p>
        </w:tc>
      </w:tr>
      <w:tr>
        <w:tc>
          <w:tcPr>
            <w:tcW w:type="pct" w:w="34%"/>
            <w:tcMar>
              <w:top w:type="dxa" w:w="80"/>
              <w:left w:type="dxa" w:w="120"/>
              <w:bottom w:type="dxa" w:w="80"/>
              <w:right w:type="dxa" w:w="120"/>
            </w:tcMar>
          </w:tcPr>
          <w:p>
            <w:r>
              <w:rPr>
                <w:b w:val="false"/>
                <w:bCs w:val="false"/>
                <w:color w:val="000000"/>
                <w:sz w:val="19"/>
                <w:szCs w:val="19"/>
              </w:rPr>
              <w:t xml:space="preserve">Zákon č. 499/2004 Sb., o archivnictví</w:t>
            </w:r>
          </w:p>
        </w:tc>
        <w:tc>
          <w:tcPr>
            <w:tcW w:type="pct" w:w="38%"/>
            <w:tcMar>
              <w:top w:type="dxa" w:w="80"/>
              <w:left w:type="dxa" w:w="120"/>
              <w:bottom w:type="dxa" w:w="80"/>
              <w:right w:type="dxa" w:w="120"/>
            </w:tcMar>
          </w:tcPr>
          <w:p>
            <w:r>
              <w:rPr>
                <w:b w:val="false"/>
                <w:bCs w:val="false"/>
                <w:color w:val="000000"/>
                <w:sz w:val="19"/>
                <w:szCs w:val="19"/>
              </w:rPr>
              <w:t xml:space="preserve">Obecné skartační a archivační povinnosti</w:t>
            </w:r>
          </w:p>
        </w:tc>
        <w:tc>
          <w:tcPr>
            <w:tcW w:type="pct" w:w="28%"/>
            <w:tcMar>
              <w:top w:type="dxa" w:w="80"/>
              <w:left w:type="dxa" w:w="120"/>
              <w:bottom w:type="dxa" w:w="80"/>
              <w:right w:type="dxa" w:w="120"/>
            </w:tcMar>
          </w:tcPr>
          <w:p>
            <w:r>
              <w:rPr>
                <w:b w:val="false"/>
                <w:bCs w:val="false"/>
                <w:color w:val="000000"/>
                <w:sz w:val="19"/>
                <w:szCs w:val="19"/>
              </w:rPr>
              <w:t xml:space="preserve">Doplňuje archivační lhůty ZoÚ</w:t>
            </w:r>
          </w:p>
        </w:tc>
      </w:tr>
      <w:tr>
        <w:tc>
          <w:tcPr>
            <w:tcW w:type="pct" w:w="34%"/>
            <w:tcMar>
              <w:top w:type="dxa" w:w="80"/>
              <w:left w:type="dxa" w:w="120"/>
              <w:bottom w:type="dxa" w:w="80"/>
              <w:right w:type="dxa" w:w="120"/>
            </w:tcMar>
          </w:tcPr>
          <w:p>
            <w:r>
              <w:rPr>
                <w:b w:val="false"/>
                <w:bCs w:val="false"/>
                <w:color w:val="000000"/>
                <w:sz w:val="19"/>
                <w:szCs w:val="19"/>
              </w:rPr>
              <w:t xml:space="preserve">Nařízení GDPR (EU) 2016/679</w:t>
            </w:r>
          </w:p>
        </w:tc>
        <w:tc>
          <w:tcPr>
            <w:tcW w:type="pct" w:w="38%"/>
            <w:tcMar>
              <w:top w:type="dxa" w:w="80"/>
              <w:left w:type="dxa" w:w="120"/>
              <w:bottom w:type="dxa" w:w="80"/>
              <w:right w:type="dxa" w:w="120"/>
            </w:tcMar>
          </w:tcPr>
          <w:p>
            <w:r>
              <w:rPr>
                <w:b w:val="false"/>
                <w:bCs w:val="false"/>
                <w:color w:val="000000"/>
                <w:sz w:val="19"/>
                <w:szCs w:val="19"/>
              </w:rPr>
              <w:t xml:space="preserve">Ochrana osobních údajů</w:t>
            </w:r>
          </w:p>
        </w:tc>
        <w:tc>
          <w:tcPr>
            <w:tcW w:type="pct" w:w="28%"/>
            <w:tcMar>
              <w:top w:type="dxa" w:w="80"/>
              <w:left w:type="dxa" w:w="120"/>
              <w:bottom w:type="dxa" w:w="80"/>
              <w:right w:type="dxa" w:w="120"/>
            </w:tcMar>
          </w:tcPr>
          <w:p>
            <w:r>
              <w:rPr>
                <w:b w:val="false"/>
                <w:bCs w:val="false"/>
                <w:color w:val="000000"/>
                <w:sz w:val="19"/>
                <w:szCs w:val="19"/>
              </w:rPr>
              <w:t xml:space="preserve">Zabezpečení dat dodavatelů/odběratelů/zaměstnanců v systému</w:t>
            </w:r>
          </w:p>
        </w:tc>
      </w:tr>
    </w:tbl>
    <w:p>
      <w:pPr>
        <w:pStyle w:val="Heading2"/>
        <w:spacing w:after="120" w:before="280"/>
      </w:pPr>
      <w:r>
        <w:rPr>
          <w:b/>
          <w:bCs/>
          <w:color w:val="0b3d5c"/>
          <w:sz w:val="24"/>
          <w:szCs w:val="24"/>
        </w:rPr>
        <w:t xml:space="preserve">2.2 Novela zákona o účetnictví 316/2025 Sb. — co se mění od 1. 1. 2026</w:t>
      </w:r>
    </w:p>
    <w:p>
      <w:pPr>
        <w:spacing w:after="140" w:line="300"/>
      </w:pPr>
      <w:r>
        <w:rPr>
          <w:sz w:val="21"/>
          <w:szCs w:val="21"/>
        </w:rPr>
        <w:t xml:space="preserve">Nejvýznamnější legislativní změna posledního období. Přináší dvě klíčové věci:</w:t>
      </w:r>
    </w:p>
    <w:p>
      <w:pPr>
        <w:pStyle w:val="ListParagraph"/>
        <w:numPr>
          <w:ilvl w:val="0"/>
          <w:numId w:val="2"/>
        </w:numPr>
        <w:spacing w:after="80" w:line="290"/>
      </w:pPr>
      <w:r>
        <w:rPr>
          <w:b/>
          <w:bCs/>
          <w:sz w:val="21"/>
          <w:szCs w:val="21"/>
        </w:rPr>
        <w:t xml:space="preserve">Navýšení limitů kategorizace účetních jednotek </w:t>
      </w:r>
      <w:r>
        <w:rPr>
          <w:sz w:val="21"/>
          <w:szCs w:val="21"/>
        </w:rPr>
        <w:t xml:space="preserve">(mikro / malá / střední / velká) o cca 20–25 %, účinné už zpětně pro účetní období 2024/2025.</w:t>
      </w:r>
    </w:p>
    <w:p>
      <w:pPr>
        <w:pStyle w:val="ListParagraph"/>
        <w:numPr>
          <w:ilvl w:val="0"/>
          <w:numId w:val="2"/>
        </w:numPr>
        <w:spacing w:after="80" w:line="290"/>
      </w:pPr>
      <w:r>
        <w:rPr>
          <w:b/>
          <w:bCs/>
          <w:sz w:val="21"/>
          <w:szCs w:val="21"/>
        </w:rPr>
        <w:t xml:space="preserve">Zúžení okruhu povinného auditu </w:t>
      </w:r>
      <w:r>
        <w:rPr>
          <w:sz w:val="21"/>
          <w:szCs w:val="21"/>
        </w:rPr>
        <w:t xml:space="preserve">od účetního období 2026 — auditu nově podléhají jen střední a velké jednotky, malé jednotky (i když splní jiná kritéria) audit mít nemusí.</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c>
          <w:tcPr>
            <w:tcW w:type="pct" w:w="20%"/>
            <w:shd w:fill="0b3d5c" w:val="clear"/>
            <w:tcMar>
              <w:top w:type="dxa" w:w="80"/>
              <w:left w:type="dxa" w:w="120"/>
              <w:bottom w:type="dxa" w:w="80"/>
              <w:right w:type="dxa" w:w="120"/>
            </w:tcMar>
          </w:tcPr>
          <w:p>
            <w:r>
              <w:rPr>
                <w:b/>
                <w:bCs/>
                <w:color w:val="FFFFFF"/>
                <w:sz w:val="19"/>
                <w:szCs w:val="19"/>
              </w:rPr>
              <w:t xml:space="preserve">Kategorie</w:t>
            </w:r>
          </w:p>
        </w:tc>
        <w:tc>
          <w:tcPr>
            <w:tcW w:type="pct" w:w="27%"/>
            <w:shd w:fill="0b3d5c" w:val="clear"/>
            <w:tcMar>
              <w:top w:type="dxa" w:w="80"/>
              <w:left w:type="dxa" w:w="120"/>
              <w:bottom w:type="dxa" w:w="80"/>
              <w:right w:type="dxa" w:w="120"/>
            </w:tcMar>
          </w:tcPr>
          <w:p>
            <w:r>
              <w:rPr>
                <w:b/>
                <w:bCs/>
                <w:color w:val="FFFFFF"/>
                <w:sz w:val="19"/>
                <w:szCs w:val="19"/>
              </w:rPr>
              <w:t xml:space="preserve">Aktiva (netto)</w:t>
            </w:r>
          </w:p>
        </w:tc>
        <w:tc>
          <w:tcPr>
            <w:tcW w:type="pct" w:w="27%"/>
            <w:shd w:fill="0b3d5c" w:val="clear"/>
            <w:tcMar>
              <w:top w:type="dxa" w:w="80"/>
              <w:left w:type="dxa" w:w="120"/>
              <w:bottom w:type="dxa" w:w="80"/>
              <w:right w:type="dxa" w:w="120"/>
            </w:tcMar>
          </w:tcPr>
          <w:p>
            <w:r>
              <w:rPr>
                <w:b/>
                <w:bCs/>
                <w:color w:val="FFFFFF"/>
                <w:sz w:val="19"/>
                <w:szCs w:val="19"/>
              </w:rPr>
              <w:t xml:space="preserve">Obrat</w:t>
            </w:r>
          </w:p>
        </w:tc>
        <w:tc>
          <w:tcPr>
            <w:tcW w:type="pct" w:w="26%"/>
            <w:shd w:fill="0b3d5c" w:val="clear"/>
            <w:tcMar>
              <w:top w:type="dxa" w:w="80"/>
              <w:left w:type="dxa" w:w="120"/>
              <w:bottom w:type="dxa" w:w="80"/>
              <w:right w:type="dxa" w:w="120"/>
            </w:tcMar>
          </w:tcPr>
          <w:p>
            <w:r>
              <w:rPr>
                <w:b/>
                <w:bCs/>
                <w:color w:val="FFFFFF"/>
                <w:sz w:val="19"/>
                <w:szCs w:val="19"/>
              </w:rPr>
              <w:t xml:space="preserve">Zaměstnanci</w:t>
            </w:r>
          </w:p>
        </w:tc>
      </w:tr>
      <w:tr>
        <w:tc>
          <w:tcPr>
            <w:tcW w:type="pct" w:w="20%"/>
            <w:tcMar>
              <w:top w:type="dxa" w:w="80"/>
              <w:left w:type="dxa" w:w="120"/>
              <w:bottom w:type="dxa" w:w="80"/>
              <w:right w:type="dxa" w:w="120"/>
            </w:tcMar>
          </w:tcPr>
          <w:p>
            <w:r>
              <w:rPr>
                <w:b w:val="false"/>
                <w:bCs w:val="false"/>
                <w:color w:val="000000"/>
                <w:sz w:val="19"/>
                <w:szCs w:val="19"/>
              </w:rPr>
              <w:t xml:space="preserve">Mikro</w:t>
            </w:r>
          </w:p>
        </w:tc>
        <w:tc>
          <w:tcPr>
            <w:tcW w:type="pct" w:w="27%"/>
            <w:tcMar>
              <w:top w:type="dxa" w:w="80"/>
              <w:left w:type="dxa" w:w="120"/>
              <w:bottom w:type="dxa" w:w="80"/>
              <w:right w:type="dxa" w:w="120"/>
            </w:tcMar>
          </w:tcPr>
          <w:p>
            <w:r>
              <w:rPr>
                <w:b w:val="false"/>
                <w:bCs w:val="false"/>
                <w:color w:val="000000"/>
                <w:sz w:val="19"/>
                <w:szCs w:val="19"/>
              </w:rPr>
              <w:t xml:space="preserve">≤ 11 mil. Kč</w:t>
            </w:r>
          </w:p>
        </w:tc>
        <w:tc>
          <w:tcPr>
            <w:tcW w:type="pct" w:w="27%"/>
            <w:tcMar>
              <w:top w:type="dxa" w:w="80"/>
              <w:left w:type="dxa" w:w="120"/>
              <w:bottom w:type="dxa" w:w="80"/>
              <w:right w:type="dxa" w:w="120"/>
            </w:tcMar>
          </w:tcPr>
          <w:p>
            <w:r>
              <w:rPr>
                <w:b w:val="false"/>
                <w:bCs w:val="false"/>
                <w:color w:val="000000"/>
                <w:sz w:val="19"/>
                <w:szCs w:val="19"/>
              </w:rPr>
              <w:t xml:space="preserve">≤ 22 mil. Kč</w:t>
            </w:r>
          </w:p>
        </w:tc>
        <w:tc>
          <w:tcPr>
            <w:tcW w:type="pct" w:w="26%"/>
            <w:tcMar>
              <w:top w:type="dxa" w:w="80"/>
              <w:left w:type="dxa" w:w="120"/>
              <w:bottom w:type="dxa" w:w="80"/>
              <w:right w:type="dxa" w:w="120"/>
            </w:tcMar>
          </w:tcPr>
          <w:p>
            <w:r>
              <w:rPr>
                <w:b w:val="false"/>
                <w:bCs w:val="false"/>
                <w:color w:val="000000"/>
                <w:sz w:val="19"/>
                <w:szCs w:val="19"/>
              </w:rPr>
              <w:t xml:space="preserve">≤ 10</w:t>
            </w:r>
          </w:p>
        </w:tc>
      </w:tr>
      <w:tr>
        <w:tc>
          <w:tcPr>
            <w:tcW w:type="pct" w:w="20%"/>
            <w:tcMar>
              <w:top w:type="dxa" w:w="80"/>
              <w:left w:type="dxa" w:w="120"/>
              <w:bottom w:type="dxa" w:w="80"/>
              <w:right w:type="dxa" w:w="120"/>
            </w:tcMar>
          </w:tcPr>
          <w:p>
            <w:r>
              <w:rPr>
                <w:b w:val="false"/>
                <w:bCs w:val="false"/>
                <w:color w:val="000000"/>
                <w:sz w:val="19"/>
                <w:szCs w:val="19"/>
              </w:rPr>
              <w:t xml:space="preserve">Malá</w:t>
            </w:r>
          </w:p>
        </w:tc>
        <w:tc>
          <w:tcPr>
            <w:tcW w:type="pct" w:w="27%"/>
            <w:tcMar>
              <w:top w:type="dxa" w:w="80"/>
              <w:left w:type="dxa" w:w="120"/>
              <w:bottom w:type="dxa" w:w="80"/>
              <w:right w:type="dxa" w:w="120"/>
            </w:tcMar>
          </w:tcPr>
          <w:p>
            <w:r>
              <w:rPr>
                <w:b w:val="false"/>
                <w:bCs w:val="false"/>
                <w:color w:val="000000"/>
                <w:sz w:val="19"/>
                <w:szCs w:val="19"/>
              </w:rPr>
              <w:t xml:space="preserve">≤ 120 mil. Kč</w:t>
            </w:r>
          </w:p>
        </w:tc>
        <w:tc>
          <w:tcPr>
            <w:tcW w:type="pct" w:w="27%"/>
            <w:tcMar>
              <w:top w:type="dxa" w:w="80"/>
              <w:left w:type="dxa" w:w="120"/>
              <w:bottom w:type="dxa" w:w="80"/>
              <w:right w:type="dxa" w:w="120"/>
            </w:tcMar>
          </w:tcPr>
          <w:p>
            <w:r>
              <w:rPr>
                <w:b w:val="false"/>
                <w:bCs w:val="false"/>
                <w:color w:val="000000"/>
                <w:sz w:val="19"/>
                <w:szCs w:val="19"/>
              </w:rPr>
              <w:t xml:space="preserve">≤ 240 mil. Kč</w:t>
            </w:r>
          </w:p>
        </w:tc>
        <w:tc>
          <w:tcPr>
            <w:tcW w:type="pct" w:w="26%"/>
            <w:tcMar>
              <w:top w:type="dxa" w:w="80"/>
              <w:left w:type="dxa" w:w="120"/>
              <w:bottom w:type="dxa" w:w="80"/>
              <w:right w:type="dxa" w:w="120"/>
            </w:tcMar>
          </w:tcPr>
          <w:p>
            <w:r>
              <w:rPr>
                <w:b w:val="false"/>
                <w:bCs w:val="false"/>
                <w:color w:val="000000"/>
                <w:sz w:val="19"/>
                <w:szCs w:val="19"/>
              </w:rPr>
              <w:t xml:space="preserve">≤ 50</w:t>
            </w:r>
          </w:p>
        </w:tc>
      </w:tr>
      <w:tr>
        <w:tc>
          <w:tcPr>
            <w:tcW w:type="pct" w:w="20%"/>
            <w:tcMar>
              <w:top w:type="dxa" w:w="80"/>
              <w:left w:type="dxa" w:w="120"/>
              <w:bottom w:type="dxa" w:w="80"/>
              <w:right w:type="dxa" w:w="120"/>
            </w:tcMar>
          </w:tcPr>
          <w:p>
            <w:r>
              <w:rPr>
                <w:b w:val="false"/>
                <w:bCs w:val="false"/>
                <w:color w:val="000000"/>
                <w:sz w:val="19"/>
                <w:szCs w:val="19"/>
              </w:rPr>
              <w:t xml:space="preserve">Střední</w:t>
            </w:r>
          </w:p>
        </w:tc>
        <w:tc>
          <w:tcPr>
            <w:tcW w:type="pct" w:w="27%"/>
            <w:tcMar>
              <w:top w:type="dxa" w:w="80"/>
              <w:left w:type="dxa" w:w="120"/>
              <w:bottom w:type="dxa" w:w="80"/>
              <w:right w:type="dxa" w:w="120"/>
            </w:tcMar>
          </w:tcPr>
          <w:p>
            <w:r>
              <w:rPr>
                <w:b w:val="false"/>
                <w:bCs w:val="false"/>
                <w:color w:val="000000"/>
                <w:sz w:val="19"/>
                <w:szCs w:val="19"/>
              </w:rPr>
              <w:t xml:space="preserve">≤ 600 mil. Kč</w:t>
            </w:r>
          </w:p>
        </w:tc>
        <w:tc>
          <w:tcPr>
            <w:tcW w:type="pct" w:w="27%"/>
            <w:tcMar>
              <w:top w:type="dxa" w:w="80"/>
              <w:left w:type="dxa" w:w="120"/>
              <w:bottom w:type="dxa" w:w="80"/>
              <w:right w:type="dxa" w:w="120"/>
            </w:tcMar>
          </w:tcPr>
          <w:p>
            <w:r>
              <w:rPr>
                <w:b w:val="false"/>
                <w:bCs w:val="false"/>
                <w:color w:val="000000"/>
                <w:sz w:val="19"/>
                <w:szCs w:val="19"/>
              </w:rPr>
              <w:t xml:space="preserve">≤ 1 200 mil. Kč</w:t>
            </w:r>
          </w:p>
        </w:tc>
        <w:tc>
          <w:tcPr>
            <w:tcW w:type="pct" w:w="26%"/>
            <w:tcMar>
              <w:top w:type="dxa" w:w="80"/>
              <w:left w:type="dxa" w:w="120"/>
              <w:bottom w:type="dxa" w:w="80"/>
              <w:right w:type="dxa" w:w="120"/>
            </w:tcMar>
          </w:tcPr>
          <w:p>
            <w:r>
              <w:rPr>
                <w:b w:val="false"/>
                <w:bCs w:val="false"/>
                <w:color w:val="000000"/>
                <w:sz w:val="19"/>
                <w:szCs w:val="19"/>
              </w:rPr>
              <w:t xml:space="preserve">≤ 250</w:t>
            </w:r>
          </w:p>
        </w:tc>
      </w:tr>
      <w:tr>
        <w:tc>
          <w:tcPr>
            <w:tcW w:type="pct" w:w="20%"/>
            <w:tcMar>
              <w:top w:type="dxa" w:w="80"/>
              <w:left w:type="dxa" w:w="120"/>
              <w:bottom w:type="dxa" w:w="80"/>
              <w:right w:type="dxa" w:w="120"/>
            </w:tcMar>
          </w:tcPr>
          <w:p>
            <w:r>
              <w:rPr>
                <w:b w:val="false"/>
                <w:bCs w:val="false"/>
                <w:color w:val="000000"/>
                <w:sz w:val="19"/>
                <w:szCs w:val="19"/>
              </w:rPr>
              <w:t xml:space="preserve">Velká</w:t>
            </w:r>
          </w:p>
        </w:tc>
        <w:tc>
          <w:tcPr>
            <w:tcW w:type="pct" w:w="27%"/>
            <w:tcMar>
              <w:top w:type="dxa" w:w="80"/>
              <w:left w:type="dxa" w:w="120"/>
              <w:bottom w:type="dxa" w:w="80"/>
              <w:right w:type="dxa" w:w="120"/>
            </w:tcMar>
          </w:tcPr>
          <w:p>
            <w:r>
              <w:rPr>
                <w:b w:val="false"/>
                <w:bCs w:val="false"/>
                <w:color w:val="000000"/>
                <w:sz w:val="19"/>
                <w:szCs w:val="19"/>
              </w:rPr>
              <w:t xml:space="preserve">nad uvedené hodnoty střední kategorie</w:t>
            </w:r>
          </w:p>
        </w:tc>
        <w:tc>
          <w:tcPr>
            <w:tcW w:type="pct" w:w="27%"/>
            <w:tcMar>
              <w:top w:type="dxa" w:w="80"/>
              <w:left w:type="dxa" w:w="120"/>
              <w:bottom w:type="dxa" w:w="80"/>
              <w:right w:type="dxa" w:w="120"/>
            </w:tcMar>
          </w:tcPr>
          <w:p>
            <w:r>
              <w:rPr>
                <w:b w:val="false"/>
                <w:bCs w:val="false"/>
                <w:color w:val="000000"/>
                <w:sz w:val="19"/>
                <w:szCs w:val="19"/>
              </w:rPr>
              <w:t xml:space="preserve"/>
            </w:r>
          </w:p>
        </w:tc>
        <w:tc>
          <w:tcPr>
            <w:tcW w:type="pct" w:w="26%"/>
            <w:tcMar>
              <w:top w:type="dxa" w:w="80"/>
              <w:left w:type="dxa" w:w="120"/>
              <w:bottom w:type="dxa" w:w="80"/>
              <w:right w:type="dxa" w:w="120"/>
            </w:tcMar>
          </w:tcPr>
          <w:p>
            <w:r>
              <w:rPr>
                <w:b w:val="false"/>
                <w:bCs w:val="false"/>
                <w:color w:val="000000"/>
                <w:sz w:val="19"/>
                <w:szCs w:val="19"/>
              </w:rPr>
              <w:t xml:space="preserve"/>
            </w:r>
          </w:p>
        </w:tc>
      </w:tr>
    </w:tbl>
    <w:p>
      <w:pPr>
        <w:pBdr>
          <w:left w:val="single" w:color="0b3d5c" w:sz="24" w:space="8"/>
        </w:pBdr>
        <w:shd w:fill="f2f2f2" w:val="clear"/>
        <w:spacing w:after="200" w:before="100" w:line="280"/>
        <w:ind w:left="120"/>
      </w:pPr>
      <w:r>
        <w:rPr>
          <w:i/>
          <w:iCs/>
          <w:color w:val="555555"/>
          <w:sz w:val="20"/>
          <w:szCs w:val="20"/>
        </w:rPr>
        <w:t xml:space="preserve">Globaal Elevate Production s.r.o. při současném obratu spadá jednoznačně do kategorie mikro účetní jednotka. To znamená: účetní závěrku lze sestavovat ve zjednodušeném rozsahu, audit se netýká, přehled o peněžních tocích a změnách vlastního kapitálu nejsou povinné.</w:t>
      </w:r>
    </w:p>
    <w:p>
      <w:pPr>
        <w:pStyle w:val="Heading2"/>
        <w:spacing w:after="120" w:before="280"/>
      </w:pPr>
      <w:r>
        <w:rPr>
          <w:b/>
          <w:bCs/>
          <w:color w:val="0b3d5c"/>
          <w:sz w:val="24"/>
          <w:szCs w:val="24"/>
        </w:rPr>
        <w:t xml:space="preserve">2.3 Požadavky na účetní záznam — průkaznost a auditní stopa</w:t>
      </w:r>
    </w:p>
    <w:p>
      <w:pPr>
        <w:spacing w:after="140" w:line="300"/>
      </w:pPr>
      <w:r>
        <w:rPr>
          <w:sz w:val="21"/>
          <w:szCs w:val="21"/>
        </w:rPr>
        <w:t xml:space="preserve">Toto je nejkritičtější technický požadavek na jakýkoli vlastní software. Zákon rozlišuje mezi účetnictvím, které je správné, úplné, průkazné, srozumitelné, přehledné a trvalé (§ 8 ZoÚ).</w:t>
      </w:r>
    </w:p>
    <w:p>
      <w:pPr>
        <w:pBdr>
          <w:left w:val="single" w:color="8a6d1a" w:sz="24" w:space="8"/>
        </w:pBdr>
        <w:shd w:fill="f2f2f2" w:val="clear"/>
        <w:spacing w:after="140" w:line="280"/>
        <w:ind w:left="120"/>
      </w:pPr>
      <w:r>
        <w:rPr>
          <w:b/>
          <w:bCs/>
          <w:color w:val="8a6d1a"/>
          <w:sz w:val="20"/>
          <w:szCs w:val="20"/>
        </w:rPr>
        <w:t xml:space="preserve">§ </w:t>
      </w:r>
      <w:r>
        <w:rPr>
          <w:color w:val="333333"/>
          <w:sz w:val="20"/>
          <w:szCs w:val="20"/>
        </w:rPr>
        <w:t xml:space="preserve">33a — Účetní záznam je průkazný, je-li podepsán vlastnoručně nebo uznávaným elektronickým podpisem, případně obdobným průkazným technickým záznamem. Pokud jednotka zjistí, že obsah záznamu neodpovídá skutečnosti, musí jej od té chvíle považovat za neprůkazný.</w:t>
      </w:r>
    </w:p>
    <w:p>
      <w:pPr>
        <w:pBdr>
          <w:left w:val="single" w:color="8a6d1a" w:sz="24" w:space="8"/>
        </w:pBdr>
        <w:shd w:fill="f2f2f2" w:val="clear"/>
        <w:spacing w:after="140" w:line="280"/>
        <w:ind w:left="120"/>
      </w:pPr>
      <w:r>
        <w:rPr>
          <w:b/>
          <w:bCs/>
          <w:color w:val="8a6d1a"/>
          <w:sz w:val="20"/>
          <w:szCs w:val="20"/>
        </w:rPr>
        <w:t xml:space="preserve">§ </w:t>
      </w:r>
      <w:r>
        <w:rPr>
          <w:color w:val="333333"/>
          <w:sz w:val="20"/>
          <w:szCs w:val="20"/>
        </w:rPr>
        <w:t xml:space="preserve">33 odst. 4 — Účetní záznam v technické formě musí být ve formátu, který zaručí jeho neměnnost a čitelnost pro fyzickou osobu.</w:t>
      </w:r>
    </w:p>
    <w:p>
      <w:pPr>
        <w:pBdr>
          <w:left w:val="single" w:color="8a6d1a" w:sz="24" w:space="8"/>
        </w:pBdr>
        <w:shd w:fill="f2f2f2" w:val="clear"/>
        <w:spacing w:after="140" w:line="280"/>
        <w:ind w:left="120"/>
      </w:pPr>
      <w:r>
        <w:rPr>
          <w:b/>
          <w:bCs/>
          <w:color w:val="8a6d1a"/>
          <w:sz w:val="20"/>
          <w:szCs w:val="20"/>
        </w:rPr>
        <w:t xml:space="preserve">§ </w:t>
      </w:r>
      <w:r>
        <w:rPr>
          <w:color w:val="333333"/>
          <w:sz w:val="20"/>
          <w:szCs w:val="20"/>
        </w:rPr>
        <w:t xml:space="preserve">35 — Opravy nesmějí vést k neúplnosti, neprůkaznosti, nesprávnosti nebo nepřehlednosti. Chybný záznam se opravuje, nikoli maže.</w:t>
      </w:r>
    </w:p>
    <w:p>
      <w:pPr>
        <w:spacing w:after="140" w:line="300"/>
      </w:pPr>
      <w:r>
        <w:rPr>
          <w:b/>
          <w:bCs/>
          <w:sz w:val="21"/>
          <w:szCs w:val="21"/>
        </w:rPr>
        <w:t xml:space="preserve">Praktický důsledek pro systém: </w:t>
      </w:r>
      <w:r>
        <w:rPr>
          <w:sz w:val="21"/>
          <w:szCs w:val="21"/>
        </w:rPr>
        <w:t xml:space="preserve">žádný zaúčtovaný doklad nelze fyzicky smazat ani přepsat. Jakákoliv oprava musí vytvořit nový, vzájemně provázaný záznam (storno + nový doklad) s časovým razítkem, identitou uživatele a důvodem opravy. Toto je základní stavební kámen datového modelu (viz kapitola 5.6 — Audit log).</w:t>
      </w:r>
    </w:p>
    <w:p>
      <w:pPr>
        <w:pStyle w:val="Heading2"/>
        <w:spacing w:after="120" w:before="280"/>
      </w:pPr>
      <w:r>
        <w:rPr>
          <w:b/>
          <w:bCs/>
          <w:color w:val="0b3d5c"/>
          <w:sz w:val="24"/>
          <w:szCs w:val="24"/>
        </w:rPr>
        <w:t xml:space="preserve">2.4 Náležitosti účetního dokladu</w:t>
      </w:r>
    </w:p>
    <w:p>
      <w:pPr>
        <w:spacing w:after="140" w:line="300"/>
      </w:pPr>
      <w:r>
        <w:rPr>
          <w:sz w:val="21"/>
          <w:szCs w:val="21"/>
        </w:rPr>
        <w:t xml:space="preserve">Podle § 11 zákona o účetnictví musí každý účetní doklad obsahovat:</w:t>
      </w:r>
    </w:p>
    <w:p>
      <w:pPr>
        <w:pStyle w:val="ListParagraph"/>
        <w:numPr>
          <w:ilvl w:val="0"/>
          <w:numId w:val="2"/>
        </w:numPr>
        <w:spacing w:after="80" w:line="290"/>
      </w:pPr>
      <w:r>
        <w:rPr>
          <w:sz w:val="21"/>
          <w:szCs w:val="21"/>
        </w:rPr>
        <w:t xml:space="preserve">Označení dokladu (jednoznačné, v nepřerušené číselné řadě)</w:t>
      </w:r>
    </w:p>
    <w:p>
      <w:pPr>
        <w:pStyle w:val="ListParagraph"/>
        <w:numPr>
          <w:ilvl w:val="0"/>
          <w:numId w:val="2"/>
        </w:numPr>
        <w:spacing w:after="80" w:line="290"/>
      </w:pPr>
      <w:r>
        <w:rPr>
          <w:sz w:val="21"/>
          <w:szCs w:val="21"/>
        </w:rPr>
        <w:t xml:space="preserve">Obsah účetního případu a označení jeho účastníků</w:t>
      </w:r>
    </w:p>
    <w:p>
      <w:pPr>
        <w:pStyle w:val="ListParagraph"/>
        <w:numPr>
          <w:ilvl w:val="0"/>
          <w:numId w:val="2"/>
        </w:numPr>
        <w:spacing w:after="80" w:line="290"/>
      </w:pPr>
      <w:r>
        <w:rPr>
          <w:sz w:val="21"/>
          <w:szCs w:val="21"/>
        </w:rPr>
        <w:t xml:space="preserve">Peněžní částku nebo informaci o ceně za měrnou jednotku a vyjádření množství</w:t>
      </w:r>
    </w:p>
    <w:p>
      <w:pPr>
        <w:pStyle w:val="ListParagraph"/>
        <w:numPr>
          <w:ilvl w:val="0"/>
          <w:numId w:val="2"/>
        </w:numPr>
        <w:spacing w:after="80" w:line="290"/>
      </w:pPr>
      <w:r>
        <w:rPr>
          <w:sz w:val="21"/>
          <w:szCs w:val="21"/>
        </w:rPr>
        <w:t xml:space="preserve">Okamžik vyhotovení dokladu</w:t>
      </w:r>
    </w:p>
    <w:p>
      <w:pPr>
        <w:pStyle w:val="ListParagraph"/>
        <w:numPr>
          <w:ilvl w:val="0"/>
          <w:numId w:val="2"/>
        </w:numPr>
        <w:spacing w:after="80" w:line="290"/>
      </w:pPr>
      <w:r>
        <w:rPr>
          <w:sz w:val="21"/>
          <w:szCs w:val="21"/>
        </w:rPr>
        <w:t xml:space="preserve">Okamžik uskutečnění účetního případu (není-li shodný s vyhotovením)</w:t>
      </w:r>
    </w:p>
    <w:p>
      <w:pPr>
        <w:pStyle w:val="ListParagraph"/>
        <w:numPr>
          <w:ilvl w:val="0"/>
          <w:numId w:val="2"/>
        </w:numPr>
        <w:spacing w:after="80" w:line="290"/>
      </w:pPr>
      <w:r>
        <w:rPr>
          <w:sz w:val="21"/>
          <w:szCs w:val="21"/>
        </w:rPr>
        <w:t xml:space="preserve">Podpisový záznam osoby odpovědné za účetní případ a osoby odpovědné za jeho zaúčtování</w:t>
      </w:r>
    </w:p>
    <w:p>
      <w:pPr>
        <w:pBdr>
          <w:left w:val="single" w:color="0b3d5c" w:sz="24" w:space="8"/>
        </w:pBdr>
        <w:shd w:fill="f2f2f2" w:val="clear"/>
        <w:spacing w:after="200" w:before="100" w:line="280"/>
        <w:ind w:left="120"/>
      </w:pPr>
      <w:r>
        <w:rPr>
          <w:i/>
          <w:iCs/>
          <w:color w:val="555555"/>
          <w:sz w:val="20"/>
          <w:szCs w:val="20"/>
        </w:rPr>
        <w:t xml:space="preserve">Poslední bod (dvě různé odpovědné osoby) je v malé firmě s jedním jednatelem obtížně naplnitelný doslovně — v praxi se řeší tak, že tatáž osoba doklad schvaluje i zaúčtovává, ale systém musí obě role v datovém modelu rozlišovat, aby byl připraven na budoucí růst (např. asistent zadává, jednatel schvaluje).</w:t>
      </w:r>
    </w:p>
    <w:p>
      <w:pPr>
        <w:pStyle w:val="Heading2"/>
        <w:spacing w:after="120" w:before="280"/>
      </w:pPr>
      <w:r>
        <w:rPr>
          <w:b/>
          <w:bCs/>
          <w:color w:val="0b3d5c"/>
          <w:sz w:val="24"/>
          <w:szCs w:val="24"/>
        </w:rPr>
        <w:t xml:space="preserve">2.5 Náležitosti daňového dokladu (pro budoucí DPH registraci)</w:t>
      </w:r>
    </w:p>
    <w:p>
      <w:pPr>
        <w:spacing w:after="140" w:line="300"/>
      </w:pPr>
      <w:r>
        <w:rPr>
          <w:sz w:val="21"/>
          <w:szCs w:val="21"/>
        </w:rPr>
        <w:t xml:space="preserve">Pokud se Globaal Elevate v budoucnu stane plátcem DPH, musí každý daňový doklad podle § 29 zákona o DPH obsahovat navíc:</w:t>
      </w:r>
    </w:p>
    <w:p>
      <w:pPr>
        <w:pStyle w:val="ListParagraph"/>
        <w:numPr>
          <w:ilvl w:val="0"/>
          <w:numId w:val="2"/>
        </w:numPr>
        <w:spacing w:after="80" w:line="290"/>
      </w:pPr>
      <w:r>
        <w:rPr>
          <w:sz w:val="21"/>
          <w:szCs w:val="21"/>
        </w:rPr>
        <w:t xml:space="preserve">Označení a DIČ osoby, která plnění uskutečňuje, i osoby, pro kterou se plnění uskutečňuje</w:t>
      </w:r>
    </w:p>
    <w:p>
      <w:pPr>
        <w:pStyle w:val="ListParagraph"/>
        <w:numPr>
          <w:ilvl w:val="0"/>
          <w:numId w:val="2"/>
        </w:numPr>
        <w:spacing w:after="80" w:line="290"/>
      </w:pPr>
      <w:r>
        <w:rPr>
          <w:sz w:val="21"/>
          <w:szCs w:val="21"/>
        </w:rPr>
        <w:t xml:space="preserve">Evidenční číslo daňového dokladu</w:t>
      </w:r>
    </w:p>
    <w:p>
      <w:pPr>
        <w:pStyle w:val="ListParagraph"/>
        <w:numPr>
          <w:ilvl w:val="0"/>
          <w:numId w:val="2"/>
        </w:numPr>
        <w:spacing w:after="80" w:line="290"/>
      </w:pPr>
      <w:r>
        <w:rPr>
          <w:sz w:val="21"/>
          <w:szCs w:val="21"/>
        </w:rPr>
        <w:t xml:space="preserve">Rozsah a předmět plnění</w:t>
      </w:r>
    </w:p>
    <w:p>
      <w:pPr>
        <w:pStyle w:val="ListParagraph"/>
        <w:numPr>
          <w:ilvl w:val="0"/>
          <w:numId w:val="2"/>
        </w:numPr>
        <w:spacing w:after="80" w:line="290"/>
      </w:pPr>
      <w:r>
        <w:rPr>
          <w:sz w:val="21"/>
          <w:szCs w:val="21"/>
        </w:rPr>
        <w:t xml:space="preserve">Den vystavení a den uskutečnění zdanitelného plnění (DUZP), liší-li se</w:t>
      </w:r>
    </w:p>
    <w:p>
      <w:pPr>
        <w:pStyle w:val="ListParagraph"/>
        <w:numPr>
          <w:ilvl w:val="0"/>
          <w:numId w:val="2"/>
        </w:numPr>
        <w:spacing w:after="80" w:line="290"/>
      </w:pPr>
      <w:r>
        <w:rPr>
          <w:sz w:val="21"/>
          <w:szCs w:val="21"/>
        </w:rPr>
        <w:t xml:space="preserve">Jednotkovou cenu bez daně, případně slevu</w:t>
      </w:r>
    </w:p>
    <w:p>
      <w:pPr>
        <w:pStyle w:val="ListParagraph"/>
        <w:numPr>
          <w:ilvl w:val="0"/>
          <w:numId w:val="2"/>
        </w:numPr>
        <w:spacing w:after="80" w:line="290"/>
      </w:pPr>
      <w:r>
        <w:rPr>
          <w:sz w:val="21"/>
          <w:szCs w:val="21"/>
        </w:rPr>
        <w:t xml:space="preserve">Základ daně, sazbu daně, výši daně v Kč</w:t>
      </w:r>
    </w:p>
    <w:p>
      <w:pPr>
        <w:pStyle w:val="ListParagraph"/>
        <w:numPr>
          <w:ilvl w:val="0"/>
          <w:numId w:val="2"/>
        </w:numPr>
        <w:spacing w:after="80" w:line="290"/>
      </w:pPr>
      <w:r>
        <w:rPr>
          <w:sz w:val="21"/>
          <w:szCs w:val="21"/>
        </w:rPr>
        <w:t xml:space="preserve">Případné zvláštní údaje ("vystaveno zákazníkem", "daň odvede zákazník" u reverse charge apod.)</w:t>
      </w:r>
    </w:p>
    <w:p>
      <w:pPr>
        <w:pBdr>
          <w:left w:val="single" w:color="0b3d5c" w:sz="24" w:space="8"/>
        </w:pBdr>
        <w:shd w:fill="f2f2f2" w:val="clear"/>
        <w:spacing w:after="200" w:before="100" w:line="280"/>
        <w:ind w:left="120"/>
      </w:pPr>
      <w:r>
        <w:rPr>
          <w:i/>
          <w:iCs/>
          <w:color w:val="555555"/>
          <w:sz w:val="20"/>
          <w:szCs w:val="20"/>
        </w:rPr>
        <w:t xml:space="preserve">Datový model dokladu je proto navržen tak, aby DPH pole existovala od začátku (sazba, základ, výše daně, DUZP), i když se dnes nevyplňují — přepnutí do plátcovského režimu tak nevyžaduje migraci dat, jen aktivaci validací a výpočtů.</w:t>
      </w:r>
    </w:p>
    <w:p>
      <w:pPr>
        <w:pStyle w:val="Heading2"/>
        <w:spacing w:after="120" w:before="280"/>
      </w:pPr>
      <w:r>
        <w:rPr>
          <w:b/>
          <w:bCs/>
          <w:color w:val="0b3d5c"/>
          <w:sz w:val="24"/>
          <w:szCs w:val="24"/>
        </w:rPr>
        <w:t xml:space="preserve">2.6 Evidence pro účely DPH a kontrolní hlášení</w:t>
      </w:r>
    </w:p>
    <w:p>
      <w:pPr>
        <w:spacing w:after="140" w:line="300"/>
      </w:pPr>
      <w:r>
        <w:rPr>
          <w:sz w:val="21"/>
          <w:szCs w:val="21"/>
        </w:rPr>
        <w:t xml:space="preserve">Pokud se firma stane plátcem, § 100 zákona o DPH ukládá vést evidenci veškerých přijatých a uskutečněných plnění v takové podobě, aby z ní bylo možné kdykoli sestavit přiznání k DPH i kontrolní hlášení. Kontrolní hlášení navíc u dokladů nad 10 000 Kč včetně daně vyžaduje evidovat jednotlivě: evidenční číslo dokladu, DIČ protistrany a datum uskutečnění zdanitelného plnění.</w:t>
      </w:r>
    </w:p>
    <w:p>
      <w:pPr>
        <w:spacing w:after="140" w:line="300"/>
      </w:pPr>
      <w:r>
        <w:rPr>
          <w:b/>
          <w:bCs/>
          <w:sz w:val="21"/>
          <w:szCs w:val="21"/>
        </w:rPr>
        <w:t xml:space="preserve">Praktický důsledek: </w:t>
      </w:r>
      <w:r>
        <w:rPr>
          <w:sz w:val="21"/>
          <w:szCs w:val="21"/>
        </w:rPr>
        <w:t xml:space="preserve">modul DPH musí umět rozlišit doklady nad/pod 10 000 Kč a u těch nad limitem vynutit vyplnění DIČ protistrany — jinak by budoucí export pro kontrolní hlášení byl neúplný.</w:t>
      </w:r>
    </w:p>
    <w:p>
      <w:pPr>
        <w:pStyle w:val="Heading2"/>
        <w:spacing w:after="120" w:before="280"/>
      </w:pPr>
      <w:r>
        <w:rPr>
          <w:b/>
          <w:bCs/>
          <w:color w:val="0b3d5c"/>
          <w:sz w:val="24"/>
          <w:szCs w:val="24"/>
        </w:rPr>
        <w:t xml:space="preserve">2.7 Archivace a skartační lhůty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c>
          <w:tcPr>
            <w:tcW w:type="pct" w:w="32%"/>
            <w:shd w:fill="0b3d5c" w:val="clear"/>
            <w:tcMar>
              <w:top w:type="dxa" w:w="80"/>
              <w:left w:type="dxa" w:w="120"/>
              <w:bottom w:type="dxa" w:w="80"/>
              <w:right w:type="dxa" w:w="120"/>
            </w:tcMar>
          </w:tcPr>
          <w:p>
            <w:r>
              <w:rPr>
                <w:b/>
                <w:bCs/>
                <w:color w:val="FFFFFF"/>
                <w:sz w:val="19"/>
                <w:szCs w:val="19"/>
              </w:rPr>
              <w:t xml:space="preserve">Typ záznamu</w:t>
            </w:r>
          </w:p>
        </w:tc>
        <w:tc>
          <w:tcPr>
            <w:tcW w:type="pct" w:w="14%"/>
            <w:shd w:fill="0b3d5c" w:val="clear"/>
            <w:tcMar>
              <w:top w:type="dxa" w:w="80"/>
              <w:left w:type="dxa" w:w="120"/>
              <w:bottom w:type="dxa" w:w="80"/>
              <w:right w:type="dxa" w:w="120"/>
            </w:tcMar>
          </w:tcPr>
          <w:p>
            <w:r>
              <w:rPr>
                <w:b/>
                <w:bCs/>
                <w:color w:val="FFFFFF"/>
                <w:sz w:val="19"/>
                <w:szCs w:val="19"/>
              </w:rPr>
              <w:t xml:space="preserve">Lhůta</w:t>
            </w:r>
          </w:p>
        </w:tc>
        <w:tc>
          <w:tcPr>
            <w:tcW w:type="pct" w:w="32%"/>
            <w:shd w:fill="0b3d5c" w:val="clear"/>
            <w:tcMar>
              <w:top w:type="dxa" w:w="80"/>
              <w:left w:type="dxa" w:w="120"/>
              <w:bottom w:type="dxa" w:w="80"/>
              <w:right w:type="dxa" w:w="120"/>
            </w:tcMar>
          </w:tcPr>
          <w:p>
            <w:r>
              <w:rPr>
                <w:b/>
                <w:bCs/>
                <w:color w:val="FFFFFF"/>
                <w:sz w:val="19"/>
                <w:szCs w:val="19"/>
              </w:rPr>
              <w:t xml:space="preserve">Od kdy se počítá</w:t>
            </w:r>
          </w:p>
        </w:tc>
        <w:tc>
          <w:tcPr>
            <w:tcW w:type="pct" w:w="22%"/>
            <w:shd w:fill="0b3d5c" w:val="clear"/>
            <w:tcMar>
              <w:top w:type="dxa" w:w="80"/>
              <w:left w:type="dxa" w:w="120"/>
              <w:bottom w:type="dxa" w:w="80"/>
              <w:right w:type="dxa" w:w="120"/>
            </w:tcMar>
          </w:tcPr>
          <w:p>
            <w:r>
              <w:rPr>
                <w:b/>
                <w:bCs/>
                <w:color w:val="FFFFFF"/>
                <w:sz w:val="19"/>
                <w:szCs w:val="19"/>
              </w:rPr>
              <w:t xml:space="preserve">Zdroj</w:t>
            </w:r>
          </w:p>
        </w:tc>
      </w:tr>
      <w:tr>
        <w:tc>
          <w:tcPr>
            <w:tcW w:type="pct" w:w="32%"/>
            <w:tcMar>
              <w:top w:type="dxa" w:w="80"/>
              <w:left w:type="dxa" w:w="120"/>
              <w:bottom w:type="dxa" w:w="80"/>
              <w:right w:type="dxa" w:w="120"/>
            </w:tcMar>
          </w:tcPr>
          <w:p>
            <w:r>
              <w:rPr>
                <w:b w:val="false"/>
                <w:bCs w:val="false"/>
                <w:color w:val="000000"/>
                <w:sz w:val="19"/>
                <w:szCs w:val="19"/>
              </w:rPr>
              <w:t xml:space="preserve">Účetní doklady, knihy, účtový rozvrh, inventurní soupisy</w:t>
            </w:r>
          </w:p>
        </w:tc>
        <w:tc>
          <w:tcPr>
            <w:tcW w:type="pct" w:w="14%"/>
            <w:tcMar>
              <w:top w:type="dxa" w:w="80"/>
              <w:left w:type="dxa" w:w="120"/>
              <w:bottom w:type="dxa" w:w="80"/>
              <w:right w:type="dxa" w:w="120"/>
            </w:tcMar>
          </w:tcPr>
          <w:p>
            <w:r>
              <w:rPr>
                <w:b w:val="false"/>
                <w:bCs w:val="false"/>
                <w:color w:val="000000"/>
                <w:sz w:val="19"/>
                <w:szCs w:val="19"/>
              </w:rPr>
              <w:t xml:space="preserve">5 let</w:t>
            </w:r>
          </w:p>
        </w:tc>
        <w:tc>
          <w:tcPr>
            <w:tcW w:type="pct" w:w="32%"/>
            <w:tcMar>
              <w:top w:type="dxa" w:w="80"/>
              <w:left w:type="dxa" w:w="120"/>
              <w:bottom w:type="dxa" w:w="80"/>
              <w:right w:type="dxa" w:w="120"/>
            </w:tcMar>
          </w:tcPr>
          <w:p>
            <w:r>
              <w:rPr>
                <w:b w:val="false"/>
                <w:bCs w:val="false"/>
                <w:color w:val="000000"/>
                <w:sz w:val="19"/>
                <w:szCs w:val="19"/>
              </w:rPr>
              <w:t xml:space="preserve">konec účetního období, kterého se týkají</w:t>
            </w:r>
          </w:p>
        </w:tc>
        <w:tc>
          <w:tcPr>
            <w:tcW w:type="pct" w:w="22%"/>
            <w:tcMar>
              <w:top w:type="dxa" w:w="80"/>
              <w:left w:type="dxa" w:w="120"/>
              <w:bottom w:type="dxa" w:w="80"/>
              <w:right w:type="dxa" w:w="120"/>
            </w:tcMar>
          </w:tcPr>
          <w:p>
            <w:r>
              <w:rPr>
                <w:b w:val="false"/>
                <w:bCs w:val="false"/>
                <w:color w:val="000000"/>
                <w:sz w:val="19"/>
                <w:szCs w:val="19"/>
              </w:rPr>
              <w:t xml:space="preserve">§ 31 ZoÚ</w:t>
            </w:r>
          </w:p>
        </w:tc>
      </w:tr>
      <w:tr>
        <w:tc>
          <w:tcPr>
            <w:tcW w:type="pct" w:w="32%"/>
            <w:tcMar>
              <w:top w:type="dxa" w:w="80"/>
              <w:left w:type="dxa" w:w="120"/>
              <w:bottom w:type="dxa" w:w="80"/>
              <w:right w:type="dxa" w:w="120"/>
            </w:tcMar>
          </w:tcPr>
          <w:p>
            <w:r>
              <w:rPr>
                <w:b w:val="false"/>
                <w:bCs w:val="false"/>
                <w:color w:val="000000"/>
                <w:sz w:val="19"/>
                <w:szCs w:val="19"/>
              </w:rPr>
              <w:t xml:space="preserve">Účetní závěrka a výroční zpráva</w:t>
            </w:r>
          </w:p>
        </w:tc>
        <w:tc>
          <w:tcPr>
            <w:tcW w:type="pct" w:w="14%"/>
            <w:tcMar>
              <w:top w:type="dxa" w:w="80"/>
              <w:left w:type="dxa" w:w="120"/>
              <w:bottom w:type="dxa" w:w="80"/>
              <w:right w:type="dxa" w:w="120"/>
            </w:tcMar>
          </w:tcPr>
          <w:p>
            <w:r>
              <w:rPr>
                <w:b w:val="false"/>
                <w:bCs w:val="false"/>
                <w:color w:val="000000"/>
                <w:sz w:val="19"/>
                <w:szCs w:val="19"/>
              </w:rPr>
              <w:t xml:space="preserve">10 let</w:t>
            </w:r>
          </w:p>
        </w:tc>
        <w:tc>
          <w:tcPr>
            <w:tcW w:type="pct" w:w="32%"/>
            <w:tcMar>
              <w:top w:type="dxa" w:w="80"/>
              <w:left w:type="dxa" w:w="120"/>
              <w:bottom w:type="dxa" w:w="80"/>
              <w:right w:type="dxa" w:w="120"/>
            </w:tcMar>
          </w:tcPr>
          <w:p>
            <w:r>
              <w:rPr>
                <w:b w:val="false"/>
                <w:bCs w:val="false"/>
                <w:color w:val="000000"/>
                <w:sz w:val="19"/>
                <w:szCs w:val="19"/>
              </w:rPr>
              <w:t xml:space="preserve">konec účetního období, kterého se týkají</w:t>
            </w:r>
          </w:p>
        </w:tc>
        <w:tc>
          <w:tcPr>
            <w:tcW w:type="pct" w:w="22%"/>
            <w:tcMar>
              <w:top w:type="dxa" w:w="80"/>
              <w:left w:type="dxa" w:w="120"/>
              <w:bottom w:type="dxa" w:w="80"/>
              <w:right w:type="dxa" w:w="120"/>
            </w:tcMar>
          </w:tcPr>
          <w:p>
            <w:r>
              <w:rPr>
                <w:b w:val="false"/>
                <w:bCs w:val="false"/>
                <w:color w:val="000000"/>
                <w:sz w:val="19"/>
                <w:szCs w:val="19"/>
              </w:rPr>
              <w:t xml:space="preserve">§ 31 ZoÚ</w:t>
            </w:r>
          </w:p>
        </w:tc>
      </w:tr>
      <w:tr>
        <w:tc>
          <w:tcPr>
            <w:tcW w:type="pct" w:w="32%"/>
            <w:tcMar>
              <w:top w:type="dxa" w:w="80"/>
              <w:left w:type="dxa" w:w="120"/>
              <w:bottom w:type="dxa" w:w="80"/>
              <w:right w:type="dxa" w:w="120"/>
            </w:tcMar>
          </w:tcPr>
          <w:p>
            <w:r>
              <w:rPr>
                <w:b w:val="false"/>
                <w:bCs w:val="false"/>
                <w:color w:val="000000"/>
                <w:sz w:val="19"/>
                <w:szCs w:val="19"/>
              </w:rPr>
              <w:t xml:space="preserve">Daňové doklady (je-li firma plátce DPH)</w:t>
            </w:r>
          </w:p>
        </w:tc>
        <w:tc>
          <w:tcPr>
            <w:tcW w:type="pct" w:w="14%"/>
            <w:tcMar>
              <w:top w:type="dxa" w:w="80"/>
              <w:left w:type="dxa" w:w="120"/>
              <w:bottom w:type="dxa" w:w="80"/>
              <w:right w:type="dxa" w:w="120"/>
            </w:tcMar>
          </w:tcPr>
          <w:p>
            <w:r>
              <w:rPr>
                <w:b w:val="false"/>
                <w:bCs w:val="false"/>
                <w:color w:val="000000"/>
                <w:sz w:val="19"/>
                <w:szCs w:val="19"/>
              </w:rPr>
              <w:t xml:space="preserve">10 let</w:t>
            </w:r>
          </w:p>
        </w:tc>
        <w:tc>
          <w:tcPr>
            <w:tcW w:type="pct" w:w="32%"/>
            <w:tcMar>
              <w:top w:type="dxa" w:w="80"/>
              <w:left w:type="dxa" w:w="120"/>
              <w:bottom w:type="dxa" w:w="80"/>
              <w:right w:type="dxa" w:w="120"/>
            </w:tcMar>
          </w:tcPr>
          <w:p>
            <w:r>
              <w:rPr>
                <w:b w:val="false"/>
                <w:bCs w:val="false"/>
                <w:color w:val="000000"/>
                <w:sz w:val="19"/>
                <w:szCs w:val="19"/>
              </w:rPr>
              <w:t xml:space="preserve">konec zdaňovacího období uskutečnění plnění</w:t>
            </w:r>
          </w:p>
        </w:tc>
        <w:tc>
          <w:tcPr>
            <w:tcW w:type="pct" w:w="22%"/>
            <w:tcMar>
              <w:top w:type="dxa" w:w="80"/>
              <w:left w:type="dxa" w:w="120"/>
              <w:bottom w:type="dxa" w:w="80"/>
              <w:right w:type="dxa" w:w="120"/>
            </w:tcMar>
          </w:tcPr>
          <w:p>
            <w:r>
              <w:rPr>
                <w:b w:val="false"/>
                <w:bCs w:val="false"/>
                <w:color w:val="000000"/>
                <w:sz w:val="19"/>
                <w:szCs w:val="19"/>
              </w:rPr>
              <w:t xml:space="preserve">§ 35 zákona o DPH</w:t>
            </w:r>
          </w:p>
        </w:tc>
      </w:tr>
      <w:tr>
        <w:tc>
          <w:tcPr>
            <w:tcW w:type="pct" w:w="32%"/>
            <w:tcMar>
              <w:top w:type="dxa" w:w="80"/>
              <w:left w:type="dxa" w:w="120"/>
              <w:bottom w:type="dxa" w:w="80"/>
              <w:right w:type="dxa" w:w="120"/>
            </w:tcMar>
          </w:tcPr>
          <w:p>
            <w:r>
              <w:rPr>
                <w:b w:val="false"/>
                <w:bCs w:val="false"/>
                <w:color w:val="000000"/>
                <w:sz w:val="19"/>
                <w:szCs w:val="19"/>
              </w:rPr>
              <w:t xml:space="preserve">Nezaplacená pohledávka / nesplněný závazek</w:t>
            </w:r>
          </w:p>
        </w:tc>
        <w:tc>
          <w:tcPr>
            <w:tcW w:type="pct" w:w="14%"/>
            <w:tcMar>
              <w:top w:type="dxa" w:w="80"/>
              <w:left w:type="dxa" w:w="120"/>
              <w:bottom w:type="dxa" w:w="80"/>
              <w:right w:type="dxa" w:w="120"/>
            </w:tcMar>
          </w:tcPr>
          <w:p>
            <w:r>
              <w:rPr>
                <w:b w:val="false"/>
                <w:bCs w:val="false"/>
                <w:color w:val="000000"/>
                <w:sz w:val="19"/>
                <w:szCs w:val="19"/>
              </w:rPr>
              <w:t xml:space="preserve">do konce prvního účetního období po vyrovnání</w:t>
            </w:r>
          </w:p>
        </w:tc>
        <w:tc>
          <w:tcPr>
            <w:tcW w:type="pct" w:w="32%"/>
            <w:tcMar>
              <w:top w:type="dxa" w:w="80"/>
              <w:left w:type="dxa" w:w="120"/>
              <w:bottom w:type="dxa" w:w="80"/>
              <w:right w:type="dxa" w:w="120"/>
            </w:tcMar>
          </w:tcPr>
          <w:p>
            <w:r>
              <w:rPr>
                <w:b w:val="false"/>
                <w:bCs w:val="false"/>
                <w:color w:val="000000"/>
                <w:sz w:val="19"/>
                <w:szCs w:val="19"/>
              </w:rPr>
              <w:t xml:space="preserve">vyrovnání pohledávky/závazku</w:t>
            </w:r>
          </w:p>
        </w:tc>
        <w:tc>
          <w:tcPr>
            <w:tcW w:type="pct" w:w="22%"/>
            <w:tcMar>
              <w:top w:type="dxa" w:w="80"/>
              <w:left w:type="dxa" w:w="120"/>
              <w:bottom w:type="dxa" w:w="80"/>
              <w:right w:type="dxa" w:w="120"/>
            </w:tcMar>
          </w:tcPr>
          <w:p>
            <w:r>
              <w:rPr>
                <w:b w:val="false"/>
                <w:bCs w:val="false"/>
                <w:color w:val="000000"/>
                <w:sz w:val="19"/>
                <w:szCs w:val="19"/>
              </w:rPr>
              <w:t xml:space="preserve">§ 31 odst. 2 písm. e) ZoÚ</w:t>
            </w:r>
          </w:p>
        </w:tc>
      </w:tr>
      <w:tr>
        <w:tc>
          <w:tcPr>
            <w:tcW w:type="pct" w:w="32%"/>
            <w:tcMar>
              <w:top w:type="dxa" w:w="80"/>
              <w:left w:type="dxa" w:w="120"/>
              <w:bottom w:type="dxa" w:w="80"/>
              <w:right w:type="dxa" w:w="120"/>
            </w:tcMar>
          </w:tcPr>
          <w:p>
            <w:r>
              <w:rPr>
                <w:b w:val="false"/>
                <w:bCs w:val="false"/>
                <w:color w:val="000000"/>
                <w:sz w:val="19"/>
                <w:szCs w:val="19"/>
              </w:rPr>
              <w:t xml:space="preserve">Mzdové listy (pokud v budoucnu zaměstnanci)</w:t>
            </w:r>
          </w:p>
        </w:tc>
        <w:tc>
          <w:tcPr>
            <w:tcW w:type="pct" w:w="14%"/>
            <w:tcMar>
              <w:top w:type="dxa" w:w="80"/>
              <w:left w:type="dxa" w:w="120"/>
              <w:bottom w:type="dxa" w:w="80"/>
              <w:right w:type="dxa" w:w="120"/>
            </w:tcMar>
          </w:tcPr>
          <w:p>
            <w:r>
              <w:rPr>
                <w:b w:val="false"/>
                <w:bCs w:val="false"/>
                <w:color w:val="000000"/>
                <w:sz w:val="19"/>
                <w:szCs w:val="19"/>
              </w:rPr>
              <w:t xml:space="preserve">30 let</w:t>
            </w:r>
          </w:p>
        </w:tc>
        <w:tc>
          <w:tcPr>
            <w:tcW w:type="pct" w:w="32%"/>
            <w:tcMar>
              <w:top w:type="dxa" w:w="80"/>
              <w:left w:type="dxa" w:w="120"/>
              <w:bottom w:type="dxa" w:w="80"/>
              <w:right w:type="dxa" w:w="120"/>
            </w:tcMar>
          </w:tcPr>
          <w:p>
            <w:r>
              <w:rPr>
                <w:b w:val="false"/>
                <w:bCs w:val="false"/>
                <w:color w:val="000000"/>
                <w:sz w:val="19"/>
                <w:szCs w:val="19"/>
              </w:rPr>
              <w:t xml:space="preserve">—</w:t>
            </w:r>
          </w:p>
        </w:tc>
        <w:tc>
          <w:tcPr>
            <w:tcW w:type="pct" w:w="22%"/>
            <w:tcMar>
              <w:top w:type="dxa" w:w="80"/>
              <w:left w:type="dxa" w:w="120"/>
              <w:bottom w:type="dxa" w:w="80"/>
              <w:right w:type="dxa" w:w="120"/>
            </w:tcMar>
          </w:tcPr>
          <w:p>
            <w:r>
              <w:rPr>
                <w:b w:val="false"/>
                <w:bCs w:val="false"/>
                <w:color w:val="000000"/>
                <w:sz w:val="19"/>
                <w:szCs w:val="19"/>
              </w:rPr>
              <w:t xml:space="preserve">zákon o organizaci a provádění sociálního zabezpečení</w:t>
            </w:r>
          </w:p>
        </w:tc>
      </w:tr>
    </w:tbl>
    <w:p>
      <w:pPr>
        <w:pBdr>
          <w:left w:val="single" w:color="0b3d5c" w:sz="24" w:space="8"/>
        </w:pBdr>
        <w:shd w:fill="f2f2f2" w:val="clear"/>
        <w:spacing w:after="200" w:before="100" w:line="280"/>
        <w:ind w:left="120"/>
      </w:pPr>
      <w:r>
        <w:rPr>
          <w:i/>
          <w:iCs/>
          <w:color w:val="555555"/>
          <w:sz w:val="20"/>
          <w:szCs w:val="20"/>
        </w:rPr>
        <w:t xml:space="preserve">Pozor na rozdíl oproti dřívější verzi materiálu: obecné účetní doklady se archivují 5 let, ale jakmile se firma stane plátcem DPH, daňové doklady musí zůstat dostupné 10 let. Systém by měl archivační lhůtu počítat per-doklad podle toho, zda jde o daňový doklad, a nikdy nemazat nic před uplynutím delší z platných lhůt.</w:t>
      </w:r>
    </w:p>
    <w:p>
      <w:pPr>
        <w:pStyle w:val="Heading2"/>
        <w:spacing w:after="120" w:before="280"/>
      </w:pPr>
      <w:r>
        <w:rPr>
          <w:b/>
          <w:bCs/>
          <w:color w:val="0b3d5c"/>
          <w:sz w:val="24"/>
          <w:szCs w:val="24"/>
        </w:rPr>
        <w:t xml:space="preserve">2.8 Inventarizace</w:t>
      </w:r>
    </w:p>
    <w:p>
      <w:pPr>
        <w:spacing w:after="140" w:line="300"/>
      </w:pPr>
      <w:r>
        <w:rPr>
          <w:sz w:val="21"/>
          <w:szCs w:val="21"/>
        </w:rPr>
        <w:t xml:space="preserve">Podle § 29–30 ZoÚ musí účetní jednotka k rozvahovému dni ověřit, že skutečný stav majetku a závazků odpovídá stavu v účetnictví (fyzická i dokladová inventura). Průkaz o provedení inventarizace se archivuje 5 let od jejího provedení.</w:t>
      </w:r>
    </w:p>
    <w:p>
      <w:pPr>
        <w:spacing w:after="140" w:line="300"/>
      </w:pPr>
      <w:r>
        <w:rPr>
          <w:b/>
          <w:bCs/>
          <w:sz w:val="21"/>
          <w:szCs w:val="21"/>
        </w:rPr>
        <w:t xml:space="preserve">Praktický důsledek: </w:t>
      </w:r>
      <w:r>
        <w:rPr>
          <w:sz w:val="21"/>
          <w:szCs w:val="21"/>
        </w:rPr>
        <w:t xml:space="preserve">systém potřebuje samostatný modul/proces roční uzávěrky, který k datu rozvahového dne vygeneruje inventurní soupis (zůstatky účtů majetku, pohledávek, závazků, pokladny) k fyzickému odsouhlasení a uzamkne period.</w:t>
      </w:r>
    </w:p>
    <w:p>
      <w:pPr>
        <w:pStyle w:val="Heading2"/>
        <w:spacing w:after="120" w:before="280"/>
      </w:pPr>
      <w:r>
        <w:rPr>
          <w:b/>
          <w:bCs/>
          <w:color w:val="0b3d5c"/>
          <w:sz w:val="24"/>
          <w:szCs w:val="24"/>
        </w:rPr>
        <w:t xml:space="preserve">2.9 Účtová osnova a povinné výkazy</w:t>
      </w:r>
    </w:p>
    <w:p>
      <w:pPr>
        <w:spacing w:after="140" w:line="300"/>
      </w:pPr>
      <w:r>
        <w:rPr>
          <w:sz w:val="21"/>
          <w:szCs w:val="21"/>
        </w:rPr>
        <w:t xml:space="preserve">Vyhláška č. 500/2002 Sb. stanoví směrnou účtovou osnovu — závazné třídy a skupiny účtů, ze kterých si každá firma sestavuje vlastní účtový rozvrh.</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12%"/>
            <w:shd w:fill="0b3d5c" w:val="clear"/>
            <w:tcMar>
              <w:top w:type="dxa" w:w="80"/>
              <w:left w:type="dxa" w:w="120"/>
              <w:bottom w:type="dxa" w:w="80"/>
              <w:right w:type="dxa" w:w="120"/>
            </w:tcMar>
          </w:tcPr>
          <w:p>
            <w:r>
              <w:rPr>
                <w:b/>
                <w:bCs/>
                <w:color w:val="FFFFFF"/>
                <w:sz w:val="19"/>
                <w:szCs w:val="19"/>
              </w:rPr>
              <w:t xml:space="preserve">Třída</w:t>
            </w:r>
          </w:p>
        </w:tc>
        <w:tc>
          <w:tcPr>
            <w:tcW w:type="pct" w:w="58%"/>
            <w:shd w:fill="0b3d5c" w:val="clear"/>
            <w:tcMar>
              <w:top w:type="dxa" w:w="80"/>
              <w:left w:type="dxa" w:w="120"/>
              <w:bottom w:type="dxa" w:w="80"/>
              <w:right w:type="dxa" w:w="120"/>
            </w:tcMar>
          </w:tcPr>
          <w:p>
            <w:r>
              <w:rPr>
                <w:b/>
                <w:bCs/>
                <w:color w:val="FFFFFF"/>
                <w:sz w:val="19"/>
                <w:szCs w:val="19"/>
              </w:rPr>
              <w:t xml:space="preserve">Obsah</w:t>
            </w:r>
          </w:p>
        </w:tc>
        <w:tc>
          <w:tcPr>
            <w:tcW w:type="pct" w:w="30%"/>
            <w:shd w:fill="0b3d5c" w:val="clear"/>
            <w:tcMar>
              <w:top w:type="dxa" w:w="80"/>
              <w:left w:type="dxa" w:w="120"/>
              <w:bottom w:type="dxa" w:w="80"/>
              <w:right w:type="dxa" w:w="120"/>
            </w:tcMar>
          </w:tcPr>
          <w:p>
            <w:r>
              <w:rPr>
                <w:b/>
                <w:bCs/>
                <w:color w:val="FFFFFF"/>
                <w:sz w:val="19"/>
                <w:szCs w:val="19"/>
              </w:rPr>
              <w:t xml:space="preserve">Typ účtu</w:t>
            </w:r>
          </w:p>
        </w:tc>
      </w:tr>
      <w:tr>
        <w:tc>
          <w:tcPr>
            <w:tcW w:type="pct" w:w="12%"/>
            <w:tcMar>
              <w:top w:type="dxa" w:w="80"/>
              <w:left w:type="dxa" w:w="120"/>
              <w:bottom w:type="dxa" w:w="80"/>
              <w:right w:type="dxa" w:w="120"/>
            </w:tcMar>
          </w:tcPr>
          <w:p>
            <w:r>
              <w:rPr>
                <w:b w:val="false"/>
                <w:bCs w:val="false"/>
                <w:color w:val="000000"/>
                <w:sz w:val="19"/>
                <w:szCs w:val="19"/>
              </w:rPr>
              <w:t xml:space="preserve">0</w:t>
            </w:r>
          </w:p>
        </w:tc>
        <w:tc>
          <w:tcPr>
            <w:tcW w:type="pct" w:w="58%"/>
            <w:tcMar>
              <w:top w:type="dxa" w:w="80"/>
              <w:left w:type="dxa" w:w="120"/>
              <w:bottom w:type="dxa" w:w="80"/>
              <w:right w:type="dxa" w:w="120"/>
            </w:tcMar>
          </w:tcPr>
          <w:p>
            <w:r>
              <w:rPr>
                <w:b w:val="false"/>
                <w:bCs w:val="false"/>
                <w:color w:val="000000"/>
                <w:sz w:val="19"/>
                <w:szCs w:val="19"/>
              </w:rPr>
              <w:t xml:space="preserve">Dlouhodobý majetek</w:t>
            </w:r>
          </w:p>
        </w:tc>
        <w:tc>
          <w:tcPr>
            <w:tcW w:type="pct" w:w="30%"/>
            <w:tcMar>
              <w:top w:type="dxa" w:w="80"/>
              <w:left w:type="dxa" w:w="120"/>
              <w:bottom w:type="dxa" w:w="80"/>
              <w:right w:type="dxa" w:w="120"/>
            </w:tcMar>
          </w:tcPr>
          <w:p>
            <w:r>
              <w:rPr>
                <w:b w:val="false"/>
                <w:bCs w:val="false"/>
                <w:color w:val="000000"/>
                <w:sz w:val="19"/>
                <w:szCs w:val="19"/>
              </w:rPr>
              <w:t xml:space="preserve">rozvahový</w:t>
            </w:r>
          </w:p>
        </w:tc>
      </w:tr>
      <w:tr>
        <w:tc>
          <w:tcPr>
            <w:tcW w:type="pct" w:w="12%"/>
            <w:tcMar>
              <w:top w:type="dxa" w:w="80"/>
              <w:left w:type="dxa" w:w="120"/>
              <w:bottom w:type="dxa" w:w="80"/>
              <w:right w:type="dxa" w:w="120"/>
            </w:tcMar>
          </w:tcPr>
          <w:p>
            <w:r>
              <w:rPr>
                <w:b w:val="false"/>
                <w:bCs w:val="false"/>
                <w:color w:val="000000"/>
                <w:sz w:val="19"/>
                <w:szCs w:val="19"/>
              </w:rPr>
              <w:t xml:space="preserve">1</w:t>
            </w:r>
          </w:p>
        </w:tc>
        <w:tc>
          <w:tcPr>
            <w:tcW w:type="pct" w:w="58%"/>
            <w:tcMar>
              <w:top w:type="dxa" w:w="80"/>
              <w:left w:type="dxa" w:w="120"/>
              <w:bottom w:type="dxa" w:w="80"/>
              <w:right w:type="dxa" w:w="120"/>
            </w:tcMar>
          </w:tcPr>
          <w:p>
            <w:r>
              <w:rPr>
                <w:b w:val="false"/>
                <w:bCs w:val="false"/>
                <w:color w:val="000000"/>
                <w:sz w:val="19"/>
                <w:szCs w:val="19"/>
              </w:rPr>
              <w:t xml:space="preserve">Zásoby</w:t>
            </w:r>
          </w:p>
        </w:tc>
        <w:tc>
          <w:tcPr>
            <w:tcW w:type="pct" w:w="30%"/>
            <w:tcMar>
              <w:top w:type="dxa" w:w="80"/>
              <w:left w:type="dxa" w:w="120"/>
              <w:bottom w:type="dxa" w:w="80"/>
              <w:right w:type="dxa" w:w="120"/>
            </w:tcMar>
          </w:tcPr>
          <w:p>
            <w:r>
              <w:rPr>
                <w:b w:val="false"/>
                <w:bCs w:val="false"/>
                <w:color w:val="000000"/>
                <w:sz w:val="19"/>
                <w:szCs w:val="19"/>
              </w:rPr>
              <w:t xml:space="preserve">rozvahový</w:t>
            </w:r>
          </w:p>
        </w:tc>
      </w:tr>
      <w:tr>
        <w:tc>
          <w:tcPr>
            <w:tcW w:type="pct" w:w="12%"/>
            <w:tcMar>
              <w:top w:type="dxa" w:w="80"/>
              <w:left w:type="dxa" w:w="120"/>
              <w:bottom w:type="dxa" w:w="80"/>
              <w:right w:type="dxa" w:w="120"/>
            </w:tcMar>
          </w:tcPr>
          <w:p>
            <w:r>
              <w:rPr>
                <w:b w:val="false"/>
                <w:bCs w:val="false"/>
                <w:color w:val="000000"/>
                <w:sz w:val="19"/>
                <w:szCs w:val="19"/>
              </w:rPr>
              <w:t xml:space="preserve">2</w:t>
            </w:r>
          </w:p>
        </w:tc>
        <w:tc>
          <w:tcPr>
            <w:tcW w:type="pct" w:w="58%"/>
            <w:tcMar>
              <w:top w:type="dxa" w:w="80"/>
              <w:left w:type="dxa" w:w="120"/>
              <w:bottom w:type="dxa" w:w="80"/>
              <w:right w:type="dxa" w:w="120"/>
            </w:tcMar>
          </w:tcPr>
          <w:p>
            <w:r>
              <w:rPr>
                <w:b w:val="false"/>
                <w:bCs w:val="false"/>
                <w:color w:val="000000"/>
                <w:sz w:val="19"/>
                <w:szCs w:val="19"/>
              </w:rPr>
              <w:t xml:space="preserve">Krátkodobý finanční majetek a peněžní prostředky</w:t>
            </w:r>
          </w:p>
        </w:tc>
        <w:tc>
          <w:tcPr>
            <w:tcW w:type="pct" w:w="30%"/>
            <w:tcMar>
              <w:top w:type="dxa" w:w="80"/>
              <w:left w:type="dxa" w:w="120"/>
              <w:bottom w:type="dxa" w:w="80"/>
              <w:right w:type="dxa" w:w="120"/>
            </w:tcMar>
          </w:tcPr>
          <w:p>
            <w:r>
              <w:rPr>
                <w:b w:val="false"/>
                <w:bCs w:val="false"/>
                <w:color w:val="000000"/>
                <w:sz w:val="19"/>
                <w:szCs w:val="19"/>
              </w:rPr>
              <w:t xml:space="preserve">rozvahový</w:t>
            </w:r>
          </w:p>
        </w:tc>
      </w:tr>
      <w:tr>
        <w:tc>
          <w:tcPr>
            <w:tcW w:type="pct" w:w="12%"/>
            <w:tcMar>
              <w:top w:type="dxa" w:w="80"/>
              <w:left w:type="dxa" w:w="120"/>
              <w:bottom w:type="dxa" w:w="80"/>
              <w:right w:type="dxa" w:w="120"/>
            </w:tcMar>
          </w:tcPr>
          <w:p>
            <w:r>
              <w:rPr>
                <w:b w:val="false"/>
                <w:bCs w:val="false"/>
                <w:color w:val="000000"/>
                <w:sz w:val="19"/>
                <w:szCs w:val="19"/>
              </w:rPr>
              <w:t xml:space="preserve">3</w:t>
            </w:r>
          </w:p>
        </w:tc>
        <w:tc>
          <w:tcPr>
            <w:tcW w:type="pct" w:w="58%"/>
            <w:tcMar>
              <w:top w:type="dxa" w:w="80"/>
              <w:left w:type="dxa" w:w="120"/>
              <w:bottom w:type="dxa" w:w="80"/>
              <w:right w:type="dxa" w:w="120"/>
            </w:tcMar>
          </w:tcPr>
          <w:p>
            <w:r>
              <w:rPr>
                <w:b w:val="false"/>
                <w:bCs w:val="false"/>
                <w:color w:val="000000"/>
                <w:sz w:val="19"/>
                <w:szCs w:val="19"/>
              </w:rPr>
              <w:t xml:space="preserve">Zúčtovací vztahy (pohledávky, závazky, daně)</w:t>
            </w:r>
          </w:p>
        </w:tc>
        <w:tc>
          <w:tcPr>
            <w:tcW w:type="pct" w:w="30%"/>
            <w:tcMar>
              <w:top w:type="dxa" w:w="80"/>
              <w:left w:type="dxa" w:w="120"/>
              <w:bottom w:type="dxa" w:w="80"/>
              <w:right w:type="dxa" w:w="120"/>
            </w:tcMar>
          </w:tcPr>
          <w:p>
            <w:r>
              <w:rPr>
                <w:b w:val="false"/>
                <w:bCs w:val="false"/>
                <w:color w:val="000000"/>
                <w:sz w:val="19"/>
                <w:szCs w:val="19"/>
              </w:rPr>
              <w:t xml:space="preserve">rozvahový</w:t>
            </w:r>
          </w:p>
        </w:tc>
      </w:tr>
      <w:tr>
        <w:tc>
          <w:tcPr>
            <w:tcW w:type="pct" w:w="12%"/>
            <w:tcMar>
              <w:top w:type="dxa" w:w="80"/>
              <w:left w:type="dxa" w:w="120"/>
              <w:bottom w:type="dxa" w:w="80"/>
              <w:right w:type="dxa" w:w="120"/>
            </w:tcMar>
          </w:tcPr>
          <w:p>
            <w:r>
              <w:rPr>
                <w:b w:val="false"/>
                <w:bCs w:val="false"/>
                <w:color w:val="000000"/>
                <w:sz w:val="19"/>
                <w:szCs w:val="19"/>
              </w:rPr>
              <w:t xml:space="preserve">4</w:t>
            </w:r>
          </w:p>
        </w:tc>
        <w:tc>
          <w:tcPr>
            <w:tcW w:type="pct" w:w="58%"/>
            <w:tcMar>
              <w:top w:type="dxa" w:w="80"/>
              <w:left w:type="dxa" w:w="120"/>
              <w:bottom w:type="dxa" w:w="80"/>
              <w:right w:type="dxa" w:w="120"/>
            </w:tcMar>
          </w:tcPr>
          <w:p>
            <w:r>
              <w:rPr>
                <w:b w:val="false"/>
                <w:bCs w:val="false"/>
                <w:color w:val="000000"/>
                <w:sz w:val="19"/>
                <w:szCs w:val="19"/>
              </w:rPr>
              <w:t xml:space="preserve">Kapitálové účty a dlouhodobé závazky</w:t>
            </w:r>
          </w:p>
        </w:tc>
        <w:tc>
          <w:tcPr>
            <w:tcW w:type="pct" w:w="30%"/>
            <w:tcMar>
              <w:top w:type="dxa" w:w="80"/>
              <w:left w:type="dxa" w:w="120"/>
              <w:bottom w:type="dxa" w:w="80"/>
              <w:right w:type="dxa" w:w="120"/>
            </w:tcMar>
          </w:tcPr>
          <w:p>
            <w:r>
              <w:rPr>
                <w:b w:val="false"/>
                <w:bCs w:val="false"/>
                <w:color w:val="000000"/>
                <w:sz w:val="19"/>
                <w:szCs w:val="19"/>
              </w:rPr>
              <w:t xml:space="preserve">rozvahový</w:t>
            </w:r>
          </w:p>
        </w:tc>
      </w:tr>
      <w:tr>
        <w:tc>
          <w:tcPr>
            <w:tcW w:type="pct" w:w="12%"/>
            <w:tcMar>
              <w:top w:type="dxa" w:w="80"/>
              <w:left w:type="dxa" w:w="120"/>
              <w:bottom w:type="dxa" w:w="80"/>
              <w:right w:type="dxa" w:w="120"/>
            </w:tcMar>
          </w:tcPr>
          <w:p>
            <w:r>
              <w:rPr>
                <w:b w:val="false"/>
                <w:bCs w:val="false"/>
                <w:color w:val="000000"/>
                <w:sz w:val="19"/>
                <w:szCs w:val="19"/>
              </w:rPr>
              <w:t xml:space="preserve">5</w:t>
            </w:r>
          </w:p>
        </w:tc>
        <w:tc>
          <w:tcPr>
            <w:tcW w:type="pct" w:w="58%"/>
            <w:tcMar>
              <w:top w:type="dxa" w:w="80"/>
              <w:left w:type="dxa" w:w="120"/>
              <w:bottom w:type="dxa" w:w="80"/>
              <w:right w:type="dxa" w:w="120"/>
            </w:tcMar>
          </w:tcPr>
          <w:p>
            <w:r>
              <w:rPr>
                <w:b w:val="false"/>
                <w:bCs w:val="false"/>
                <w:color w:val="000000"/>
                <w:sz w:val="19"/>
                <w:szCs w:val="19"/>
              </w:rPr>
              <w:t xml:space="preserve">Náklady</w:t>
            </w:r>
          </w:p>
        </w:tc>
        <w:tc>
          <w:tcPr>
            <w:tcW w:type="pct" w:w="30%"/>
            <w:tcMar>
              <w:top w:type="dxa" w:w="80"/>
              <w:left w:type="dxa" w:w="120"/>
              <w:bottom w:type="dxa" w:w="80"/>
              <w:right w:type="dxa" w:w="120"/>
            </w:tcMar>
          </w:tcPr>
          <w:p>
            <w:r>
              <w:rPr>
                <w:b w:val="false"/>
                <w:bCs w:val="false"/>
                <w:color w:val="000000"/>
                <w:sz w:val="19"/>
                <w:szCs w:val="19"/>
              </w:rPr>
              <w:t xml:space="preserve">výsledkový</w:t>
            </w:r>
          </w:p>
        </w:tc>
      </w:tr>
      <w:tr>
        <w:tc>
          <w:tcPr>
            <w:tcW w:type="pct" w:w="12%"/>
            <w:tcMar>
              <w:top w:type="dxa" w:w="80"/>
              <w:left w:type="dxa" w:w="120"/>
              <w:bottom w:type="dxa" w:w="80"/>
              <w:right w:type="dxa" w:w="120"/>
            </w:tcMar>
          </w:tcPr>
          <w:p>
            <w:r>
              <w:rPr>
                <w:b w:val="false"/>
                <w:bCs w:val="false"/>
                <w:color w:val="000000"/>
                <w:sz w:val="19"/>
                <w:szCs w:val="19"/>
              </w:rPr>
              <w:t xml:space="preserve">6</w:t>
            </w:r>
          </w:p>
        </w:tc>
        <w:tc>
          <w:tcPr>
            <w:tcW w:type="pct" w:w="58%"/>
            <w:tcMar>
              <w:top w:type="dxa" w:w="80"/>
              <w:left w:type="dxa" w:w="120"/>
              <w:bottom w:type="dxa" w:w="80"/>
              <w:right w:type="dxa" w:w="120"/>
            </w:tcMar>
          </w:tcPr>
          <w:p>
            <w:r>
              <w:rPr>
                <w:b w:val="false"/>
                <w:bCs w:val="false"/>
                <w:color w:val="000000"/>
                <w:sz w:val="19"/>
                <w:szCs w:val="19"/>
              </w:rPr>
              <w:t xml:space="preserve">Výnosy</w:t>
            </w:r>
          </w:p>
        </w:tc>
        <w:tc>
          <w:tcPr>
            <w:tcW w:type="pct" w:w="30%"/>
            <w:tcMar>
              <w:top w:type="dxa" w:w="80"/>
              <w:left w:type="dxa" w:w="120"/>
              <w:bottom w:type="dxa" w:w="80"/>
              <w:right w:type="dxa" w:w="120"/>
            </w:tcMar>
          </w:tcPr>
          <w:p>
            <w:r>
              <w:rPr>
                <w:b w:val="false"/>
                <w:bCs w:val="false"/>
                <w:color w:val="000000"/>
                <w:sz w:val="19"/>
                <w:szCs w:val="19"/>
              </w:rPr>
              <w:t xml:space="preserve">výsledkový</w:t>
            </w:r>
          </w:p>
        </w:tc>
      </w:tr>
      <w:tr>
        <w:tc>
          <w:tcPr>
            <w:tcW w:type="pct" w:w="12%"/>
            <w:tcMar>
              <w:top w:type="dxa" w:w="80"/>
              <w:left w:type="dxa" w:w="120"/>
              <w:bottom w:type="dxa" w:w="80"/>
              <w:right w:type="dxa" w:w="120"/>
            </w:tcMar>
          </w:tcPr>
          <w:p>
            <w:r>
              <w:rPr>
                <w:b w:val="false"/>
                <w:bCs w:val="false"/>
                <w:color w:val="000000"/>
                <w:sz w:val="19"/>
                <w:szCs w:val="19"/>
              </w:rPr>
              <w:t xml:space="preserve">7</w:t>
            </w:r>
          </w:p>
        </w:tc>
        <w:tc>
          <w:tcPr>
            <w:tcW w:type="pct" w:w="58%"/>
            <w:tcMar>
              <w:top w:type="dxa" w:w="80"/>
              <w:left w:type="dxa" w:w="120"/>
              <w:bottom w:type="dxa" w:w="80"/>
              <w:right w:type="dxa" w:w="120"/>
            </w:tcMar>
          </w:tcPr>
          <w:p>
            <w:r>
              <w:rPr>
                <w:b w:val="false"/>
                <w:bCs w:val="false"/>
                <w:color w:val="000000"/>
                <w:sz w:val="19"/>
                <w:szCs w:val="19"/>
              </w:rPr>
              <w:t xml:space="preserve">Závěrkové a podrozvahové účty</w:t>
            </w:r>
          </w:p>
        </w:tc>
        <w:tc>
          <w:tcPr>
            <w:tcW w:type="pct" w:w="30%"/>
            <w:tcMar>
              <w:top w:type="dxa" w:w="80"/>
              <w:left w:type="dxa" w:w="120"/>
              <w:bottom w:type="dxa" w:w="80"/>
              <w:right w:type="dxa" w:w="120"/>
            </w:tcMar>
          </w:tcPr>
          <w:p>
            <w:r>
              <w:rPr>
                <w:b w:val="false"/>
                <w:bCs w:val="false"/>
                <w:color w:val="000000"/>
                <w:sz w:val="19"/>
                <w:szCs w:val="19"/>
              </w:rPr>
              <w:t xml:space="preserve">závěrkový</w:t>
            </w:r>
          </w:p>
        </w:tc>
      </w:tr>
      <w:tr>
        <w:tc>
          <w:tcPr>
            <w:tcW w:type="pct" w:w="12%"/>
            <w:tcMar>
              <w:top w:type="dxa" w:w="80"/>
              <w:left w:type="dxa" w:w="120"/>
              <w:bottom w:type="dxa" w:w="80"/>
              <w:right w:type="dxa" w:w="120"/>
            </w:tcMar>
          </w:tcPr>
          <w:p>
            <w:r>
              <w:rPr>
                <w:b w:val="false"/>
                <w:bCs w:val="false"/>
                <w:color w:val="000000"/>
                <w:sz w:val="19"/>
                <w:szCs w:val="19"/>
              </w:rPr>
              <w:t xml:space="preserve">8, 9</w:t>
            </w:r>
          </w:p>
        </w:tc>
        <w:tc>
          <w:tcPr>
            <w:tcW w:type="pct" w:w="58%"/>
            <w:tcMar>
              <w:top w:type="dxa" w:w="80"/>
              <w:left w:type="dxa" w:w="120"/>
              <w:bottom w:type="dxa" w:w="80"/>
              <w:right w:type="dxa" w:w="120"/>
            </w:tcMar>
          </w:tcPr>
          <w:p>
            <w:r>
              <w:rPr>
                <w:b w:val="false"/>
                <w:bCs w:val="false"/>
                <w:color w:val="000000"/>
                <w:sz w:val="19"/>
                <w:szCs w:val="19"/>
              </w:rPr>
              <w:t xml:space="preserve">Vnitropodnikové (manažerské) účetnictví — volitelné</w:t>
            </w:r>
          </w:p>
        </w:tc>
        <w:tc>
          <w:tcPr>
            <w:tcW w:type="pct" w:w="30%"/>
            <w:tcMar>
              <w:top w:type="dxa" w:w="80"/>
              <w:left w:type="dxa" w:w="120"/>
              <w:bottom w:type="dxa" w:w="80"/>
              <w:right w:type="dxa" w:w="120"/>
            </w:tcMar>
          </w:tcPr>
          <w:p>
            <w:r>
              <w:rPr>
                <w:b w:val="false"/>
                <w:bCs w:val="false"/>
                <w:color w:val="000000"/>
                <w:sz w:val="19"/>
                <w:szCs w:val="19"/>
              </w:rPr>
              <w:t xml:space="preserve">interní</w:t>
            </w:r>
          </w:p>
        </w:tc>
      </w:tr>
    </w:tbl>
    <w:p>
      <w:pPr>
        <w:spacing w:after="140" w:line="300"/>
      </w:pPr>
      <w:r>
        <w:rPr>
          <w:b/>
          <w:bCs/>
          <w:sz w:val="21"/>
          <w:szCs w:val="21"/>
        </w:rPr>
        <w:t xml:space="preserve">Jako mikro účetní jednotka </w:t>
      </w:r>
      <w:r>
        <w:rPr>
          <w:sz w:val="21"/>
          <w:szCs w:val="21"/>
        </w:rPr>
        <w:t xml:space="preserve">může Globaal Elevate sestavovat rozvahu i výsledovku ve zjednodušeném rozsahu (pouze položky označené velkými písmeny a římskými číslicemi) — systém proto potřebuje umět generovat výkazy ve zjednodušené struktuře podle přílohy č. 1 a 2 vyhlášky 500/2002 Sb.</w:t>
      </w:r>
    </w:p>
    <w:p>
      <w:pPr>
        <w:pStyle w:val="Heading2"/>
        <w:spacing w:after="120" w:before="280"/>
      </w:pPr>
      <w:r>
        <w:rPr>
          <w:b/>
          <w:bCs/>
          <w:color w:val="0b3d5c"/>
          <w:sz w:val="24"/>
          <w:szCs w:val="24"/>
        </w:rPr>
        <w:t xml:space="preserve">2.10 Daňová evidence (§ 7b ZDP) — alternativní režim pro OSVČ</w:t>
      </w:r>
    </w:p>
    <w:p>
      <w:pPr>
        <w:spacing w:after="140" w:line="300"/>
      </w:pPr>
      <w:r>
        <w:rPr>
          <w:sz w:val="21"/>
          <w:szCs w:val="21"/>
        </w:rPr>
        <w:t xml:space="preserve">Pro případ budoucího využití systému i pro OSVČ (mimo s.r.o.) zákon o daních z příjmů definuje jednodušší režim, který sleduje cash-flow (příjmy/výdaje v okamžiku platby), nikoli vznik pohledávek a závazků jako podvojné účetnictví.</w:t>
      </w:r>
    </w:p>
    <w:p>
      <w:pPr>
        <w:pStyle w:val="ListParagraph"/>
        <w:numPr>
          <w:ilvl w:val="0"/>
          <w:numId w:val="2"/>
        </w:numPr>
        <w:spacing w:after="80" w:line="290"/>
      </w:pPr>
      <w:r>
        <w:rPr>
          <w:sz w:val="21"/>
          <w:szCs w:val="21"/>
        </w:rPr>
        <w:t xml:space="preserve">Evidence příjmů a výdajů (peněžní deník) — členěná tak, aby šel spočítat základ daně</w:t>
      </w:r>
    </w:p>
    <w:p>
      <w:pPr>
        <w:pStyle w:val="ListParagraph"/>
        <w:numPr>
          <w:ilvl w:val="0"/>
          <w:numId w:val="2"/>
        </w:numPr>
        <w:spacing w:after="80" w:line="290"/>
      </w:pPr>
      <w:r>
        <w:rPr>
          <w:sz w:val="21"/>
          <w:szCs w:val="21"/>
        </w:rPr>
        <w:t xml:space="preserve">Evidence majetku a závazků (karty dlouhodobého majetku, kniha pohledávek/závazků)</w:t>
      </w:r>
    </w:p>
    <w:p>
      <w:pPr>
        <w:pStyle w:val="ListParagraph"/>
        <w:numPr>
          <w:ilvl w:val="0"/>
          <w:numId w:val="2"/>
        </w:numPr>
        <w:spacing w:after="80" w:line="290"/>
      </w:pPr>
      <w:r>
        <w:rPr>
          <w:sz w:val="21"/>
          <w:szCs w:val="21"/>
        </w:rPr>
        <w:t xml:space="preserve">Povinná roční inventarizace zásob, majetku, pohledávek a závazků</w:t>
      </w:r>
    </w:p>
    <w:p>
      <w:pPr>
        <w:pBdr>
          <w:left w:val="single" w:color="0b3d5c" w:sz="24" w:space="8"/>
        </w:pBdr>
        <w:shd w:fill="f2f2f2" w:val="clear"/>
        <w:spacing w:after="200" w:before="100" w:line="280"/>
        <w:ind w:left="120"/>
      </w:pPr>
      <w:r>
        <w:rPr>
          <w:i/>
          <w:iCs/>
          <w:color w:val="555555"/>
          <w:sz w:val="20"/>
          <w:szCs w:val="20"/>
        </w:rPr>
        <w:t xml:space="preserve">Zákon nepředepisuje konkrétní formu daňové evidence — je tedy legislativně jednodušší modul než podvojné účetnictví. V systému může sdílet číselníky (kontakty, doklady) s podvojným účetnictvím, ale používá jiný výstupní model (peněžní deník místo účetního deníku/hlavní knihy).</w:t>
      </w:r>
    </w:p>
    <w:p>
      <w:pPr>
        <w:pStyle w:val="Heading2"/>
        <w:spacing w:after="120" w:before="280"/>
      </w:pPr>
      <w:r>
        <w:rPr>
          <w:b/>
          <w:bCs/>
          <w:color w:val="0b3d5c"/>
          <w:sz w:val="24"/>
          <w:szCs w:val="24"/>
        </w:rPr>
        <w:t xml:space="preserve">2.11 GDPR a bezpečnost dat</w:t>
      </w:r>
    </w:p>
    <w:p>
      <w:pPr>
        <w:spacing w:after="140" w:line="300"/>
      </w:pPr>
      <w:r>
        <w:rPr>
          <w:sz w:val="21"/>
          <w:szCs w:val="21"/>
        </w:rPr>
        <w:t xml:space="preserve">Systém bude uchovávat osobní údaje (jména, adresy, případně bankovní spojení a IČO/DIČ) dodavatelů, odběratelů a v hotovostních dokladech i vystupujících umělců. Musí být zajištěno:</w:t>
      </w:r>
    </w:p>
    <w:p>
      <w:pPr>
        <w:pStyle w:val="ListParagraph"/>
        <w:numPr>
          <w:ilvl w:val="0"/>
          <w:numId w:val="2"/>
        </w:numPr>
        <w:spacing w:after="80" w:line="290"/>
      </w:pPr>
      <w:r>
        <w:rPr>
          <w:sz w:val="21"/>
          <w:szCs w:val="21"/>
        </w:rPr>
        <w:t xml:space="preserve">Právní titul pro zpracování (plnění smlouvy / zákonná povinnost vedení účetnictví)</w:t>
      </w:r>
    </w:p>
    <w:p>
      <w:pPr>
        <w:pStyle w:val="ListParagraph"/>
        <w:numPr>
          <w:ilvl w:val="0"/>
          <w:numId w:val="2"/>
        </w:numPr>
        <w:spacing w:after="80" w:line="290"/>
      </w:pPr>
      <w:r>
        <w:rPr>
          <w:sz w:val="21"/>
          <w:szCs w:val="21"/>
        </w:rPr>
        <w:t xml:space="preserve">Technické zabezpečení proti neoprávněnému přístupu, ztrátě nebo zneužití (§ 33 odst. 9 ZoÚ ukládá totéž i pro účetní záznamy obecně)</w:t>
      </w:r>
    </w:p>
    <w:p>
      <w:pPr>
        <w:pStyle w:val="ListParagraph"/>
        <w:numPr>
          <w:ilvl w:val="0"/>
          <w:numId w:val="2"/>
        </w:numPr>
        <w:spacing w:after="80" w:line="290"/>
      </w:pPr>
      <w:r>
        <w:rPr>
          <w:sz w:val="21"/>
          <w:szCs w:val="21"/>
        </w:rPr>
        <w:t xml:space="preserve">Omezení retence osobních údajů na dobu nezbytnou — zde ji ale prakticky určuje archivační lhůta ZoÚ (5–10 let), která má přednost před obecnou minimalizací GDPR</w:t>
      </w:r>
    </w:p>
    <w:p>
      <w:pPr>
        <w:pStyle w:val="Heading1"/>
        <w:spacing w:after="180" w:before="420"/>
      </w:pPr>
      <w:r>
        <w:rPr>
          <w:b/>
          <w:bCs/>
          <w:color w:val="0b3d5c"/>
          <w:sz w:val="30"/>
          <w:szCs w:val="30"/>
        </w:rPr>
        <w:t xml:space="preserve">3. Funkční specifikace systému</w:t>
      </w:r>
    </w:p>
    <w:p>
      <w:pPr>
        <w:spacing w:after="140" w:line="300"/>
      </w:pPr>
      <w:r>
        <w:rPr>
          <w:sz w:val="21"/>
          <w:szCs w:val="21"/>
        </w:rPr>
        <w:t xml:space="preserve">Na základě právního researche z kapitoly 2 tato kapitola definuje, co systém musí umět, aby obstál jako plnohodnotná náhrada certifikovaného účetního softwaru.</w:t>
      </w:r>
    </w:p>
    <w:p>
      <w:pPr>
        <w:pStyle w:val="Heading2"/>
        <w:spacing w:after="120" w:before="280"/>
      </w:pPr>
      <w:r>
        <w:rPr>
          <w:b/>
          <w:bCs/>
          <w:color w:val="0b3d5c"/>
          <w:sz w:val="24"/>
          <w:szCs w:val="24"/>
        </w:rPr>
        <w:t xml:space="preserve">3.1 Podporované účetní režimy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34%"/>
            <w:shd w:fill="0b3d5c" w:val="clear"/>
            <w:tcMar>
              <w:top w:type="dxa" w:w="80"/>
              <w:left w:type="dxa" w:w="120"/>
              <w:bottom w:type="dxa" w:w="80"/>
              <w:right w:type="dxa" w:w="120"/>
            </w:tcMar>
          </w:tcPr>
          <w:p>
            <w:r>
              <w:rPr>
                <w:b/>
                <w:bCs/>
                <w:color w:val="FFFFFF"/>
                <w:sz w:val="19"/>
                <w:szCs w:val="19"/>
              </w:rPr>
              <w:t xml:space="preserve">Režim</w:t>
            </w:r>
          </w:p>
        </w:tc>
        <w:tc>
          <w:tcPr>
            <w:tcW w:type="pct" w:w="32%"/>
            <w:shd w:fill="0b3d5c" w:val="clear"/>
            <w:tcMar>
              <w:top w:type="dxa" w:w="80"/>
              <w:left w:type="dxa" w:w="120"/>
              <w:bottom w:type="dxa" w:w="80"/>
              <w:right w:type="dxa" w:w="120"/>
            </w:tcMar>
          </w:tcPr>
          <w:p>
            <w:r>
              <w:rPr>
                <w:b/>
                <w:bCs/>
                <w:color w:val="FFFFFF"/>
                <w:sz w:val="19"/>
                <w:szCs w:val="19"/>
              </w:rPr>
              <w:t xml:space="preserve">Pro koho</w:t>
            </w:r>
          </w:p>
        </w:tc>
        <w:tc>
          <w:tcPr>
            <w:tcW w:type="pct" w:w="34%"/>
            <w:shd w:fill="0b3d5c" w:val="clear"/>
            <w:tcMar>
              <w:top w:type="dxa" w:w="80"/>
              <w:left w:type="dxa" w:w="120"/>
              <w:bottom w:type="dxa" w:w="80"/>
              <w:right w:type="dxa" w:w="120"/>
            </w:tcMar>
          </w:tcPr>
          <w:p>
            <w:r>
              <w:rPr>
                <w:b/>
                <w:bCs/>
                <w:color w:val="FFFFFF"/>
                <w:sz w:val="19"/>
                <w:szCs w:val="19"/>
              </w:rPr>
              <w:t xml:space="preserve">Klíčové výstupy</w:t>
            </w:r>
          </w:p>
        </w:tc>
      </w:tr>
      <w:tr>
        <w:tc>
          <w:tcPr>
            <w:tcW w:type="pct" w:w="34%"/>
            <w:tcMar>
              <w:top w:type="dxa" w:w="80"/>
              <w:left w:type="dxa" w:w="120"/>
              <w:bottom w:type="dxa" w:w="80"/>
              <w:right w:type="dxa" w:w="120"/>
            </w:tcMar>
          </w:tcPr>
          <w:p>
            <w:r>
              <w:rPr>
                <w:b w:val="false"/>
                <w:bCs w:val="false"/>
                <w:color w:val="000000"/>
                <w:sz w:val="19"/>
                <w:szCs w:val="19"/>
              </w:rPr>
              <w:t xml:space="preserve">Podvojné účetnictví (plný i zjednodušený rozsah)</w:t>
            </w:r>
          </w:p>
        </w:tc>
        <w:tc>
          <w:tcPr>
            <w:tcW w:type="pct" w:w="32%"/>
            <w:tcMar>
              <w:top w:type="dxa" w:w="80"/>
              <w:left w:type="dxa" w:w="120"/>
              <w:bottom w:type="dxa" w:w="80"/>
              <w:right w:type="dxa" w:w="120"/>
            </w:tcMar>
          </w:tcPr>
          <w:p>
            <w:r>
              <w:rPr>
                <w:b w:val="false"/>
                <w:bCs w:val="false"/>
                <w:color w:val="000000"/>
                <w:sz w:val="19"/>
                <w:szCs w:val="19"/>
              </w:rPr>
              <w:t xml:space="preserve">Globaal Elevate Production s.r.o. a budoucí s.r.o. subjekty</w:t>
            </w:r>
          </w:p>
        </w:tc>
        <w:tc>
          <w:tcPr>
            <w:tcW w:type="pct" w:w="34%"/>
            <w:tcMar>
              <w:top w:type="dxa" w:w="80"/>
              <w:left w:type="dxa" w:w="120"/>
              <w:bottom w:type="dxa" w:w="80"/>
              <w:right w:type="dxa" w:w="120"/>
            </w:tcMar>
          </w:tcPr>
          <w:p>
            <w:r>
              <w:rPr>
                <w:b w:val="false"/>
                <w:bCs w:val="false"/>
                <w:color w:val="000000"/>
                <w:sz w:val="19"/>
                <w:szCs w:val="19"/>
              </w:rPr>
              <w:t xml:space="preserve">Účetní deník, hlavní kniha, rozvaha, výsledovka, příloha</w:t>
            </w:r>
          </w:p>
        </w:tc>
      </w:tr>
      <w:tr>
        <w:tc>
          <w:tcPr>
            <w:tcW w:type="pct" w:w="34%"/>
            <w:tcMar>
              <w:top w:type="dxa" w:w="80"/>
              <w:left w:type="dxa" w:w="120"/>
              <w:bottom w:type="dxa" w:w="80"/>
              <w:right w:type="dxa" w:w="120"/>
            </w:tcMar>
          </w:tcPr>
          <w:p>
            <w:r>
              <w:rPr>
                <w:b w:val="false"/>
                <w:bCs w:val="false"/>
                <w:color w:val="000000"/>
                <w:sz w:val="19"/>
                <w:szCs w:val="19"/>
              </w:rPr>
              <w:t xml:space="preserve">Daňová evidence (§ 7b ZDP)</w:t>
            </w:r>
          </w:p>
        </w:tc>
        <w:tc>
          <w:tcPr>
            <w:tcW w:type="pct" w:w="32%"/>
            <w:tcMar>
              <w:top w:type="dxa" w:w="80"/>
              <w:left w:type="dxa" w:w="120"/>
              <w:bottom w:type="dxa" w:w="80"/>
              <w:right w:type="dxa" w:w="120"/>
            </w:tcMar>
          </w:tcPr>
          <w:p>
            <w:r>
              <w:rPr>
                <w:b w:val="false"/>
                <w:bCs w:val="false"/>
                <w:color w:val="000000"/>
                <w:sz w:val="19"/>
                <w:szCs w:val="19"/>
              </w:rPr>
              <w:t xml:space="preserve">Případné budoucí OSVČ subjekty (např. Luigi jako fyzická osoba)</w:t>
            </w:r>
          </w:p>
        </w:tc>
        <w:tc>
          <w:tcPr>
            <w:tcW w:type="pct" w:w="34%"/>
            <w:tcMar>
              <w:top w:type="dxa" w:w="80"/>
              <w:left w:type="dxa" w:w="120"/>
              <w:bottom w:type="dxa" w:w="80"/>
              <w:right w:type="dxa" w:w="120"/>
            </w:tcMar>
          </w:tcPr>
          <w:p>
            <w:r>
              <w:rPr>
                <w:b w:val="false"/>
                <w:bCs w:val="false"/>
                <w:color w:val="000000"/>
                <w:sz w:val="19"/>
                <w:szCs w:val="19"/>
              </w:rPr>
              <w:t xml:space="preserve">Peněžní deník, evidence majetku, evidence pohledávek/závazků</w:t>
            </w:r>
          </w:p>
        </w:tc>
      </w:tr>
    </w:tbl>
    <w:p>
      <w:pPr>
        <w:pBdr>
          <w:left w:val="single" w:color="0b3d5c" w:sz="24" w:space="8"/>
        </w:pBdr>
        <w:shd w:fill="f2f2f2" w:val="clear"/>
        <w:spacing w:after="200" w:before="100" w:line="280"/>
        <w:ind w:left="120"/>
      </w:pPr>
      <w:r>
        <w:rPr>
          <w:i/>
          <w:iCs/>
          <w:color w:val="555555"/>
          <w:sz w:val="20"/>
          <w:szCs w:val="20"/>
        </w:rPr>
        <w:t xml:space="preserve">Oba režimy sdílí stejné jádro dokladů a číselníků (kontakty, sklad drobného majetku), ale mají oddělenou účetní/výkaznickou logiku — přepínání je na úrovni účetní jednotky, ne globálně.</w:t>
      </w:r>
    </w:p>
    <w:p>
      <w:pPr>
        <w:pStyle w:val="Heading2"/>
        <w:spacing w:after="120" w:before="280"/>
      </w:pPr>
      <w:r>
        <w:rPr>
          <w:b/>
          <w:bCs/>
          <w:color w:val="0b3d5c"/>
          <w:sz w:val="24"/>
          <w:szCs w:val="24"/>
        </w:rPr>
        <w:t xml:space="preserve">3.2 Připravenost na DPH (bez aktuální registrace)</w:t>
      </w:r>
    </w:p>
    <w:p>
      <w:pPr>
        <w:pStyle w:val="ListParagraph"/>
        <w:numPr>
          <w:ilvl w:val="0"/>
          <w:numId w:val="2"/>
        </w:numPr>
        <w:spacing w:after="80" w:line="290"/>
      </w:pPr>
      <w:r>
        <w:rPr>
          <w:sz w:val="21"/>
          <w:szCs w:val="21"/>
        </w:rPr>
        <w:t xml:space="preserve">Každý doklad má od začátku pole: sazba DPH, základ daně, výše daně, DUZP — vyplňují se, i když firma není plátce (zobrazují se jen interně, negenerují výstupy)</w:t>
      </w:r>
    </w:p>
    <w:p>
      <w:pPr>
        <w:pStyle w:val="ListParagraph"/>
        <w:numPr>
          <w:ilvl w:val="0"/>
          <w:numId w:val="2"/>
        </w:numPr>
        <w:spacing w:after="80" w:line="290"/>
      </w:pPr>
      <w:r>
        <w:rPr>
          <w:sz w:val="21"/>
          <w:szCs w:val="21"/>
        </w:rPr>
        <w:t xml:space="preserve">Přepínač "Plátce DPH: ano/ne" na úrovni účetní jednotky s datem platnosti od — po aktivaci systém začne vynucovat DPH validace a zpřístupní modul evidence pro DPH a export pro kontrolní hlášení</w:t>
      </w:r>
    </w:p>
    <w:p>
      <w:pPr>
        <w:pStyle w:val="ListParagraph"/>
        <w:numPr>
          <w:ilvl w:val="0"/>
          <w:numId w:val="2"/>
        </w:numPr>
        <w:spacing w:after="80" w:line="290"/>
      </w:pPr>
      <w:r>
        <w:rPr>
          <w:sz w:val="21"/>
          <w:szCs w:val="21"/>
        </w:rPr>
        <w:t xml:space="preserve">Průběžný přehled obratu za posledních 12 měsíců s indikátorem blížícího se zákonného limitu (2 mil. Kč) — proaktivní upozornění, ne jen reaktivní evidence</w:t>
      </w:r>
    </w:p>
    <w:p>
      <w:pPr>
        <w:pStyle w:val="Heading2"/>
        <w:spacing w:after="120" w:before="280"/>
      </w:pPr>
      <w:r>
        <w:rPr>
          <w:b/>
          <w:bCs/>
          <w:color w:val="0b3d5c"/>
          <w:sz w:val="24"/>
          <w:szCs w:val="24"/>
        </w:rPr>
        <w:t xml:space="preserve">3.3 Hlavní funkční okruhy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8%"/>
            <w:shd w:fill="0b3d5c" w:val="clear"/>
            <w:tcMar>
              <w:top w:type="dxa" w:w="80"/>
              <w:left w:type="dxa" w:w="120"/>
              <w:bottom w:type="dxa" w:w="80"/>
              <w:right w:type="dxa" w:w="120"/>
            </w:tcMar>
          </w:tcPr>
          <w:p>
            <w:r>
              <w:rPr>
                <w:b/>
                <w:bCs/>
                <w:color w:val="FFFFFF"/>
                <w:sz w:val="19"/>
                <w:szCs w:val="19"/>
              </w:rPr>
              <w:t xml:space="preserve">#</w:t>
            </w:r>
          </w:p>
        </w:tc>
        <w:tc>
          <w:tcPr>
            <w:tcW w:type="pct" w:w="42%"/>
            <w:shd w:fill="0b3d5c" w:val="clear"/>
            <w:tcMar>
              <w:top w:type="dxa" w:w="80"/>
              <w:left w:type="dxa" w:w="120"/>
              <w:bottom w:type="dxa" w:w="80"/>
              <w:right w:type="dxa" w:w="120"/>
            </w:tcMar>
          </w:tcPr>
          <w:p>
            <w:r>
              <w:rPr>
                <w:b/>
                <w:bCs/>
                <w:color w:val="FFFFFF"/>
                <w:sz w:val="19"/>
                <w:szCs w:val="19"/>
              </w:rPr>
              <w:t xml:space="preserve">Modul</w:t>
            </w:r>
          </w:p>
        </w:tc>
        <w:tc>
          <w:tcPr>
            <w:tcW w:type="pct" w:w="50%"/>
            <w:shd w:fill="0b3d5c" w:val="clear"/>
            <w:tcMar>
              <w:top w:type="dxa" w:w="80"/>
              <w:left w:type="dxa" w:w="120"/>
              <w:bottom w:type="dxa" w:w="80"/>
              <w:right w:type="dxa" w:w="120"/>
            </w:tcMar>
          </w:tcPr>
          <w:p>
            <w:r>
              <w:rPr>
                <w:b/>
                <w:bCs/>
                <w:color w:val="FFFFFF"/>
                <w:sz w:val="19"/>
                <w:szCs w:val="19"/>
              </w:rPr>
              <w:t xml:space="preserve">Účel</w:t>
            </w:r>
          </w:p>
        </w:tc>
      </w:tr>
      <w:tr>
        <w:tc>
          <w:tcPr>
            <w:tcW w:type="pct" w:w="8%"/>
            <w:tcMar>
              <w:top w:type="dxa" w:w="80"/>
              <w:left w:type="dxa" w:w="120"/>
              <w:bottom w:type="dxa" w:w="80"/>
              <w:right w:type="dxa" w:w="120"/>
            </w:tcMar>
          </w:tcPr>
          <w:p>
            <w:r>
              <w:rPr>
                <w:b w:val="false"/>
                <w:bCs w:val="false"/>
                <w:color w:val="000000"/>
                <w:sz w:val="19"/>
                <w:szCs w:val="19"/>
              </w:rPr>
              <w:t xml:space="preserve">1</w:t>
            </w:r>
          </w:p>
        </w:tc>
        <w:tc>
          <w:tcPr>
            <w:tcW w:type="pct" w:w="42%"/>
            <w:tcMar>
              <w:top w:type="dxa" w:w="80"/>
              <w:left w:type="dxa" w:w="120"/>
              <w:bottom w:type="dxa" w:w="80"/>
              <w:right w:type="dxa" w:w="120"/>
            </w:tcMar>
          </w:tcPr>
          <w:p>
            <w:r>
              <w:rPr>
                <w:b w:val="false"/>
                <w:bCs w:val="false"/>
                <w:color w:val="000000"/>
                <w:sz w:val="19"/>
                <w:szCs w:val="19"/>
              </w:rPr>
              <w:t xml:space="preserve">Doklady (vydané, přijaté, pokladní, interní)</w:t>
            </w:r>
          </w:p>
        </w:tc>
        <w:tc>
          <w:tcPr>
            <w:tcW w:type="pct" w:w="50%"/>
            <w:tcMar>
              <w:top w:type="dxa" w:w="80"/>
              <w:left w:type="dxa" w:w="120"/>
              <w:bottom w:type="dxa" w:w="80"/>
              <w:right w:type="dxa" w:w="120"/>
            </w:tcMar>
          </w:tcPr>
          <w:p>
            <w:r>
              <w:rPr>
                <w:b w:val="false"/>
                <w:bCs w:val="false"/>
                <w:color w:val="000000"/>
                <w:sz w:val="19"/>
                <w:szCs w:val="19"/>
              </w:rPr>
              <w:t xml:space="preserve">Prvotní zachycení účetních případů</w:t>
            </w:r>
          </w:p>
        </w:tc>
      </w:tr>
      <w:tr>
        <w:tc>
          <w:tcPr>
            <w:tcW w:type="pct" w:w="8%"/>
            <w:tcMar>
              <w:top w:type="dxa" w:w="80"/>
              <w:left w:type="dxa" w:w="120"/>
              <w:bottom w:type="dxa" w:w="80"/>
              <w:right w:type="dxa" w:w="120"/>
            </w:tcMar>
          </w:tcPr>
          <w:p>
            <w:r>
              <w:rPr>
                <w:b w:val="false"/>
                <w:bCs w:val="false"/>
                <w:color w:val="000000"/>
                <w:sz w:val="19"/>
                <w:szCs w:val="19"/>
              </w:rPr>
              <w:t xml:space="preserve">2</w:t>
            </w:r>
          </w:p>
        </w:tc>
        <w:tc>
          <w:tcPr>
            <w:tcW w:type="pct" w:w="42%"/>
            <w:tcMar>
              <w:top w:type="dxa" w:w="80"/>
              <w:left w:type="dxa" w:w="120"/>
              <w:bottom w:type="dxa" w:w="80"/>
              <w:right w:type="dxa" w:w="120"/>
            </w:tcMar>
          </w:tcPr>
          <w:p>
            <w:r>
              <w:rPr>
                <w:b w:val="false"/>
                <w:bCs w:val="false"/>
                <w:color w:val="000000"/>
                <w:sz w:val="19"/>
                <w:szCs w:val="19"/>
              </w:rPr>
              <w:t xml:space="preserve">Účetní deník a hlavní kniha</w:t>
            </w:r>
          </w:p>
        </w:tc>
        <w:tc>
          <w:tcPr>
            <w:tcW w:type="pct" w:w="50%"/>
            <w:tcMar>
              <w:top w:type="dxa" w:w="80"/>
              <w:left w:type="dxa" w:w="120"/>
              <w:bottom w:type="dxa" w:w="80"/>
              <w:right w:type="dxa" w:w="120"/>
            </w:tcMar>
          </w:tcPr>
          <w:p>
            <w:r>
              <w:rPr>
                <w:b w:val="false"/>
                <w:bCs w:val="false"/>
                <w:color w:val="000000"/>
                <w:sz w:val="19"/>
                <w:szCs w:val="19"/>
              </w:rPr>
              <w:t xml:space="preserve">Automatické zaúčtování dokladů na účtový rozvrh</w:t>
            </w:r>
          </w:p>
        </w:tc>
      </w:tr>
      <w:tr>
        <w:tc>
          <w:tcPr>
            <w:tcW w:type="pct" w:w="8%"/>
            <w:tcMar>
              <w:top w:type="dxa" w:w="80"/>
              <w:left w:type="dxa" w:w="120"/>
              <w:bottom w:type="dxa" w:w="80"/>
              <w:right w:type="dxa" w:w="120"/>
            </w:tcMar>
          </w:tcPr>
          <w:p>
            <w:r>
              <w:rPr>
                <w:b w:val="false"/>
                <w:bCs w:val="false"/>
                <w:color w:val="000000"/>
                <w:sz w:val="19"/>
                <w:szCs w:val="19"/>
              </w:rPr>
              <w:t xml:space="preserve">3</w:t>
            </w:r>
          </w:p>
        </w:tc>
        <w:tc>
          <w:tcPr>
            <w:tcW w:type="pct" w:w="42%"/>
            <w:tcMar>
              <w:top w:type="dxa" w:w="80"/>
              <w:left w:type="dxa" w:w="120"/>
              <w:bottom w:type="dxa" w:w="80"/>
              <w:right w:type="dxa" w:w="120"/>
            </w:tcMar>
          </w:tcPr>
          <w:p>
            <w:r>
              <w:rPr>
                <w:b w:val="false"/>
                <w:bCs w:val="false"/>
                <w:color w:val="000000"/>
                <w:sz w:val="19"/>
                <w:szCs w:val="19"/>
              </w:rPr>
              <w:t xml:space="preserve">Účtový rozvrh</w:t>
            </w:r>
          </w:p>
        </w:tc>
        <w:tc>
          <w:tcPr>
            <w:tcW w:type="pct" w:w="50%"/>
            <w:tcMar>
              <w:top w:type="dxa" w:w="80"/>
              <w:left w:type="dxa" w:w="120"/>
              <w:bottom w:type="dxa" w:w="80"/>
              <w:right w:type="dxa" w:w="120"/>
            </w:tcMar>
          </w:tcPr>
          <w:p>
            <w:r>
              <w:rPr>
                <w:b w:val="false"/>
                <w:bCs w:val="false"/>
                <w:color w:val="000000"/>
                <w:sz w:val="19"/>
                <w:szCs w:val="19"/>
              </w:rPr>
              <w:t xml:space="preserve">Konfigurace syntetických a analytických účtů podle směrné osnovy</w:t>
            </w:r>
          </w:p>
        </w:tc>
      </w:tr>
      <w:tr>
        <w:tc>
          <w:tcPr>
            <w:tcW w:type="pct" w:w="8%"/>
            <w:tcMar>
              <w:top w:type="dxa" w:w="80"/>
              <w:left w:type="dxa" w:w="120"/>
              <w:bottom w:type="dxa" w:w="80"/>
              <w:right w:type="dxa" w:w="120"/>
            </w:tcMar>
          </w:tcPr>
          <w:p>
            <w:r>
              <w:rPr>
                <w:b w:val="false"/>
                <w:bCs w:val="false"/>
                <w:color w:val="000000"/>
                <w:sz w:val="19"/>
                <w:szCs w:val="19"/>
              </w:rPr>
              <w:t xml:space="preserve">4</w:t>
            </w:r>
          </w:p>
        </w:tc>
        <w:tc>
          <w:tcPr>
            <w:tcW w:type="pct" w:w="42%"/>
            <w:tcMar>
              <w:top w:type="dxa" w:w="80"/>
              <w:left w:type="dxa" w:w="120"/>
              <w:bottom w:type="dxa" w:w="80"/>
              <w:right w:type="dxa" w:w="120"/>
            </w:tcMar>
          </w:tcPr>
          <w:p>
            <w:r>
              <w:rPr>
                <w:b w:val="false"/>
                <w:bCs w:val="false"/>
                <w:color w:val="000000"/>
                <w:sz w:val="19"/>
                <w:szCs w:val="19"/>
              </w:rPr>
              <w:t xml:space="preserve">Banka a pokladna</w:t>
            </w:r>
          </w:p>
        </w:tc>
        <w:tc>
          <w:tcPr>
            <w:tcW w:type="pct" w:w="50%"/>
            <w:tcMar>
              <w:top w:type="dxa" w:w="80"/>
              <w:left w:type="dxa" w:w="120"/>
              <w:bottom w:type="dxa" w:w="80"/>
              <w:right w:type="dxa" w:w="120"/>
            </w:tcMar>
          </w:tcPr>
          <w:p>
            <w:r>
              <w:rPr>
                <w:b w:val="false"/>
                <w:bCs w:val="false"/>
                <w:color w:val="000000"/>
                <w:sz w:val="19"/>
                <w:szCs w:val="19"/>
              </w:rPr>
              <w:t xml:space="preserve">Párování plateb s doklady, pokladní kniha</w:t>
            </w:r>
          </w:p>
        </w:tc>
      </w:tr>
      <w:tr>
        <w:tc>
          <w:tcPr>
            <w:tcW w:type="pct" w:w="8%"/>
            <w:tcMar>
              <w:top w:type="dxa" w:w="80"/>
              <w:left w:type="dxa" w:w="120"/>
              <w:bottom w:type="dxa" w:w="80"/>
              <w:right w:type="dxa" w:w="120"/>
            </w:tcMar>
          </w:tcPr>
          <w:p>
            <w:r>
              <w:rPr>
                <w:b w:val="false"/>
                <w:bCs w:val="false"/>
                <w:color w:val="000000"/>
                <w:sz w:val="19"/>
                <w:szCs w:val="19"/>
              </w:rPr>
              <w:t xml:space="preserve">5</w:t>
            </w:r>
          </w:p>
        </w:tc>
        <w:tc>
          <w:tcPr>
            <w:tcW w:type="pct" w:w="42%"/>
            <w:tcMar>
              <w:top w:type="dxa" w:w="80"/>
              <w:left w:type="dxa" w:w="120"/>
              <w:bottom w:type="dxa" w:w="80"/>
              <w:right w:type="dxa" w:w="120"/>
            </w:tcMar>
          </w:tcPr>
          <w:p>
            <w:r>
              <w:rPr>
                <w:b w:val="false"/>
                <w:bCs w:val="false"/>
                <w:color w:val="000000"/>
                <w:sz w:val="19"/>
                <w:szCs w:val="19"/>
              </w:rPr>
              <w:t xml:space="preserve">DPH evidence a kontrolní hlášení (připraveno)</w:t>
            </w:r>
          </w:p>
        </w:tc>
        <w:tc>
          <w:tcPr>
            <w:tcW w:type="pct" w:w="50%"/>
            <w:tcMar>
              <w:top w:type="dxa" w:w="80"/>
              <w:left w:type="dxa" w:w="120"/>
              <w:bottom w:type="dxa" w:w="80"/>
              <w:right w:type="dxa" w:w="120"/>
            </w:tcMar>
          </w:tcPr>
          <w:p>
            <w:r>
              <w:rPr>
                <w:b w:val="false"/>
                <w:bCs w:val="false"/>
                <w:color w:val="000000"/>
                <w:sz w:val="19"/>
                <w:szCs w:val="19"/>
              </w:rPr>
              <w:t xml:space="preserve">Evidence pro § 100, generování podkladů pro přiznání</w:t>
            </w:r>
          </w:p>
        </w:tc>
      </w:tr>
      <w:tr>
        <w:tc>
          <w:tcPr>
            <w:tcW w:type="pct" w:w="8%"/>
            <w:tcMar>
              <w:top w:type="dxa" w:w="80"/>
              <w:left w:type="dxa" w:w="120"/>
              <w:bottom w:type="dxa" w:w="80"/>
              <w:right w:type="dxa" w:w="120"/>
            </w:tcMar>
          </w:tcPr>
          <w:p>
            <w:r>
              <w:rPr>
                <w:b w:val="false"/>
                <w:bCs w:val="false"/>
                <w:color w:val="000000"/>
                <w:sz w:val="19"/>
                <w:szCs w:val="19"/>
              </w:rPr>
              <w:t xml:space="preserve">6</w:t>
            </w:r>
          </w:p>
        </w:tc>
        <w:tc>
          <w:tcPr>
            <w:tcW w:type="pct" w:w="42%"/>
            <w:tcMar>
              <w:top w:type="dxa" w:w="80"/>
              <w:left w:type="dxa" w:w="120"/>
              <w:bottom w:type="dxa" w:w="80"/>
              <w:right w:type="dxa" w:w="120"/>
            </w:tcMar>
          </w:tcPr>
          <w:p>
            <w:r>
              <w:rPr>
                <w:b w:val="false"/>
                <w:bCs w:val="false"/>
                <w:color w:val="000000"/>
                <w:sz w:val="19"/>
                <w:szCs w:val="19"/>
              </w:rPr>
              <w:t xml:space="preserve">Majetek</w:t>
            </w:r>
          </w:p>
        </w:tc>
        <w:tc>
          <w:tcPr>
            <w:tcW w:type="pct" w:w="50%"/>
            <w:tcMar>
              <w:top w:type="dxa" w:w="80"/>
              <w:left w:type="dxa" w:w="120"/>
              <w:bottom w:type="dxa" w:w="80"/>
              <w:right w:type="dxa" w:w="120"/>
            </w:tcMar>
          </w:tcPr>
          <w:p>
            <w:r>
              <w:rPr>
                <w:b w:val="false"/>
                <w:bCs w:val="false"/>
                <w:color w:val="000000"/>
                <w:sz w:val="19"/>
                <w:szCs w:val="19"/>
              </w:rPr>
              <w:t xml:space="preserve">Karty dlouhodobého majetku, odpisy</w:t>
            </w:r>
          </w:p>
        </w:tc>
      </w:tr>
      <w:tr>
        <w:tc>
          <w:tcPr>
            <w:tcW w:type="pct" w:w="8%"/>
            <w:tcMar>
              <w:top w:type="dxa" w:w="80"/>
              <w:left w:type="dxa" w:w="120"/>
              <w:bottom w:type="dxa" w:w="80"/>
              <w:right w:type="dxa" w:w="120"/>
            </w:tcMar>
          </w:tcPr>
          <w:p>
            <w:r>
              <w:rPr>
                <w:b w:val="false"/>
                <w:bCs w:val="false"/>
                <w:color w:val="000000"/>
                <w:sz w:val="19"/>
                <w:szCs w:val="19"/>
              </w:rPr>
              <w:t xml:space="preserve">7</w:t>
            </w:r>
          </w:p>
        </w:tc>
        <w:tc>
          <w:tcPr>
            <w:tcW w:type="pct" w:w="42%"/>
            <w:tcMar>
              <w:top w:type="dxa" w:w="80"/>
              <w:left w:type="dxa" w:w="120"/>
              <w:bottom w:type="dxa" w:w="80"/>
              <w:right w:type="dxa" w:w="120"/>
            </w:tcMar>
          </w:tcPr>
          <w:p>
            <w:r>
              <w:rPr>
                <w:b w:val="false"/>
                <w:bCs w:val="false"/>
                <w:color w:val="000000"/>
                <w:sz w:val="19"/>
                <w:szCs w:val="19"/>
              </w:rPr>
              <w:t xml:space="preserve">Výkazy (rozvaha, výsledovka, příloha)</w:t>
            </w:r>
          </w:p>
        </w:tc>
        <w:tc>
          <w:tcPr>
            <w:tcW w:type="pct" w:w="50%"/>
            <w:tcMar>
              <w:top w:type="dxa" w:w="80"/>
              <w:left w:type="dxa" w:w="120"/>
              <w:bottom w:type="dxa" w:w="80"/>
              <w:right w:type="dxa" w:w="120"/>
            </w:tcMar>
          </w:tcPr>
          <w:p>
            <w:r>
              <w:rPr>
                <w:b w:val="false"/>
                <w:bCs w:val="false"/>
                <w:color w:val="000000"/>
                <w:sz w:val="19"/>
                <w:szCs w:val="19"/>
              </w:rPr>
              <w:t xml:space="preserve">Sestavení účetní závěrky ve zjednodušeném rozsahu</w:t>
            </w:r>
          </w:p>
        </w:tc>
      </w:tr>
      <w:tr>
        <w:tc>
          <w:tcPr>
            <w:tcW w:type="pct" w:w="8%"/>
            <w:tcMar>
              <w:top w:type="dxa" w:w="80"/>
              <w:left w:type="dxa" w:w="120"/>
              <w:bottom w:type="dxa" w:w="80"/>
              <w:right w:type="dxa" w:w="120"/>
            </w:tcMar>
          </w:tcPr>
          <w:p>
            <w:r>
              <w:rPr>
                <w:b w:val="false"/>
                <w:bCs w:val="false"/>
                <w:color w:val="000000"/>
                <w:sz w:val="19"/>
                <w:szCs w:val="19"/>
              </w:rPr>
              <w:t xml:space="preserve">8</w:t>
            </w:r>
          </w:p>
        </w:tc>
        <w:tc>
          <w:tcPr>
            <w:tcW w:type="pct" w:w="42%"/>
            <w:tcMar>
              <w:top w:type="dxa" w:w="80"/>
              <w:left w:type="dxa" w:w="120"/>
              <w:bottom w:type="dxa" w:w="80"/>
              <w:right w:type="dxa" w:w="120"/>
            </w:tcMar>
          </w:tcPr>
          <w:p>
            <w:r>
              <w:rPr>
                <w:b w:val="false"/>
                <w:bCs w:val="false"/>
                <w:color w:val="000000"/>
                <w:sz w:val="19"/>
                <w:szCs w:val="19"/>
              </w:rPr>
              <w:t xml:space="preserve">Inventarizace / roční uzávěrka</w:t>
            </w:r>
          </w:p>
        </w:tc>
        <w:tc>
          <w:tcPr>
            <w:tcW w:type="pct" w:w="50%"/>
            <w:tcMar>
              <w:top w:type="dxa" w:w="80"/>
              <w:left w:type="dxa" w:w="120"/>
              <w:bottom w:type="dxa" w:w="80"/>
              <w:right w:type="dxa" w:w="120"/>
            </w:tcMar>
          </w:tcPr>
          <w:p>
            <w:r>
              <w:rPr>
                <w:b w:val="false"/>
                <w:bCs w:val="false"/>
                <w:color w:val="000000"/>
                <w:sz w:val="19"/>
                <w:szCs w:val="19"/>
              </w:rPr>
              <w:t xml:space="preserve">Uzamčení období, inventurní soupisy</w:t>
            </w:r>
          </w:p>
        </w:tc>
      </w:tr>
      <w:tr>
        <w:tc>
          <w:tcPr>
            <w:tcW w:type="pct" w:w="8%"/>
            <w:tcMar>
              <w:top w:type="dxa" w:w="80"/>
              <w:left w:type="dxa" w:w="120"/>
              <w:bottom w:type="dxa" w:w="80"/>
              <w:right w:type="dxa" w:w="120"/>
            </w:tcMar>
          </w:tcPr>
          <w:p>
            <w:r>
              <w:rPr>
                <w:b w:val="false"/>
                <w:bCs w:val="false"/>
                <w:color w:val="000000"/>
                <w:sz w:val="19"/>
                <w:szCs w:val="19"/>
              </w:rPr>
              <w:t xml:space="preserve">9</w:t>
            </w:r>
          </w:p>
        </w:tc>
        <w:tc>
          <w:tcPr>
            <w:tcW w:type="pct" w:w="42%"/>
            <w:tcMar>
              <w:top w:type="dxa" w:w="80"/>
              <w:left w:type="dxa" w:w="120"/>
              <w:bottom w:type="dxa" w:w="80"/>
              <w:right w:type="dxa" w:w="120"/>
            </w:tcMar>
          </w:tcPr>
          <w:p>
            <w:r>
              <w:rPr>
                <w:b w:val="false"/>
                <w:bCs w:val="false"/>
                <w:color w:val="000000"/>
                <w:sz w:val="19"/>
                <w:szCs w:val="19"/>
              </w:rPr>
              <w:t xml:space="preserve">Audit log</w:t>
            </w:r>
          </w:p>
        </w:tc>
        <w:tc>
          <w:tcPr>
            <w:tcW w:type="pct" w:w="50%"/>
            <w:tcMar>
              <w:top w:type="dxa" w:w="80"/>
              <w:left w:type="dxa" w:w="120"/>
              <w:bottom w:type="dxa" w:w="80"/>
              <w:right w:type="dxa" w:w="120"/>
            </w:tcMar>
          </w:tcPr>
          <w:p>
            <w:r>
              <w:rPr>
                <w:b w:val="false"/>
                <w:bCs w:val="false"/>
                <w:color w:val="000000"/>
                <w:sz w:val="19"/>
                <w:szCs w:val="19"/>
              </w:rPr>
              <w:t xml:space="preserve">Nezměnitelný záznam všech úkonů — jádro průkaznosti</w:t>
            </w:r>
          </w:p>
        </w:tc>
      </w:tr>
      <w:tr>
        <w:tc>
          <w:tcPr>
            <w:tcW w:type="pct" w:w="8%"/>
            <w:tcMar>
              <w:top w:type="dxa" w:w="80"/>
              <w:left w:type="dxa" w:w="120"/>
              <w:bottom w:type="dxa" w:w="80"/>
              <w:right w:type="dxa" w:w="120"/>
            </w:tcMar>
          </w:tcPr>
          <w:p>
            <w:r>
              <w:rPr>
                <w:b w:val="false"/>
                <w:bCs w:val="false"/>
                <w:color w:val="000000"/>
                <w:sz w:val="19"/>
                <w:szCs w:val="19"/>
              </w:rPr>
              <w:t xml:space="preserve">10</w:t>
            </w:r>
          </w:p>
        </w:tc>
        <w:tc>
          <w:tcPr>
            <w:tcW w:type="pct" w:w="42%"/>
            <w:tcMar>
              <w:top w:type="dxa" w:w="80"/>
              <w:left w:type="dxa" w:w="120"/>
              <w:bottom w:type="dxa" w:w="80"/>
              <w:right w:type="dxa" w:w="120"/>
            </w:tcMar>
          </w:tcPr>
          <w:p>
            <w:r>
              <w:rPr>
                <w:b w:val="false"/>
                <w:bCs w:val="false"/>
                <w:color w:val="000000"/>
                <w:sz w:val="19"/>
                <w:szCs w:val="19"/>
              </w:rPr>
              <w:t xml:space="preserve">Číselníky (kontakty, projekty/zakázky)</w:t>
            </w:r>
          </w:p>
        </w:tc>
        <w:tc>
          <w:tcPr>
            <w:tcW w:type="pct" w:w="50%"/>
            <w:tcMar>
              <w:top w:type="dxa" w:w="80"/>
              <w:left w:type="dxa" w:w="120"/>
              <w:bottom w:type="dxa" w:w="80"/>
              <w:right w:type="dxa" w:w="120"/>
            </w:tcMar>
          </w:tcPr>
          <w:p>
            <w:r>
              <w:rPr>
                <w:b w:val="false"/>
                <w:bCs w:val="false"/>
                <w:color w:val="000000"/>
                <w:sz w:val="19"/>
                <w:szCs w:val="19"/>
              </w:rPr>
              <w:t xml:space="preserve">Sdílená data napříč doklady</w:t>
            </w:r>
          </w:p>
        </w:tc>
      </w:tr>
      <w:tr>
        <w:tc>
          <w:tcPr>
            <w:tcW w:type="pct" w:w="8%"/>
            <w:tcMar>
              <w:top w:type="dxa" w:w="80"/>
              <w:left w:type="dxa" w:w="120"/>
              <w:bottom w:type="dxa" w:w="80"/>
              <w:right w:type="dxa" w:w="120"/>
            </w:tcMar>
          </w:tcPr>
          <w:p>
            <w:r>
              <w:rPr>
                <w:b w:val="false"/>
                <w:bCs w:val="false"/>
                <w:color w:val="000000"/>
                <w:sz w:val="19"/>
                <w:szCs w:val="19"/>
              </w:rPr>
              <w:t xml:space="preserve">11</w:t>
            </w:r>
          </w:p>
        </w:tc>
        <w:tc>
          <w:tcPr>
            <w:tcW w:type="pct" w:w="42%"/>
            <w:tcMar>
              <w:top w:type="dxa" w:w="80"/>
              <w:left w:type="dxa" w:w="120"/>
              <w:bottom w:type="dxa" w:w="80"/>
              <w:right w:type="dxa" w:w="120"/>
            </w:tcMar>
          </w:tcPr>
          <w:p>
            <w:r>
              <w:rPr>
                <w:b w:val="false"/>
                <w:bCs w:val="false"/>
                <w:color w:val="000000"/>
                <w:sz w:val="19"/>
                <w:szCs w:val="19"/>
              </w:rPr>
              <w:t xml:space="preserve">Uživatelé a role</w:t>
            </w:r>
          </w:p>
        </w:tc>
        <w:tc>
          <w:tcPr>
            <w:tcW w:type="pct" w:w="50%"/>
            <w:tcMar>
              <w:top w:type="dxa" w:w="80"/>
              <w:left w:type="dxa" w:w="120"/>
              <w:bottom w:type="dxa" w:w="80"/>
              <w:right w:type="dxa" w:w="120"/>
            </w:tcMar>
          </w:tcPr>
          <w:p>
            <w:r>
              <w:rPr>
                <w:b w:val="false"/>
                <w:bCs w:val="false"/>
                <w:color w:val="000000"/>
                <w:sz w:val="19"/>
                <w:szCs w:val="19"/>
              </w:rPr>
              <w:t xml:space="preserve">Řízení přístupu, oddělení zadávání od schvalování</w:t>
            </w:r>
          </w:p>
        </w:tc>
      </w:tr>
      <w:tr>
        <w:tc>
          <w:tcPr>
            <w:tcW w:type="pct" w:w="8%"/>
            <w:tcMar>
              <w:top w:type="dxa" w:w="80"/>
              <w:left w:type="dxa" w:w="120"/>
              <w:bottom w:type="dxa" w:w="80"/>
              <w:right w:type="dxa" w:w="120"/>
            </w:tcMar>
          </w:tcPr>
          <w:p>
            <w:r>
              <w:rPr>
                <w:b w:val="false"/>
                <w:bCs w:val="false"/>
                <w:color w:val="000000"/>
                <w:sz w:val="19"/>
                <w:szCs w:val="19"/>
              </w:rPr>
              <w:t xml:space="preserve">12</w:t>
            </w:r>
          </w:p>
        </w:tc>
        <w:tc>
          <w:tcPr>
            <w:tcW w:type="pct" w:w="42%"/>
            <w:tcMar>
              <w:top w:type="dxa" w:w="80"/>
              <w:left w:type="dxa" w:w="120"/>
              <w:bottom w:type="dxa" w:w="80"/>
              <w:right w:type="dxa" w:w="120"/>
            </w:tcMar>
          </w:tcPr>
          <w:p>
            <w:r>
              <w:rPr>
                <w:b w:val="false"/>
                <w:bCs w:val="false"/>
                <w:color w:val="000000"/>
                <w:sz w:val="19"/>
                <w:szCs w:val="19"/>
              </w:rPr>
              <w:t xml:space="preserve">Archivace a export</w:t>
            </w:r>
          </w:p>
        </w:tc>
        <w:tc>
          <w:tcPr>
            <w:tcW w:type="pct" w:w="50%"/>
            <w:tcMar>
              <w:top w:type="dxa" w:w="80"/>
              <w:left w:type="dxa" w:w="120"/>
              <w:bottom w:type="dxa" w:w="80"/>
              <w:right w:type="dxa" w:w="120"/>
            </w:tcMar>
          </w:tcPr>
          <w:p>
            <w:r>
              <w:rPr>
                <w:b w:val="false"/>
                <w:bCs w:val="false"/>
                <w:color w:val="000000"/>
                <w:sz w:val="19"/>
                <w:szCs w:val="19"/>
              </w:rPr>
              <w:t xml:space="preserve">Dlouhodobé úložiště, export dat pro daňového poradce/audit</w:t>
            </w:r>
          </w:p>
        </w:tc>
      </w:tr>
    </w:tbl>
    <w:p>
      <w:pPr>
        <w:pStyle w:val="Heading1"/>
        <w:spacing w:after="180" w:before="420"/>
      </w:pPr>
      <w:r>
        <w:rPr>
          <w:b/>
          <w:bCs/>
          <w:color w:val="0b3d5c"/>
          <w:sz w:val="30"/>
          <w:szCs w:val="30"/>
        </w:rPr>
        <w:t xml:space="preserve">4. Architektura systému</w:t>
      </w:r>
    </w:p>
    <w:p>
      <w:pPr>
        <w:pStyle w:val="Heading2"/>
        <w:spacing w:after="120" w:before="280"/>
      </w:pPr>
      <w:r>
        <w:rPr>
          <w:b/>
          <w:bCs/>
          <w:color w:val="0b3d5c"/>
          <w:sz w:val="24"/>
          <w:szCs w:val="24"/>
        </w:rPr>
        <w:t xml:space="preserve">4.1 Vrstvený pohled</w:t>
      </w:r>
    </w:p>
    <w:p>
      <w:pPr>
        <w:spacing w:after="140" w:line="300"/>
      </w:pPr>
      <w:r>
        <w:rPr>
          <w:sz w:val="21"/>
          <w:szCs w:val="21"/>
        </w:rPr>
        <w:t xml:space="preserve">Systém je navržen ve třech vrstvách, aby oddělení dat od prezentace umožnilo dlouhodobou stabilitu — účetní data musí přežít i budoucí přepsání uživatelského rozhraní.</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26%"/>
            <w:shd w:fill="0b3d5c" w:val="clear"/>
            <w:tcMar>
              <w:top w:type="dxa" w:w="80"/>
              <w:left w:type="dxa" w:w="120"/>
              <w:bottom w:type="dxa" w:w="80"/>
              <w:right w:type="dxa" w:w="120"/>
            </w:tcMar>
          </w:tcPr>
          <w:p>
            <w:r>
              <w:rPr>
                <w:b/>
                <w:bCs/>
                <w:color w:val="FFFFFF"/>
                <w:sz w:val="19"/>
                <w:szCs w:val="19"/>
              </w:rPr>
              <w:t xml:space="preserve">Vrstva</w:t>
            </w:r>
          </w:p>
        </w:tc>
        <w:tc>
          <w:tcPr>
            <w:tcW w:type="pct" w:w="46%"/>
            <w:shd w:fill="0b3d5c" w:val="clear"/>
            <w:tcMar>
              <w:top w:type="dxa" w:w="80"/>
              <w:left w:type="dxa" w:w="120"/>
              <w:bottom w:type="dxa" w:w="80"/>
              <w:right w:type="dxa" w:w="120"/>
            </w:tcMar>
          </w:tcPr>
          <w:p>
            <w:r>
              <w:rPr>
                <w:b/>
                <w:bCs/>
                <w:color w:val="FFFFFF"/>
                <w:sz w:val="19"/>
                <w:szCs w:val="19"/>
              </w:rPr>
              <w:t xml:space="preserve">Odpovědnost</w:t>
            </w:r>
          </w:p>
        </w:tc>
        <w:tc>
          <w:tcPr>
            <w:tcW w:type="pct" w:w="28%"/>
            <w:shd w:fill="0b3d5c" w:val="clear"/>
            <w:tcMar>
              <w:top w:type="dxa" w:w="80"/>
              <w:left w:type="dxa" w:w="120"/>
              <w:bottom w:type="dxa" w:w="80"/>
              <w:right w:type="dxa" w:w="120"/>
            </w:tcMar>
          </w:tcPr>
          <w:p>
            <w:r>
              <w:rPr>
                <w:b/>
                <w:bCs/>
                <w:color w:val="FFFFFF"/>
                <w:sz w:val="19"/>
                <w:szCs w:val="19"/>
              </w:rPr>
              <w:t xml:space="preserve">Poznámka</w:t>
            </w:r>
          </w:p>
        </w:tc>
      </w:tr>
      <w:tr>
        <w:tc>
          <w:tcPr>
            <w:tcW w:type="pct" w:w="26%"/>
            <w:tcMar>
              <w:top w:type="dxa" w:w="80"/>
              <w:left w:type="dxa" w:w="120"/>
              <w:bottom w:type="dxa" w:w="80"/>
              <w:right w:type="dxa" w:w="120"/>
            </w:tcMar>
          </w:tcPr>
          <w:p>
            <w:r>
              <w:rPr>
                <w:b w:val="false"/>
                <w:bCs w:val="false"/>
                <w:color w:val="000000"/>
                <w:sz w:val="19"/>
                <w:szCs w:val="19"/>
              </w:rPr>
              <w:t xml:space="preserve">Prezentační vrstva</w:t>
            </w:r>
          </w:p>
        </w:tc>
        <w:tc>
          <w:tcPr>
            <w:tcW w:type="pct" w:w="46%"/>
            <w:tcMar>
              <w:top w:type="dxa" w:w="80"/>
              <w:left w:type="dxa" w:w="120"/>
              <w:bottom w:type="dxa" w:w="80"/>
              <w:right w:type="dxa" w:w="120"/>
            </w:tcMar>
          </w:tcPr>
          <w:p>
            <w:r>
              <w:rPr>
                <w:b w:val="false"/>
                <w:bCs w:val="false"/>
                <w:color w:val="000000"/>
                <w:sz w:val="19"/>
                <w:szCs w:val="19"/>
              </w:rPr>
              <w:t xml:space="preserve">Zadávání dokladů, přehledy, výkazy, reporty pro Luigiho</w:t>
            </w:r>
          </w:p>
        </w:tc>
        <w:tc>
          <w:tcPr>
            <w:tcW w:type="pct" w:w="28%"/>
            <w:tcMar>
              <w:top w:type="dxa" w:w="80"/>
              <w:left w:type="dxa" w:w="120"/>
              <w:bottom w:type="dxa" w:w="80"/>
              <w:right w:type="dxa" w:w="120"/>
            </w:tcMar>
          </w:tcPr>
          <w:p>
            <w:r>
              <w:rPr>
                <w:b w:val="false"/>
                <w:bCs w:val="false"/>
                <w:color w:val="000000"/>
                <w:sz w:val="19"/>
                <w:szCs w:val="19"/>
              </w:rPr>
              <w:t xml:space="preserve">Webová aplikace; může se v čase měnit bez dopadu na data</w:t>
            </w:r>
          </w:p>
        </w:tc>
      </w:tr>
      <w:tr>
        <w:tc>
          <w:tcPr>
            <w:tcW w:type="pct" w:w="26%"/>
            <w:tcMar>
              <w:top w:type="dxa" w:w="80"/>
              <w:left w:type="dxa" w:w="120"/>
              <w:bottom w:type="dxa" w:w="80"/>
              <w:right w:type="dxa" w:w="120"/>
            </w:tcMar>
          </w:tcPr>
          <w:p>
            <w:r>
              <w:rPr>
                <w:b w:val="false"/>
                <w:bCs w:val="false"/>
                <w:color w:val="000000"/>
                <w:sz w:val="19"/>
                <w:szCs w:val="19"/>
              </w:rPr>
              <w:t xml:space="preserve">Aplikační/doménová vrstva</w:t>
            </w:r>
          </w:p>
        </w:tc>
        <w:tc>
          <w:tcPr>
            <w:tcW w:type="pct" w:w="46%"/>
            <w:tcMar>
              <w:top w:type="dxa" w:w="80"/>
              <w:left w:type="dxa" w:w="120"/>
              <w:bottom w:type="dxa" w:w="80"/>
              <w:right w:type="dxa" w:w="120"/>
            </w:tcMar>
          </w:tcPr>
          <w:p>
            <w:r>
              <w:rPr>
                <w:b w:val="false"/>
                <w:bCs w:val="false"/>
                <w:color w:val="000000"/>
                <w:sz w:val="19"/>
                <w:szCs w:val="19"/>
              </w:rPr>
              <w:t xml:space="preserve">Účetní logika: zaúčtování, validace náležitostí dokladu, výpočet DPH, generování výkazů</w:t>
            </w:r>
          </w:p>
        </w:tc>
        <w:tc>
          <w:tcPr>
            <w:tcW w:type="pct" w:w="28%"/>
            <w:tcMar>
              <w:top w:type="dxa" w:w="80"/>
              <w:left w:type="dxa" w:w="120"/>
              <w:bottom w:type="dxa" w:w="80"/>
              <w:right w:type="dxa" w:w="120"/>
            </w:tcMar>
          </w:tcPr>
          <w:p>
            <w:r>
              <w:rPr>
                <w:b w:val="false"/>
                <w:bCs w:val="false"/>
                <w:color w:val="000000"/>
                <w:sz w:val="19"/>
                <w:szCs w:val="19"/>
              </w:rPr>
              <w:t xml:space="preserve">Zde žijí veškerá business pravidla z kapitoly 2</w:t>
            </w:r>
          </w:p>
        </w:tc>
      </w:tr>
      <w:tr>
        <w:tc>
          <w:tcPr>
            <w:tcW w:type="pct" w:w="26%"/>
            <w:tcMar>
              <w:top w:type="dxa" w:w="80"/>
              <w:left w:type="dxa" w:w="120"/>
              <w:bottom w:type="dxa" w:w="80"/>
              <w:right w:type="dxa" w:w="120"/>
            </w:tcMar>
          </w:tcPr>
          <w:p>
            <w:r>
              <w:rPr>
                <w:b w:val="false"/>
                <w:bCs w:val="false"/>
                <w:color w:val="000000"/>
                <w:sz w:val="19"/>
                <w:szCs w:val="19"/>
              </w:rPr>
              <w:t xml:space="preserve">Datová vrstva (perzistence)</w:t>
            </w:r>
          </w:p>
        </w:tc>
        <w:tc>
          <w:tcPr>
            <w:tcW w:type="pct" w:w="46%"/>
            <w:tcMar>
              <w:top w:type="dxa" w:w="80"/>
              <w:left w:type="dxa" w:w="120"/>
              <w:bottom w:type="dxa" w:w="80"/>
              <w:right w:type="dxa" w:w="120"/>
            </w:tcMar>
          </w:tcPr>
          <w:p>
            <w:r>
              <w:rPr>
                <w:b w:val="false"/>
                <w:bCs w:val="false"/>
                <w:color w:val="000000"/>
                <w:sz w:val="19"/>
                <w:szCs w:val="19"/>
              </w:rPr>
              <w:t xml:space="preserve">Nezměnitelné ukládání dokladů a účetních zápisů, audit log, archiv</w:t>
            </w:r>
          </w:p>
        </w:tc>
        <w:tc>
          <w:tcPr>
            <w:tcW w:type="pct" w:w="28%"/>
            <w:tcMar>
              <w:top w:type="dxa" w:w="80"/>
              <w:left w:type="dxa" w:w="120"/>
              <w:bottom w:type="dxa" w:w="80"/>
              <w:right w:type="dxa" w:w="120"/>
            </w:tcMar>
          </w:tcPr>
          <w:p>
            <w:r>
              <w:rPr>
                <w:b w:val="false"/>
                <w:bCs w:val="false"/>
                <w:color w:val="000000"/>
                <w:sz w:val="19"/>
                <w:szCs w:val="19"/>
              </w:rPr>
              <w:t xml:space="preserve">Append-only design — viz 4.3</w:t>
            </w:r>
          </w:p>
        </w:tc>
      </w:tr>
    </w:tbl>
    <w:p>
      <w:pPr>
        <w:pStyle w:val="Heading2"/>
        <w:spacing w:after="120" w:before="280"/>
      </w:pPr>
      <w:r>
        <w:rPr>
          <w:b/>
          <w:bCs/>
          <w:color w:val="0b3d5c"/>
          <w:sz w:val="24"/>
          <w:szCs w:val="24"/>
        </w:rPr>
        <w:t xml:space="preserve">4.2 Klíčový architektonický princip: append-only účetní deník</w:t>
      </w:r>
    </w:p>
    <w:p>
      <w:pPr>
        <w:spacing w:after="140" w:line="300"/>
      </w:pPr>
      <w:r>
        <w:rPr>
          <w:sz w:val="21"/>
          <w:szCs w:val="21"/>
        </w:rPr>
        <w:t xml:space="preserve">Aby systém splnil požadavek na neměnnost a auditní stopu (§ 33a, § 35 ZoÚ), nesmí být možné žádný zaúčtovaný zápis fyzicky upravit nebo smazat na úrovni databáze. Zvolený vzor:</w:t>
      </w:r>
    </w:p>
    <w:p>
      <w:pPr>
        <w:pStyle w:val="ListParagraph"/>
        <w:numPr>
          <w:ilvl w:val="0"/>
          <w:numId w:val="2"/>
        </w:numPr>
        <w:spacing w:after="80" w:line="290"/>
      </w:pPr>
      <w:r>
        <w:rPr>
          <w:sz w:val="21"/>
          <w:szCs w:val="21"/>
        </w:rPr>
        <w:t xml:space="preserve">Účetní zápis se jednou zapíše a dostane nezměnitelné pořadové číslo a časové razítko</w:t>
      </w:r>
    </w:p>
    <w:p>
      <w:pPr>
        <w:pStyle w:val="ListParagraph"/>
        <w:numPr>
          <w:ilvl w:val="0"/>
          <w:numId w:val="2"/>
        </w:numPr>
        <w:spacing w:after="80" w:line="290"/>
      </w:pPr>
      <w:r>
        <w:rPr>
          <w:sz w:val="21"/>
          <w:szCs w:val="21"/>
        </w:rPr>
        <w:t xml:space="preserve">Oprava vzniká jako nový, protichůdný zápis (storno) + nový správný zápis — oba odkazují na původní záznam</w:t>
      </w:r>
    </w:p>
    <w:p>
      <w:pPr>
        <w:pStyle w:val="ListParagraph"/>
        <w:numPr>
          <w:ilvl w:val="0"/>
          <w:numId w:val="2"/>
        </w:numPr>
        <w:spacing w:after="80" w:line="290"/>
      </w:pPr>
      <w:r>
        <w:rPr>
          <w:sz w:val="21"/>
          <w:szCs w:val="21"/>
        </w:rPr>
        <w:t xml:space="preserve">Historie všech verzí dokladu zůstává čitelná, nikdy se nepřepisuje</w:t>
      </w:r>
    </w:p>
    <w:p>
      <w:pPr>
        <w:pStyle w:val="ListParagraph"/>
        <w:numPr>
          <w:ilvl w:val="0"/>
          <w:numId w:val="2"/>
        </w:numPr>
        <w:spacing w:after="80" w:line="290"/>
      </w:pPr>
      <w:r>
        <w:rPr>
          <w:sz w:val="21"/>
          <w:szCs w:val="21"/>
        </w:rPr>
        <w:t xml:space="preserve">Uzamčení účetního období (po inventarizaci) technicky znemožní zápisy s datem uskutečnění v uzamčeném období</w:t>
      </w:r>
    </w:p>
    <w:p>
      <w:pPr>
        <w:pBdr>
          <w:left w:val="single" w:color="0b3d5c" w:sz="24" w:space="8"/>
        </w:pBdr>
        <w:shd w:fill="f2f2f2" w:val="clear"/>
        <w:spacing w:after="200" w:before="100" w:line="280"/>
        <w:ind w:left="120"/>
      </w:pPr>
      <w:r>
        <w:rPr>
          <w:i/>
          <w:iCs/>
          <w:color w:val="555555"/>
          <w:sz w:val="20"/>
          <w:szCs w:val="20"/>
        </w:rPr>
        <w:t xml:space="preserve">Tento vzor (append-only / event-sourcing pro účetní zápisy) je běžný přístup i v komerčních účetních systémech přesně kvůli §33a — technicky nejde o nic exotického, jen je nutné ho od začátku promítnout do datového modelu, protože dodatečná přestavba běžné CRUD databáze na append-only je bolestivá.</w:t>
      </w:r>
    </w:p>
    <w:p>
      <w:pPr>
        <w:pStyle w:val="Heading2"/>
        <w:spacing w:after="120" w:before="280"/>
      </w:pPr>
      <w:r>
        <w:rPr>
          <w:b/>
          <w:bCs/>
          <w:color w:val="0b3d5c"/>
          <w:sz w:val="24"/>
          <w:szCs w:val="24"/>
        </w:rPr>
        <w:t xml:space="preserve">4.3 Vysokoúrovňový diagram komponent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26%"/>
            <w:shd w:fill="0b3d5c" w:val="clear"/>
            <w:tcMar>
              <w:top w:type="dxa" w:w="80"/>
              <w:left w:type="dxa" w:w="120"/>
              <w:bottom w:type="dxa" w:w="80"/>
              <w:right w:type="dxa" w:w="120"/>
            </w:tcMar>
          </w:tcPr>
          <w:p>
            <w:r>
              <w:rPr>
                <w:b/>
                <w:bCs/>
                <w:color w:val="FFFFFF"/>
                <w:sz w:val="19"/>
                <w:szCs w:val="19"/>
              </w:rPr>
              <w:t xml:space="preserve">Komponenta</w:t>
            </w:r>
          </w:p>
        </w:tc>
        <w:tc>
          <w:tcPr>
            <w:tcW w:type="pct" w:w="36%"/>
            <w:shd w:fill="0b3d5c" w:val="clear"/>
            <w:tcMar>
              <w:top w:type="dxa" w:w="80"/>
              <w:left w:type="dxa" w:w="120"/>
              <w:bottom w:type="dxa" w:w="80"/>
              <w:right w:type="dxa" w:w="120"/>
            </w:tcMar>
          </w:tcPr>
          <w:p>
            <w:r>
              <w:rPr>
                <w:b/>
                <w:bCs/>
                <w:color w:val="FFFFFF"/>
                <w:sz w:val="19"/>
                <w:szCs w:val="19"/>
              </w:rPr>
              <w:t xml:space="preserve">Vstup</w:t>
            </w:r>
          </w:p>
        </w:tc>
        <w:tc>
          <w:tcPr>
            <w:tcW w:type="pct" w:w="38%"/>
            <w:shd w:fill="0b3d5c" w:val="clear"/>
            <w:tcMar>
              <w:top w:type="dxa" w:w="80"/>
              <w:left w:type="dxa" w:w="120"/>
              <w:bottom w:type="dxa" w:w="80"/>
              <w:right w:type="dxa" w:w="120"/>
            </w:tcMar>
          </w:tcPr>
          <w:p>
            <w:r>
              <w:rPr>
                <w:b/>
                <w:bCs/>
                <w:color w:val="FFFFFF"/>
                <w:sz w:val="19"/>
                <w:szCs w:val="19"/>
              </w:rPr>
              <w:t xml:space="preserve">Výstup</w:t>
            </w:r>
          </w:p>
        </w:tc>
      </w:tr>
      <w:tr>
        <w:tc>
          <w:tcPr>
            <w:tcW w:type="pct" w:w="26%"/>
            <w:tcMar>
              <w:top w:type="dxa" w:w="80"/>
              <w:left w:type="dxa" w:w="120"/>
              <w:bottom w:type="dxa" w:w="80"/>
              <w:right w:type="dxa" w:w="120"/>
            </w:tcMar>
          </w:tcPr>
          <w:p>
            <w:r>
              <w:rPr>
                <w:b w:val="false"/>
                <w:bCs w:val="false"/>
                <w:color w:val="000000"/>
                <w:sz w:val="19"/>
                <w:szCs w:val="19"/>
              </w:rPr>
              <w:t xml:space="preserve">Modul Doklady</w:t>
            </w:r>
          </w:p>
        </w:tc>
        <w:tc>
          <w:tcPr>
            <w:tcW w:type="pct" w:w="36%"/>
            <w:tcMar>
              <w:top w:type="dxa" w:w="80"/>
              <w:left w:type="dxa" w:w="120"/>
              <w:bottom w:type="dxa" w:w="80"/>
              <w:right w:type="dxa" w:w="120"/>
            </w:tcMar>
          </w:tcPr>
          <w:p>
            <w:r>
              <w:rPr>
                <w:b w:val="false"/>
                <w:bCs w:val="false"/>
                <w:color w:val="000000"/>
                <w:sz w:val="19"/>
                <w:szCs w:val="19"/>
              </w:rPr>
              <w:t xml:space="preserve">Ruční zadání, případně naskenovaný doklad</w:t>
            </w:r>
          </w:p>
        </w:tc>
        <w:tc>
          <w:tcPr>
            <w:tcW w:type="pct" w:w="38%"/>
            <w:tcMar>
              <w:top w:type="dxa" w:w="80"/>
              <w:left w:type="dxa" w:w="120"/>
              <w:bottom w:type="dxa" w:w="80"/>
              <w:right w:type="dxa" w:w="120"/>
            </w:tcMar>
          </w:tcPr>
          <w:p>
            <w:r>
              <w:rPr>
                <w:b w:val="false"/>
                <w:bCs w:val="false"/>
                <w:color w:val="000000"/>
                <w:sz w:val="19"/>
                <w:szCs w:val="19"/>
              </w:rPr>
              <w:t xml:space="preserve">Validovaný doklad s náležitostmi dle § 11 ZoÚ (a § 29 ZDPH, je-li aktivní DPH)</w:t>
            </w:r>
          </w:p>
        </w:tc>
      </w:tr>
      <w:tr>
        <w:tc>
          <w:tcPr>
            <w:tcW w:type="pct" w:w="26%"/>
            <w:tcMar>
              <w:top w:type="dxa" w:w="80"/>
              <w:left w:type="dxa" w:w="120"/>
              <w:bottom w:type="dxa" w:w="80"/>
              <w:right w:type="dxa" w:w="120"/>
            </w:tcMar>
          </w:tcPr>
          <w:p>
            <w:r>
              <w:rPr>
                <w:b w:val="false"/>
                <w:bCs w:val="false"/>
                <w:color w:val="000000"/>
                <w:sz w:val="19"/>
                <w:szCs w:val="19"/>
              </w:rPr>
              <w:t xml:space="preserve">Zaúčtovací engine</w:t>
            </w:r>
          </w:p>
        </w:tc>
        <w:tc>
          <w:tcPr>
            <w:tcW w:type="pct" w:w="36%"/>
            <w:tcMar>
              <w:top w:type="dxa" w:w="80"/>
              <w:left w:type="dxa" w:w="120"/>
              <w:bottom w:type="dxa" w:w="80"/>
              <w:right w:type="dxa" w:w="120"/>
            </w:tcMar>
          </w:tcPr>
          <w:p>
            <w:r>
              <w:rPr>
                <w:b w:val="false"/>
                <w:bCs w:val="false"/>
                <w:color w:val="000000"/>
                <w:sz w:val="19"/>
                <w:szCs w:val="19"/>
              </w:rPr>
              <w:t xml:space="preserve">Validovaný doklad + přiřazení k účtům</w:t>
            </w:r>
          </w:p>
        </w:tc>
        <w:tc>
          <w:tcPr>
            <w:tcW w:type="pct" w:w="38%"/>
            <w:tcMar>
              <w:top w:type="dxa" w:w="80"/>
              <w:left w:type="dxa" w:w="120"/>
              <w:bottom w:type="dxa" w:w="80"/>
              <w:right w:type="dxa" w:w="120"/>
            </w:tcMar>
          </w:tcPr>
          <w:p>
            <w:r>
              <w:rPr>
                <w:b w:val="false"/>
                <w:bCs w:val="false"/>
                <w:color w:val="000000"/>
                <w:sz w:val="19"/>
                <w:szCs w:val="19"/>
              </w:rPr>
              <w:t xml:space="preserve">Zápis do účetního deníku (append-only)</w:t>
            </w:r>
          </w:p>
        </w:tc>
      </w:tr>
      <w:tr>
        <w:tc>
          <w:tcPr>
            <w:tcW w:type="pct" w:w="26%"/>
            <w:tcMar>
              <w:top w:type="dxa" w:w="80"/>
              <w:left w:type="dxa" w:w="120"/>
              <w:bottom w:type="dxa" w:w="80"/>
              <w:right w:type="dxa" w:w="120"/>
            </w:tcMar>
          </w:tcPr>
          <w:p>
            <w:r>
              <w:rPr>
                <w:b w:val="false"/>
                <w:bCs w:val="false"/>
                <w:color w:val="000000"/>
                <w:sz w:val="19"/>
                <w:szCs w:val="19"/>
              </w:rPr>
              <w:t xml:space="preserve">Hlavní kniha (materializovaný pohled)</w:t>
            </w:r>
          </w:p>
        </w:tc>
        <w:tc>
          <w:tcPr>
            <w:tcW w:type="pct" w:w="36%"/>
            <w:tcMar>
              <w:top w:type="dxa" w:w="80"/>
              <w:left w:type="dxa" w:w="120"/>
              <w:bottom w:type="dxa" w:w="80"/>
              <w:right w:type="dxa" w:w="120"/>
            </w:tcMar>
          </w:tcPr>
          <w:p>
            <w:r>
              <w:rPr>
                <w:b w:val="false"/>
                <w:bCs w:val="false"/>
                <w:color w:val="000000"/>
                <w:sz w:val="19"/>
                <w:szCs w:val="19"/>
              </w:rPr>
              <w:t xml:space="preserve">Účetní deník</w:t>
            </w:r>
          </w:p>
        </w:tc>
        <w:tc>
          <w:tcPr>
            <w:tcW w:type="pct" w:w="38%"/>
            <w:tcMar>
              <w:top w:type="dxa" w:w="80"/>
              <w:left w:type="dxa" w:w="120"/>
              <w:bottom w:type="dxa" w:w="80"/>
              <w:right w:type="dxa" w:w="120"/>
            </w:tcMar>
          </w:tcPr>
          <w:p>
            <w:r>
              <w:rPr>
                <w:b w:val="false"/>
                <w:bCs w:val="false"/>
                <w:color w:val="000000"/>
                <w:sz w:val="19"/>
                <w:szCs w:val="19"/>
              </w:rPr>
              <w:t xml:space="preserve">Zůstatky a pohyby po jednotlivých účtech</w:t>
            </w:r>
          </w:p>
        </w:tc>
      </w:tr>
      <w:tr>
        <w:tc>
          <w:tcPr>
            <w:tcW w:type="pct" w:w="26%"/>
            <w:tcMar>
              <w:top w:type="dxa" w:w="80"/>
              <w:left w:type="dxa" w:w="120"/>
              <w:bottom w:type="dxa" w:w="80"/>
              <w:right w:type="dxa" w:w="120"/>
            </w:tcMar>
          </w:tcPr>
          <w:p>
            <w:r>
              <w:rPr>
                <w:b w:val="false"/>
                <w:bCs w:val="false"/>
                <w:color w:val="000000"/>
                <w:sz w:val="19"/>
                <w:szCs w:val="19"/>
              </w:rPr>
              <w:t xml:space="preserve">Modul Výkazy</w:t>
            </w:r>
          </w:p>
        </w:tc>
        <w:tc>
          <w:tcPr>
            <w:tcW w:type="pct" w:w="36%"/>
            <w:tcMar>
              <w:top w:type="dxa" w:w="80"/>
              <w:left w:type="dxa" w:w="120"/>
              <w:bottom w:type="dxa" w:w="80"/>
              <w:right w:type="dxa" w:w="120"/>
            </w:tcMar>
          </w:tcPr>
          <w:p>
            <w:r>
              <w:rPr>
                <w:b w:val="false"/>
                <w:bCs w:val="false"/>
                <w:color w:val="000000"/>
                <w:sz w:val="19"/>
                <w:szCs w:val="19"/>
              </w:rPr>
              <w:t xml:space="preserve">Zůstatky hlavní knihy k rozvahovému dni</w:t>
            </w:r>
          </w:p>
        </w:tc>
        <w:tc>
          <w:tcPr>
            <w:tcW w:type="pct" w:w="38%"/>
            <w:tcMar>
              <w:top w:type="dxa" w:w="80"/>
              <w:left w:type="dxa" w:w="120"/>
              <w:bottom w:type="dxa" w:w="80"/>
              <w:right w:type="dxa" w:w="120"/>
            </w:tcMar>
          </w:tcPr>
          <w:p>
            <w:r>
              <w:rPr>
                <w:b w:val="false"/>
                <w:bCs w:val="false"/>
                <w:color w:val="000000"/>
                <w:sz w:val="19"/>
                <w:szCs w:val="19"/>
              </w:rPr>
              <w:t xml:space="preserve">Rozvaha, výsledovka, příloha (zjednodušený rozsah)</w:t>
            </w:r>
          </w:p>
        </w:tc>
      </w:tr>
      <w:tr>
        <w:tc>
          <w:tcPr>
            <w:tcW w:type="pct" w:w="26%"/>
            <w:tcMar>
              <w:top w:type="dxa" w:w="80"/>
              <w:left w:type="dxa" w:w="120"/>
              <w:bottom w:type="dxa" w:w="80"/>
              <w:right w:type="dxa" w:w="120"/>
            </w:tcMar>
          </w:tcPr>
          <w:p>
            <w:r>
              <w:rPr>
                <w:b w:val="false"/>
                <w:bCs w:val="false"/>
                <w:color w:val="000000"/>
                <w:sz w:val="19"/>
                <w:szCs w:val="19"/>
              </w:rPr>
              <w:t xml:space="preserve">Modul DPH (připraven)</w:t>
            </w:r>
          </w:p>
        </w:tc>
        <w:tc>
          <w:tcPr>
            <w:tcW w:type="pct" w:w="36%"/>
            <w:tcMar>
              <w:top w:type="dxa" w:w="80"/>
              <w:left w:type="dxa" w:w="120"/>
              <w:bottom w:type="dxa" w:w="80"/>
              <w:right w:type="dxa" w:w="120"/>
            </w:tcMar>
          </w:tcPr>
          <w:p>
            <w:r>
              <w:rPr>
                <w:b w:val="false"/>
                <w:bCs w:val="false"/>
                <w:color w:val="000000"/>
                <w:sz w:val="19"/>
                <w:szCs w:val="19"/>
              </w:rPr>
              <w:t xml:space="preserve">Doklady s DPH poli + přepínač plátcovství</w:t>
            </w:r>
          </w:p>
        </w:tc>
        <w:tc>
          <w:tcPr>
            <w:tcW w:type="pct" w:w="38%"/>
            <w:tcMar>
              <w:top w:type="dxa" w:w="80"/>
              <w:left w:type="dxa" w:w="120"/>
              <w:bottom w:type="dxa" w:w="80"/>
              <w:right w:type="dxa" w:w="120"/>
            </w:tcMar>
          </w:tcPr>
          <w:p>
            <w:r>
              <w:rPr>
                <w:b w:val="false"/>
                <w:bCs w:val="false"/>
                <w:color w:val="000000"/>
                <w:sz w:val="19"/>
                <w:szCs w:val="19"/>
              </w:rPr>
              <w:t xml:space="preserve">Evidence pro § 100, podklad pro přiznání a kontrolní hlášení</w:t>
            </w:r>
          </w:p>
        </w:tc>
      </w:tr>
      <w:tr>
        <w:tc>
          <w:tcPr>
            <w:tcW w:type="pct" w:w="26%"/>
            <w:tcMar>
              <w:top w:type="dxa" w:w="80"/>
              <w:left w:type="dxa" w:w="120"/>
              <w:bottom w:type="dxa" w:w="80"/>
              <w:right w:type="dxa" w:w="120"/>
            </w:tcMar>
          </w:tcPr>
          <w:p>
            <w:r>
              <w:rPr>
                <w:b w:val="false"/>
                <w:bCs w:val="false"/>
                <w:color w:val="000000"/>
                <w:sz w:val="19"/>
                <w:szCs w:val="19"/>
              </w:rPr>
              <w:t xml:space="preserve">Audit log</w:t>
            </w:r>
          </w:p>
        </w:tc>
        <w:tc>
          <w:tcPr>
            <w:tcW w:type="pct" w:w="36%"/>
            <w:tcMar>
              <w:top w:type="dxa" w:w="80"/>
              <w:left w:type="dxa" w:w="120"/>
              <w:bottom w:type="dxa" w:w="80"/>
              <w:right w:type="dxa" w:w="120"/>
            </w:tcMar>
          </w:tcPr>
          <w:p>
            <w:r>
              <w:rPr>
                <w:b w:val="false"/>
                <w:bCs w:val="false"/>
                <w:color w:val="000000"/>
                <w:sz w:val="19"/>
                <w:szCs w:val="19"/>
              </w:rPr>
              <w:t xml:space="preserve">Každá akce v systému (vytvoření, oprava, storno, přístup)</w:t>
            </w:r>
          </w:p>
        </w:tc>
        <w:tc>
          <w:tcPr>
            <w:tcW w:type="pct" w:w="38%"/>
            <w:tcMar>
              <w:top w:type="dxa" w:w="80"/>
              <w:left w:type="dxa" w:w="120"/>
              <w:bottom w:type="dxa" w:w="80"/>
              <w:right w:type="dxa" w:w="120"/>
            </w:tcMar>
          </w:tcPr>
          <w:p>
            <w:r>
              <w:rPr>
                <w:b w:val="false"/>
                <w:bCs w:val="false"/>
                <w:color w:val="000000"/>
                <w:sz w:val="19"/>
                <w:szCs w:val="19"/>
              </w:rPr>
              <w:t xml:space="preserve">Nezměnitelný chronologický záznam s identitou uživatele</w:t>
            </w:r>
          </w:p>
        </w:tc>
      </w:tr>
      <w:tr>
        <w:tc>
          <w:tcPr>
            <w:tcW w:type="pct" w:w="26%"/>
            <w:tcMar>
              <w:top w:type="dxa" w:w="80"/>
              <w:left w:type="dxa" w:w="120"/>
              <w:bottom w:type="dxa" w:w="80"/>
              <w:right w:type="dxa" w:w="120"/>
            </w:tcMar>
          </w:tcPr>
          <w:p>
            <w:r>
              <w:rPr>
                <w:b w:val="false"/>
                <w:bCs w:val="false"/>
                <w:color w:val="000000"/>
                <w:sz w:val="19"/>
                <w:szCs w:val="19"/>
              </w:rPr>
              <w:t xml:space="preserve">Archivační modul</w:t>
            </w:r>
          </w:p>
        </w:tc>
        <w:tc>
          <w:tcPr>
            <w:tcW w:type="pct" w:w="36%"/>
            <w:tcMar>
              <w:top w:type="dxa" w:w="80"/>
              <w:left w:type="dxa" w:w="120"/>
              <w:bottom w:type="dxa" w:w="80"/>
              <w:right w:type="dxa" w:w="120"/>
            </w:tcMar>
          </w:tcPr>
          <w:p>
            <w:r>
              <w:rPr>
                <w:b w:val="false"/>
                <w:bCs w:val="false"/>
                <w:color w:val="000000"/>
                <w:sz w:val="19"/>
                <w:szCs w:val="19"/>
              </w:rPr>
              <w:t xml:space="preserve">Uzavřená účetní období</w:t>
            </w:r>
          </w:p>
        </w:tc>
        <w:tc>
          <w:tcPr>
            <w:tcW w:type="pct" w:w="38%"/>
            <w:tcMar>
              <w:top w:type="dxa" w:w="80"/>
              <w:left w:type="dxa" w:w="120"/>
              <w:bottom w:type="dxa" w:w="80"/>
              <w:right w:type="dxa" w:w="120"/>
            </w:tcMar>
          </w:tcPr>
          <w:p>
            <w:r>
              <w:rPr>
                <w:b w:val="false"/>
                <w:bCs w:val="false"/>
                <w:color w:val="000000"/>
                <w:sz w:val="19"/>
                <w:szCs w:val="19"/>
              </w:rPr>
              <w:t xml:space="preserve">Dlouhodobé úložiště se lhůtami dle typu záznamu (5 / 10 / 30 let)</w:t>
            </w:r>
          </w:p>
        </w:tc>
      </w:tr>
    </w:tbl>
    <w:p>
      <w:pPr>
        <w:pStyle w:val="Heading1"/>
        <w:spacing w:after="180" w:before="420"/>
      </w:pPr>
      <w:r>
        <w:rPr>
          <w:b/>
          <w:bCs/>
          <w:color w:val="0b3d5c"/>
          <w:sz w:val="30"/>
          <w:szCs w:val="30"/>
        </w:rPr>
        <w:t xml:space="preserve">5. Moduly — detailní popis</w:t>
      </w:r>
    </w:p>
    <w:p>
      <w:pPr>
        <w:pStyle w:val="Heading2"/>
        <w:spacing w:after="120" w:before="280"/>
      </w:pPr>
      <w:r>
        <w:rPr>
          <w:b/>
          <w:bCs/>
          <w:color w:val="0b3d5c"/>
          <w:sz w:val="24"/>
          <w:szCs w:val="24"/>
        </w:rPr>
        <w:t xml:space="preserve">5.1 Modul Doklady</w:t>
      </w:r>
    </w:p>
    <w:p>
      <w:pPr>
        <w:spacing w:after="140" w:line="300"/>
      </w:pPr>
      <w:r>
        <w:rPr>
          <w:sz w:val="21"/>
          <w:szCs w:val="21"/>
        </w:rPr>
        <w:t xml:space="preserve">Centrální vstupní bod veškerých účetních případů. Typy dokladů: vydaná faktura, přijatá faktura, pokladní příjmový/výdajový doklad, bankovní výpis (import řádků), interní doklad (např. odpisy, kurzové rozdíly).</w:t>
      </w:r>
    </w:p>
    <w:p>
      <w:pPr>
        <w:pStyle w:val="ListParagraph"/>
        <w:numPr>
          <w:ilvl w:val="0"/>
          <w:numId w:val="2"/>
        </w:numPr>
        <w:spacing w:after="80" w:line="290"/>
      </w:pPr>
      <w:r>
        <w:rPr>
          <w:b/>
          <w:bCs/>
          <w:sz w:val="21"/>
          <w:szCs w:val="21"/>
        </w:rPr>
        <w:t xml:space="preserve">Povinná pole (§ 11 ZoÚ): </w:t>
      </w:r>
      <w:r>
        <w:rPr>
          <w:sz w:val="21"/>
          <w:szCs w:val="21"/>
        </w:rPr>
        <w:t xml:space="preserve">označení dokladu, číslo v nepřerušené řadě, účastníci, částka, datum vyhotovení, datum uskutečnění, odpovědná osoba za případ, odpovědná osoba za zaúčtování.</w:t>
      </w:r>
    </w:p>
    <w:p>
      <w:pPr>
        <w:pStyle w:val="ListParagraph"/>
        <w:numPr>
          <w:ilvl w:val="0"/>
          <w:numId w:val="2"/>
        </w:numPr>
        <w:spacing w:after="80" w:line="290"/>
      </w:pPr>
      <w:r>
        <w:rPr>
          <w:b/>
          <w:bCs/>
          <w:sz w:val="21"/>
          <w:szCs w:val="21"/>
        </w:rPr>
        <w:t xml:space="preserve">DPH pole (neaktivní dokud firma není plátce): </w:t>
      </w:r>
      <w:r>
        <w:rPr>
          <w:sz w:val="21"/>
          <w:szCs w:val="21"/>
        </w:rPr>
        <w:t xml:space="preserve">sazba, základ daně, výše daně, DUZP, DIČ protistrany (povinné nad 10 000 Kč po aktivaci DPH).</w:t>
      </w:r>
    </w:p>
    <w:p>
      <w:pPr>
        <w:pStyle w:val="ListParagraph"/>
        <w:numPr>
          <w:ilvl w:val="0"/>
          <w:numId w:val="2"/>
        </w:numPr>
        <w:spacing w:after="80" w:line="290"/>
      </w:pPr>
      <w:r>
        <w:rPr>
          <w:b/>
          <w:bCs/>
          <w:sz w:val="21"/>
          <w:szCs w:val="21"/>
        </w:rPr>
        <w:t xml:space="preserve">Číslování: </w:t>
      </w:r>
      <w:r>
        <w:rPr>
          <w:sz w:val="21"/>
          <w:szCs w:val="21"/>
        </w:rPr>
        <w:t xml:space="preserve">samostatná číselná řada pro každý typ dokladu a rok, generovaná systémem, bez možnosti ruční editace existujícího čísla.</w:t>
      </w:r>
    </w:p>
    <w:p>
      <w:pPr>
        <w:pStyle w:val="ListParagraph"/>
        <w:numPr>
          <w:ilvl w:val="0"/>
          <w:numId w:val="2"/>
        </w:numPr>
        <w:spacing w:after="80" w:line="290"/>
      </w:pPr>
      <w:r>
        <w:rPr>
          <w:b/>
          <w:bCs/>
          <w:sz w:val="21"/>
          <w:szCs w:val="21"/>
        </w:rPr>
        <w:t xml:space="preserve">Přílohy: </w:t>
      </w:r>
      <w:r>
        <w:rPr>
          <w:sz w:val="21"/>
          <w:szCs w:val="21"/>
        </w:rPr>
        <w:t xml:space="preserve">sken/PDF originálu dokladu, verzovaný spolu s dokladem.</w:t>
      </w:r>
    </w:p>
    <w:p>
      <w:pPr>
        <w:pStyle w:val="Heading2"/>
        <w:spacing w:after="120" w:before="280"/>
      </w:pPr>
      <w:r>
        <w:rPr>
          <w:b/>
          <w:bCs/>
          <w:color w:val="0b3d5c"/>
          <w:sz w:val="24"/>
          <w:szCs w:val="24"/>
        </w:rPr>
        <w:t xml:space="preserve">5.2 Modul Účetní deník a hlavní kniha</w:t>
      </w:r>
    </w:p>
    <w:p>
      <w:pPr>
        <w:spacing w:after="140" w:line="300"/>
      </w:pPr>
      <w:r>
        <w:rPr>
          <w:sz w:val="21"/>
          <w:szCs w:val="21"/>
        </w:rPr>
        <w:t xml:space="preserve">Po schválení dokladu zaúčtovacího návrhu (predefinované kontace pro opakující se případy, např. pronájem klubu → 518/321) vzniká zápis v účetním deníku.</w:t>
      </w:r>
    </w:p>
    <w:p>
      <w:pPr>
        <w:pStyle w:val="ListParagraph"/>
        <w:numPr>
          <w:ilvl w:val="0"/>
          <w:numId w:val="2"/>
        </w:numPr>
        <w:spacing w:after="80" w:line="290"/>
      </w:pPr>
      <w:r>
        <w:rPr>
          <w:sz w:val="21"/>
          <w:szCs w:val="21"/>
        </w:rPr>
        <w:t xml:space="preserve">Účetní deník: chronologický, needitovatelný seznam všech zápisů</w:t>
      </w:r>
    </w:p>
    <w:p>
      <w:pPr>
        <w:pStyle w:val="ListParagraph"/>
        <w:numPr>
          <w:ilvl w:val="0"/>
          <w:numId w:val="2"/>
        </w:numPr>
        <w:spacing w:after="80" w:line="290"/>
      </w:pPr>
      <w:r>
        <w:rPr>
          <w:sz w:val="21"/>
          <w:szCs w:val="21"/>
        </w:rPr>
        <w:t xml:space="preserve">Hlavní kniha: automaticky odvozený pohled — zápisy seskupené podle účtu s průběžným zůstatkem</w:t>
      </w:r>
    </w:p>
    <w:p>
      <w:pPr>
        <w:pStyle w:val="ListParagraph"/>
        <w:numPr>
          <w:ilvl w:val="0"/>
          <w:numId w:val="2"/>
        </w:numPr>
        <w:spacing w:after="80" w:line="290"/>
      </w:pPr>
      <w:r>
        <w:rPr>
          <w:sz w:val="21"/>
          <w:szCs w:val="21"/>
        </w:rPr>
        <w:t xml:space="preserve">Předkontace: uživatel (nebo účetní při zaškolování) definuje typické účetní případy (šablony) pro rychlé a konzistentní zaúčtování opakujících se transakcí (pronájmy, honoráře, ozvučení, vstupenky)</w:t>
      </w:r>
    </w:p>
    <w:p>
      <w:pPr>
        <w:pStyle w:val="ListParagraph"/>
        <w:numPr>
          <w:ilvl w:val="0"/>
          <w:numId w:val="2"/>
        </w:numPr>
        <w:spacing w:after="80" w:line="290"/>
      </w:pPr>
      <w:r>
        <w:rPr>
          <w:sz w:val="21"/>
          <w:szCs w:val="21"/>
        </w:rPr>
        <w:t xml:space="preserve">Storno a opravné zápisy: viz architektonický princip v kapitole 4.2</w:t>
      </w:r>
    </w:p>
    <w:p>
      <w:pPr>
        <w:pStyle w:val="Heading2"/>
        <w:spacing w:after="120" w:before="280"/>
      </w:pPr>
      <w:r>
        <w:rPr>
          <w:b/>
          <w:bCs/>
          <w:color w:val="0b3d5c"/>
          <w:sz w:val="24"/>
          <w:szCs w:val="24"/>
        </w:rPr>
        <w:t xml:space="preserve">5.3 Modul Účtový rozvrh</w:t>
      </w:r>
    </w:p>
    <w:p>
      <w:pPr>
        <w:spacing w:after="140" w:line="300"/>
      </w:pPr>
      <w:r>
        <w:rPr>
          <w:sz w:val="21"/>
          <w:szCs w:val="21"/>
        </w:rPr>
        <w:t xml:space="preserve">Konfigurace syntetických a analytických účtů podle směrné účtové osnovy (příloha č. 4 vyhlášky 500/2002 Sb.). Pro Globaal Elevate doporučený startovní rozvrh:</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14%"/>
            <w:shd w:fill="0b3d5c" w:val="clear"/>
            <w:tcMar>
              <w:top w:type="dxa" w:w="80"/>
              <w:left w:type="dxa" w:w="120"/>
              <w:bottom w:type="dxa" w:w="80"/>
              <w:right w:type="dxa" w:w="120"/>
            </w:tcMar>
          </w:tcPr>
          <w:p>
            <w:r>
              <w:rPr>
                <w:b/>
                <w:bCs/>
                <w:color w:val="FFFFFF"/>
                <w:sz w:val="19"/>
                <w:szCs w:val="19"/>
              </w:rPr>
              <w:t xml:space="preserve">Účet</w:t>
            </w:r>
          </w:p>
        </w:tc>
        <w:tc>
          <w:tcPr>
            <w:tcW w:type="pct" w:w="42%"/>
            <w:shd w:fill="0b3d5c" w:val="clear"/>
            <w:tcMar>
              <w:top w:type="dxa" w:w="80"/>
              <w:left w:type="dxa" w:w="120"/>
              <w:bottom w:type="dxa" w:w="80"/>
              <w:right w:type="dxa" w:w="120"/>
            </w:tcMar>
          </w:tcPr>
          <w:p>
            <w:r>
              <w:rPr>
                <w:b/>
                <w:bCs/>
                <w:color w:val="FFFFFF"/>
                <w:sz w:val="19"/>
                <w:szCs w:val="19"/>
              </w:rPr>
              <w:t xml:space="preserve">Název</w:t>
            </w:r>
          </w:p>
        </w:tc>
        <w:tc>
          <w:tcPr>
            <w:tcW w:type="pct" w:w="44%"/>
            <w:shd w:fill="0b3d5c" w:val="clear"/>
            <w:tcMar>
              <w:top w:type="dxa" w:w="80"/>
              <w:left w:type="dxa" w:w="120"/>
              <w:bottom w:type="dxa" w:w="80"/>
              <w:right w:type="dxa" w:w="120"/>
            </w:tcMar>
          </w:tcPr>
          <w:p>
            <w:r>
              <w:rPr>
                <w:b/>
                <w:bCs/>
                <w:color w:val="FFFFFF"/>
                <w:sz w:val="19"/>
                <w:szCs w:val="19"/>
              </w:rPr>
              <w:t xml:space="preserve">Použití</w:t>
            </w:r>
          </w:p>
        </w:tc>
      </w:tr>
      <w:tr>
        <w:tc>
          <w:tcPr>
            <w:tcW w:type="pct" w:w="14%"/>
            <w:tcMar>
              <w:top w:type="dxa" w:w="80"/>
              <w:left w:type="dxa" w:w="120"/>
              <w:bottom w:type="dxa" w:w="80"/>
              <w:right w:type="dxa" w:w="120"/>
            </w:tcMar>
          </w:tcPr>
          <w:p>
            <w:r>
              <w:rPr>
                <w:b w:val="false"/>
                <w:bCs w:val="false"/>
                <w:color w:val="000000"/>
                <w:sz w:val="19"/>
                <w:szCs w:val="19"/>
              </w:rPr>
              <w:t xml:space="preserve">211</w:t>
            </w:r>
          </w:p>
        </w:tc>
        <w:tc>
          <w:tcPr>
            <w:tcW w:type="pct" w:w="42%"/>
            <w:tcMar>
              <w:top w:type="dxa" w:w="80"/>
              <w:left w:type="dxa" w:w="120"/>
              <w:bottom w:type="dxa" w:w="80"/>
              <w:right w:type="dxa" w:w="120"/>
            </w:tcMar>
          </w:tcPr>
          <w:p>
            <w:r>
              <w:rPr>
                <w:b w:val="false"/>
                <w:bCs w:val="false"/>
                <w:color w:val="000000"/>
                <w:sz w:val="19"/>
                <w:szCs w:val="19"/>
              </w:rPr>
              <w:t xml:space="preserve">Pokladna</w:t>
            </w:r>
          </w:p>
        </w:tc>
        <w:tc>
          <w:tcPr>
            <w:tcW w:type="pct" w:w="44%"/>
            <w:tcMar>
              <w:top w:type="dxa" w:w="80"/>
              <w:left w:type="dxa" w:w="120"/>
              <w:bottom w:type="dxa" w:w="80"/>
              <w:right w:type="dxa" w:w="120"/>
            </w:tcMar>
          </w:tcPr>
          <w:p>
            <w:r>
              <w:rPr>
                <w:b w:val="false"/>
                <w:bCs w:val="false"/>
                <w:color w:val="000000"/>
                <w:sz w:val="19"/>
                <w:szCs w:val="19"/>
              </w:rPr>
              <w:t xml:space="preserve">Hotovostní platby (honoráře DJ, zvukařům)</w:t>
            </w:r>
          </w:p>
        </w:tc>
      </w:tr>
      <w:tr>
        <w:tc>
          <w:tcPr>
            <w:tcW w:type="pct" w:w="14%"/>
            <w:tcMar>
              <w:top w:type="dxa" w:w="80"/>
              <w:left w:type="dxa" w:w="120"/>
              <w:bottom w:type="dxa" w:w="80"/>
              <w:right w:type="dxa" w:w="120"/>
            </w:tcMar>
          </w:tcPr>
          <w:p>
            <w:r>
              <w:rPr>
                <w:b w:val="false"/>
                <w:bCs w:val="false"/>
                <w:color w:val="000000"/>
                <w:sz w:val="19"/>
                <w:szCs w:val="19"/>
              </w:rPr>
              <w:t xml:space="preserve">221</w:t>
            </w:r>
          </w:p>
        </w:tc>
        <w:tc>
          <w:tcPr>
            <w:tcW w:type="pct" w:w="42%"/>
            <w:tcMar>
              <w:top w:type="dxa" w:w="80"/>
              <w:left w:type="dxa" w:w="120"/>
              <w:bottom w:type="dxa" w:w="80"/>
              <w:right w:type="dxa" w:w="120"/>
            </w:tcMar>
          </w:tcPr>
          <w:p>
            <w:r>
              <w:rPr>
                <w:b w:val="false"/>
                <w:bCs w:val="false"/>
                <w:color w:val="000000"/>
                <w:sz w:val="19"/>
                <w:szCs w:val="19"/>
              </w:rPr>
              <w:t xml:space="preserve">Bankovní účet</w:t>
            </w:r>
          </w:p>
        </w:tc>
        <w:tc>
          <w:tcPr>
            <w:tcW w:type="pct" w:w="44%"/>
            <w:tcMar>
              <w:top w:type="dxa" w:w="80"/>
              <w:left w:type="dxa" w:w="120"/>
              <w:bottom w:type="dxa" w:w="80"/>
              <w:right w:type="dxa" w:w="120"/>
            </w:tcMar>
          </w:tcPr>
          <w:p>
            <w:r>
              <w:rPr>
                <w:b w:val="false"/>
                <w:bCs w:val="false"/>
                <w:color w:val="000000"/>
                <w:sz w:val="19"/>
                <w:szCs w:val="19"/>
              </w:rPr>
              <w:t xml:space="preserve">Veškeré bankovní transakce</w:t>
            </w:r>
          </w:p>
        </w:tc>
      </w:tr>
      <w:tr>
        <w:tc>
          <w:tcPr>
            <w:tcW w:type="pct" w:w="14%"/>
            <w:tcMar>
              <w:top w:type="dxa" w:w="80"/>
              <w:left w:type="dxa" w:w="120"/>
              <w:bottom w:type="dxa" w:w="80"/>
              <w:right w:type="dxa" w:w="120"/>
            </w:tcMar>
          </w:tcPr>
          <w:p>
            <w:r>
              <w:rPr>
                <w:b w:val="false"/>
                <w:bCs w:val="false"/>
                <w:color w:val="000000"/>
                <w:sz w:val="19"/>
                <w:szCs w:val="19"/>
              </w:rPr>
              <w:t xml:space="preserve">311</w:t>
            </w:r>
          </w:p>
        </w:tc>
        <w:tc>
          <w:tcPr>
            <w:tcW w:type="pct" w:w="42%"/>
            <w:tcMar>
              <w:top w:type="dxa" w:w="80"/>
              <w:left w:type="dxa" w:w="120"/>
              <w:bottom w:type="dxa" w:w="80"/>
              <w:right w:type="dxa" w:w="120"/>
            </w:tcMar>
          </w:tcPr>
          <w:p>
            <w:r>
              <w:rPr>
                <w:b w:val="false"/>
                <w:bCs w:val="false"/>
                <w:color w:val="000000"/>
                <w:sz w:val="19"/>
                <w:szCs w:val="19"/>
              </w:rPr>
              <w:t xml:space="preserve">Odběratelé</w:t>
            </w:r>
          </w:p>
        </w:tc>
        <w:tc>
          <w:tcPr>
            <w:tcW w:type="pct" w:w="44%"/>
            <w:tcMar>
              <w:top w:type="dxa" w:w="80"/>
              <w:left w:type="dxa" w:w="120"/>
              <w:bottom w:type="dxa" w:w="80"/>
              <w:right w:type="dxa" w:w="120"/>
            </w:tcMar>
          </w:tcPr>
          <w:p>
            <w:r>
              <w:rPr>
                <w:b w:val="false"/>
                <w:bCs w:val="false"/>
                <w:color w:val="000000"/>
                <w:sz w:val="19"/>
                <w:szCs w:val="19"/>
              </w:rPr>
              <w:t xml:space="preserve">Pohledávky za vstupenky, sponzoring</w:t>
            </w:r>
          </w:p>
        </w:tc>
      </w:tr>
      <w:tr>
        <w:tc>
          <w:tcPr>
            <w:tcW w:type="pct" w:w="14%"/>
            <w:tcMar>
              <w:top w:type="dxa" w:w="80"/>
              <w:left w:type="dxa" w:w="120"/>
              <w:bottom w:type="dxa" w:w="80"/>
              <w:right w:type="dxa" w:w="120"/>
            </w:tcMar>
          </w:tcPr>
          <w:p>
            <w:r>
              <w:rPr>
                <w:b w:val="false"/>
                <w:bCs w:val="false"/>
                <w:color w:val="000000"/>
                <w:sz w:val="19"/>
                <w:szCs w:val="19"/>
              </w:rPr>
              <w:t xml:space="preserve">321</w:t>
            </w:r>
          </w:p>
        </w:tc>
        <w:tc>
          <w:tcPr>
            <w:tcW w:type="pct" w:w="42%"/>
            <w:tcMar>
              <w:top w:type="dxa" w:w="80"/>
              <w:left w:type="dxa" w:w="120"/>
              <w:bottom w:type="dxa" w:w="80"/>
              <w:right w:type="dxa" w:w="120"/>
            </w:tcMar>
          </w:tcPr>
          <w:p>
            <w:r>
              <w:rPr>
                <w:b w:val="false"/>
                <w:bCs w:val="false"/>
                <w:color w:val="000000"/>
                <w:sz w:val="19"/>
                <w:szCs w:val="19"/>
              </w:rPr>
              <w:t xml:space="preserve">Dodavatelé</w:t>
            </w:r>
          </w:p>
        </w:tc>
        <w:tc>
          <w:tcPr>
            <w:tcW w:type="pct" w:w="44%"/>
            <w:tcMar>
              <w:top w:type="dxa" w:w="80"/>
              <w:left w:type="dxa" w:w="120"/>
              <w:bottom w:type="dxa" w:w="80"/>
              <w:right w:type="dxa" w:w="120"/>
            </w:tcMar>
          </w:tcPr>
          <w:p>
            <w:r>
              <w:rPr>
                <w:b w:val="false"/>
                <w:bCs w:val="false"/>
                <w:color w:val="000000"/>
                <w:sz w:val="19"/>
                <w:szCs w:val="19"/>
              </w:rPr>
              <w:t xml:space="preserve">Závazky za pronájmy, techniku, služby</w:t>
            </w:r>
          </w:p>
        </w:tc>
      </w:tr>
      <w:tr>
        <w:tc>
          <w:tcPr>
            <w:tcW w:type="pct" w:w="14%"/>
            <w:tcMar>
              <w:top w:type="dxa" w:w="80"/>
              <w:left w:type="dxa" w:w="120"/>
              <w:bottom w:type="dxa" w:w="80"/>
              <w:right w:type="dxa" w:w="120"/>
            </w:tcMar>
          </w:tcPr>
          <w:p>
            <w:r>
              <w:rPr>
                <w:b w:val="false"/>
                <w:bCs w:val="false"/>
                <w:color w:val="000000"/>
                <w:sz w:val="19"/>
                <w:szCs w:val="19"/>
              </w:rPr>
              <w:t xml:space="preserve">325</w:t>
            </w:r>
          </w:p>
        </w:tc>
        <w:tc>
          <w:tcPr>
            <w:tcW w:type="pct" w:w="42%"/>
            <w:tcMar>
              <w:top w:type="dxa" w:w="80"/>
              <w:left w:type="dxa" w:w="120"/>
              <w:bottom w:type="dxa" w:w="80"/>
              <w:right w:type="dxa" w:w="120"/>
            </w:tcMar>
          </w:tcPr>
          <w:p>
            <w:r>
              <w:rPr>
                <w:b w:val="false"/>
                <w:bCs w:val="false"/>
                <w:color w:val="000000"/>
                <w:sz w:val="19"/>
                <w:szCs w:val="19"/>
              </w:rPr>
              <w:t xml:space="preserve">Ostatní závazky</w:t>
            </w:r>
          </w:p>
        </w:tc>
        <w:tc>
          <w:tcPr>
            <w:tcW w:type="pct" w:w="44%"/>
            <w:tcMar>
              <w:top w:type="dxa" w:w="80"/>
              <w:left w:type="dxa" w:w="120"/>
              <w:bottom w:type="dxa" w:w="80"/>
              <w:right w:type="dxa" w:w="120"/>
            </w:tcMar>
          </w:tcPr>
          <w:p>
            <w:r>
              <w:rPr>
                <w:b w:val="false"/>
                <w:bCs w:val="false"/>
                <w:color w:val="000000"/>
                <w:sz w:val="19"/>
                <w:szCs w:val="19"/>
              </w:rPr>
              <w:t xml:space="preserve">Honoráře umělcům bez faktury</w:t>
            </w:r>
          </w:p>
        </w:tc>
      </w:tr>
      <w:tr>
        <w:tc>
          <w:tcPr>
            <w:tcW w:type="pct" w:w="14%"/>
            <w:tcMar>
              <w:top w:type="dxa" w:w="80"/>
              <w:left w:type="dxa" w:w="120"/>
              <w:bottom w:type="dxa" w:w="80"/>
              <w:right w:type="dxa" w:w="120"/>
            </w:tcMar>
          </w:tcPr>
          <w:p>
            <w:r>
              <w:rPr>
                <w:b w:val="false"/>
                <w:bCs w:val="false"/>
                <w:color w:val="000000"/>
                <w:sz w:val="19"/>
                <w:szCs w:val="19"/>
              </w:rPr>
              <w:t xml:space="preserve">343</w:t>
            </w:r>
          </w:p>
        </w:tc>
        <w:tc>
          <w:tcPr>
            <w:tcW w:type="pct" w:w="42%"/>
            <w:tcMar>
              <w:top w:type="dxa" w:w="80"/>
              <w:left w:type="dxa" w:w="120"/>
              <w:bottom w:type="dxa" w:w="80"/>
              <w:right w:type="dxa" w:w="120"/>
            </w:tcMar>
          </w:tcPr>
          <w:p>
            <w:r>
              <w:rPr>
                <w:b w:val="false"/>
                <w:bCs w:val="false"/>
                <w:color w:val="000000"/>
                <w:sz w:val="19"/>
                <w:szCs w:val="19"/>
              </w:rPr>
              <w:t xml:space="preserve">DPH (aktivuje se s registrací)</w:t>
            </w:r>
          </w:p>
        </w:tc>
        <w:tc>
          <w:tcPr>
            <w:tcW w:type="pct" w:w="44%"/>
            <w:tcMar>
              <w:top w:type="dxa" w:w="80"/>
              <w:left w:type="dxa" w:w="120"/>
              <w:bottom w:type="dxa" w:w="80"/>
              <w:right w:type="dxa" w:w="120"/>
            </w:tcMar>
          </w:tcPr>
          <w:p>
            <w:r>
              <w:rPr>
                <w:b w:val="false"/>
                <w:bCs w:val="false"/>
                <w:color w:val="000000"/>
                <w:sz w:val="19"/>
                <w:szCs w:val="19"/>
              </w:rPr>
              <w:t xml:space="preserve">Zúčtování daně na vstupu/výstupu</w:t>
            </w:r>
          </w:p>
        </w:tc>
      </w:tr>
      <w:tr>
        <w:tc>
          <w:tcPr>
            <w:tcW w:type="pct" w:w="14%"/>
            <w:tcMar>
              <w:top w:type="dxa" w:w="80"/>
              <w:left w:type="dxa" w:w="120"/>
              <w:bottom w:type="dxa" w:w="80"/>
              <w:right w:type="dxa" w:w="120"/>
            </w:tcMar>
          </w:tcPr>
          <w:p>
            <w:r>
              <w:rPr>
                <w:b w:val="false"/>
                <w:bCs w:val="false"/>
                <w:color w:val="000000"/>
                <w:sz w:val="19"/>
                <w:szCs w:val="19"/>
              </w:rPr>
              <w:t xml:space="preserve">518</w:t>
            </w:r>
          </w:p>
        </w:tc>
        <w:tc>
          <w:tcPr>
            <w:tcW w:type="pct" w:w="42%"/>
            <w:tcMar>
              <w:top w:type="dxa" w:w="80"/>
              <w:left w:type="dxa" w:w="120"/>
              <w:bottom w:type="dxa" w:w="80"/>
              <w:right w:type="dxa" w:w="120"/>
            </w:tcMar>
          </w:tcPr>
          <w:p>
            <w:r>
              <w:rPr>
                <w:b w:val="false"/>
                <w:bCs w:val="false"/>
                <w:color w:val="000000"/>
                <w:sz w:val="19"/>
                <w:szCs w:val="19"/>
              </w:rPr>
              <w:t xml:space="preserve">Ostatní služby</w:t>
            </w:r>
          </w:p>
        </w:tc>
        <w:tc>
          <w:tcPr>
            <w:tcW w:type="pct" w:w="44%"/>
            <w:tcMar>
              <w:top w:type="dxa" w:w="80"/>
              <w:left w:type="dxa" w:w="120"/>
              <w:bottom w:type="dxa" w:w="80"/>
              <w:right w:type="dxa" w:w="120"/>
            </w:tcMar>
          </w:tcPr>
          <w:p>
            <w:r>
              <w:rPr>
                <w:b w:val="false"/>
                <w:bCs w:val="false"/>
                <w:color w:val="000000"/>
                <w:sz w:val="19"/>
                <w:szCs w:val="19"/>
              </w:rPr>
              <w:t xml:space="preserve">Pronájmy, technika, právní/účetní služby</w:t>
            </w:r>
          </w:p>
        </w:tc>
      </w:tr>
      <w:tr>
        <w:tc>
          <w:tcPr>
            <w:tcW w:type="pct" w:w="14%"/>
            <w:tcMar>
              <w:top w:type="dxa" w:w="80"/>
              <w:left w:type="dxa" w:w="120"/>
              <w:bottom w:type="dxa" w:w="80"/>
              <w:right w:type="dxa" w:w="120"/>
            </w:tcMar>
          </w:tcPr>
          <w:p>
            <w:r>
              <w:rPr>
                <w:b w:val="false"/>
                <w:bCs w:val="false"/>
                <w:color w:val="000000"/>
                <w:sz w:val="19"/>
                <w:szCs w:val="19"/>
              </w:rPr>
              <w:t xml:space="preserve">521</w:t>
            </w:r>
          </w:p>
        </w:tc>
        <w:tc>
          <w:tcPr>
            <w:tcW w:type="pct" w:w="42%"/>
            <w:tcMar>
              <w:top w:type="dxa" w:w="80"/>
              <w:left w:type="dxa" w:w="120"/>
              <w:bottom w:type="dxa" w:w="80"/>
              <w:right w:type="dxa" w:w="120"/>
            </w:tcMar>
          </w:tcPr>
          <w:p>
            <w:r>
              <w:rPr>
                <w:b w:val="false"/>
                <w:bCs w:val="false"/>
                <w:color w:val="000000"/>
                <w:sz w:val="19"/>
                <w:szCs w:val="19"/>
              </w:rPr>
              <w:t xml:space="preserve">Mzdové náklady (mimo rozsah — jen rezerva pro budoucnost)</w:t>
            </w:r>
          </w:p>
        </w:tc>
        <w:tc>
          <w:tcPr>
            <w:tcW w:type="pct" w:w="44%"/>
            <w:tcMar>
              <w:top w:type="dxa" w:w="80"/>
              <w:left w:type="dxa" w:w="120"/>
              <w:bottom w:type="dxa" w:w="80"/>
              <w:right w:type="dxa" w:w="120"/>
            </w:tcMar>
          </w:tcPr>
          <w:p>
            <w:r>
              <w:rPr>
                <w:b w:val="false"/>
                <w:bCs w:val="false"/>
                <w:color w:val="000000"/>
                <w:sz w:val="19"/>
                <w:szCs w:val="19"/>
              </w:rPr>
              <w:t xml:space="preserve">—</w:t>
            </w:r>
          </w:p>
        </w:tc>
      </w:tr>
      <w:tr>
        <w:tc>
          <w:tcPr>
            <w:tcW w:type="pct" w:w="14%"/>
            <w:tcMar>
              <w:top w:type="dxa" w:w="80"/>
              <w:left w:type="dxa" w:w="120"/>
              <w:bottom w:type="dxa" w:w="80"/>
              <w:right w:type="dxa" w:w="120"/>
            </w:tcMar>
          </w:tcPr>
          <w:p>
            <w:r>
              <w:rPr>
                <w:b w:val="false"/>
                <w:bCs w:val="false"/>
                <w:color w:val="000000"/>
                <w:sz w:val="19"/>
                <w:szCs w:val="19"/>
              </w:rPr>
              <w:t xml:space="preserve">602</w:t>
            </w:r>
          </w:p>
        </w:tc>
        <w:tc>
          <w:tcPr>
            <w:tcW w:type="pct" w:w="42%"/>
            <w:tcMar>
              <w:top w:type="dxa" w:w="80"/>
              <w:left w:type="dxa" w:w="120"/>
              <w:bottom w:type="dxa" w:w="80"/>
              <w:right w:type="dxa" w:w="120"/>
            </w:tcMar>
          </w:tcPr>
          <w:p>
            <w:r>
              <w:rPr>
                <w:b w:val="false"/>
                <w:bCs w:val="false"/>
                <w:color w:val="000000"/>
                <w:sz w:val="19"/>
                <w:szCs w:val="19"/>
              </w:rPr>
              <w:t xml:space="preserve">Tržby z prodeje služeb</w:t>
            </w:r>
          </w:p>
        </w:tc>
        <w:tc>
          <w:tcPr>
            <w:tcW w:type="pct" w:w="44%"/>
            <w:tcMar>
              <w:top w:type="dxa" w:w="80"/>
              <w:left w:type="dxa" w:w="120"/>
              <w:bottom w:type="dxa" w:w="80"/>
              <w:right w:type="dxa" w:w="120"/>
            </w:tcMar>
          </w:tcPr>
          <w:p>
            <w:r>
              <w:rPr>
                <w:b w:val="false"/>
                <w:bCs w:val="false"/>
                <w:color w:val="000000"/>
                <w:sz w:val="19"/>
                <w:szCs w:val="19"/>
              </w:rPr>
              <w:t xml:space="preserve">Vstupenky, sponzoring, produkční služby</w:t>
            </w:r>
          </w:p>
        </w:tc>
      </w:tr>
      <w:tr>
        <w:tc>
          <w:tcPr>
            <w:tcW w:type="pct" w:w="14%"/>
            <w:tcMar>
              <w:top w:type="dxa" w:w="80"/>
              <w:left w:type="dxa" w:w="120"/>
              <w:bottom w:type="dxa" w:w="80"/>
              <w:right w:type="dxa" w:w="120"/>
            </w:tcMar>
          </w:tcPr>
          <w:p>
            <w:r>
              <w:rPr>
                <w:b w:val="false"/>
                <w:bCs w:val="false"/>
                <w:color w:val="000000"/>
                <w:sz w:val="19"/>
                <w:szCs w:val="19"/>
              </w:rPr>
              <w:t xml:space="preserve">531</w:t>
            </w:r>
          </w:p>
        </w:tc>
        <w:tc>
          <w:tcPr>
            <w:tcW w:type="pct" w:w="42%"/>
            <w:tcMar>
              <w:top w:type="dxa" w:w="80"/>
              <w:left w:type="dxa" w:w="120"/>
              <w:bottom w:type="dxa" w:w="80"/>
              <w:right w:type="dxa" w:w="120"/>
            </w:tcMar>
          </w:tcPr>
          <w:p>
            <w:r>
              <w:rPr>
                <w:b w:val="false"/>
                <w:bCs w:val="false"/>
                <w:color w:val="000000"/>
                <w:sz w:val="19"/>
                <w:szCs w:val="19"/>
              </w:rPr>
              <w:t xml:space="preserve">Daně a poplatky</w:t>
            </w:r>
          </w:p>
        </w:tc>
        <w:tc>
          <w:tcPr>
            <w:tcW w:type="pct" w:w="44%"/>
            <w:tcMar>
              <w:top w:type="dxa" w:w="80"/>
              <w:left w:type="dxa" w:w="120"/>
              <w:bottom w:type="dxa" w:w="80"/>
              <w:right w:type="dxa" w:w="120"/>
            </w:tcMar>
          </w:tcPr>
          <w:p>
            <w:r>
              <w:rPr>
                <w:b w:val="false"/>
                <w:bCs w:val="false"/>
                <w:color w:val="000000"/>
                <w:sz w:val="19"/>
                <w:szCs w:val="19"/>
              </w:rPr>
              <w:t xml:space="preserve">Správní poplatky, OSA</w:t>
            </w:r>
          </w:p>
        </w:tc>
      </w:tr>
    </w:tbl>
    <w:p>
      <w:pPr>
        <w:pBdr>
          <w:left w:val="single" w:color="0b3d5c" w:sz="24" w:space="8"/>
        </w:pBdr>
        <w:shd w:fill="f2f2f2" w:val="clear"/>
        <w:spacing w:after="200" w:before="100" w:line="280"/>
        <w:ind w:left="120"/>
      </w:pPr>
      <w:r>
        <w:rPr>
          <w:i/>
          <w:iCs/>
          <w:color w:val="555555"/>
          <w:sz w:val="20"/>
          <w:szCs w:val="20"/>
        </w:rPr>
        <w:t xml:space="preserve">Analytické členění (např. 518.NIKTENDO, 518.3LFEST) doporučujeme zavést od začátku — umožní to sledovat ziskovost jednotlivých akcí odděleně, aniž by to porušovalo povinnou strukturu syntetických účtů.</w:t>
      </w:r>
    </w:p>
    <w:p>
      <w:pPr>
        <w:pStyle w:val="Heading2"/>
        <w:spacing w:after="120" w:before="280"/>
      </w:pPr>
      <w:r>
        <w:rPr>
          <w:b/>
          <w:bCs/>
          <w:color w:val="0b3d5c"/>
          <w:sz w:val="24"/>
          <w:szCs w:val="24"/>
        </w:rPr>
        <w:t xml:space="preserve">5.4 Modul Banka a pokladna</w:t>
      </w:r>
    </w:p>
    <w:p>
      <w:pPr>
        <w:pStyle w:val="ListParagraph"/>
        <w:numPr>
          <w:ilvl w:val="0"/>
          <w:numId w:val="2"/>
        </w:numPr>
        <w:spacing w:after="80" w:line="290"/>
      </w:pPr>
      <w:r>
        <w:rPr>
          <w:sz w:val="21"/>
          <w:szCs w:val="21"/>
        </w:rPr>
        <w:t xml:space="preserve">Import bankovního výpisu (ruční zadání nebo strukturovaný soubor) a párování řádků s vystavenými/přijatými doklady</w:t>
      </w:r>
    </w:p>
    <w:p>
      <w:pPr>
        <w:pStyle w:val="ListParagraph"/>
        <w:numPr>
          <w:ilvl w:val="0"/>
          <w:numId w:val="2"/>
        </w:numPr>
        <w:spacing w:after="80" w:line="290"/>
      </w:pPr>
      <w:r>
        <w:rPr>
          <w:sz w:val="21"/>
          <w:szCs w:val="21"/>
        </w:rPr>
        <w:t xml:space="preserve">Pokladní kniha s průběžným zůstatkem — každá hotovostní transakce jako samostatný, číslovaný doklad</w:t>
      </w:r>
    </w:p>
    <w:p>
      <w:pPr>
        <w:pStyle w:val="ListParagraph"/>
        <w:numPr>
          <w:ilvl w:val="0"/>
          <w:numId w:val="2"/>
        </w:numPr>
        <w:spacing w:after="80" w:line="290"/>
      </w:pPr>
      <w:r>
        <w:rPr>
          <w:sz w:val="21"/>
          <w:szCs w:val="21"/>
        </w:rPr>
        <w:t xml:space="preserve">U hotovostních plateb umělcům: povinné pole identifikace fyzické osoby (jméno, adresa, případně rodné číslo/IČO) a podpisové potvrzení převzetí platby — toto je doplněk nad rámec zákona, reagující na praktické riziko identifikované v předchozích analýzách (neprokazatelné hotovostní výdaje)</w:t>
      </w:r>
    </w:p>
    <w:p>
      <w:pPr>
        <w:pStyle w:val="Heading2"/>
        <w:spacing w:after="120" w:before="280"/>
      </w:pPr>
      <w:r>
        <w:rPr>
          <w:b/>
          <w:bCs/>
          <w:color w:val="0b3d5c"/>
          <w:sz w:val="24"/>
          <w:szCs w:val="24"/>
        </w:rPr>
        <w:t xml:space="preserve">5.5 Modul DPH (připraven, neaktivní)</w:t>
      </w:r>
    </w:p>
    <w:p>
      <w:pPr>
        <w:pStyle w:val="ListParagraph"/>
        <w:numPr>
          <w:ilvl w:val="0"/>
          <w:numId w:val="2"/>
        </w:numPr>
        <w:spacing w:after="80" w:line="290"/>
      </w:pPr>
      <w:r>
        <w:rPr>
          <w:sz w:val="21"/>
          <w:szCs w:val="21"/>
        </w:rPr>
        <w:t xml:space="preserve">Evidence uskutečněných a přijatých zdanitelných plnění dle § 100 ZDPH</w:t>
      </w:r>
    </w:p>
    <w:p>
      <w:pPr>
        <w:pStyle w:val="ListParagraph"/>
        <w:numPr>
          <w:ilvl w:val="0"/>
          <w:numId w:val="2"/>
        </w:numPr>
        <w:spacing w:after="80" w:line="290"/>
      </w:pPr>
      <w:r>
        <w:rPr>
          <w:sz w:val="21"/>
          <w:szCs w:val="21"/>
        </w:rPr>
        <w:t xml:space="preserve">Rozlišení dokladů nad/pod 10 000 Kč pro účely budoucího kontrolního hlášení</w:t>
      </w:r>
    </w:p>
    <w:p>
      <w:pPr>
        <w:pStyle w:val="ListParagraph"/>
        <w:numPr>
          <w:ilvl w:val="0"/>
          <w:numId w:val="2"/>
        </w:numPr>
        <w:spacing w:after="80" w:line="290"/>
      </w:pPr>
      <w:r>
        <w:rPr>
          <w:sz w:val="21"/>
          <w:szCs w:val="21"/>
        </w:rPr>
        <w:t xml:space="preserve">Přehled kumulativního obratu za 12 měsíců s upozorněním při přiblížení k limitu 2 mil. Kč</w:t>
      </w:r>
    </w:p>
    <w:p>
      <w:pPr>
        <w:pStyle w:val="ListParagraph"/>
        <w:numPr>
          <w:ilvl w:val="0"/>
          <w:numId w:val="2"/>
        </w:numPr>
        <w:spacing w:after="80" w:line="290"/>
      </w:pPr>
      <w:r>
        <w:rPr>
          <w:sz w:val="21"/>
          <w:szCs w:val="21"/>
        </w:rPr>
        <w:t xml:space="preserve">Po aktivaci: podklad pro přiznání k DPH a export struktury pro kontrolní hlášení (formát dle aktuální specifikace Finanční správy)</w:t>
      </w:r>
    </w:p>
    <w:p>
      <w:pPr>
        <w:pStyle w:val="Heading2"/>
        <w:spacing w:after="120" w:before="280"/>
      </w:pPr>
      <w:r>
        <w:rPr>
          <w:b/>
          <w:bCs/>
          <w:color w:val="0b3d5c"/>
          <w:sz w:val="24"/>
          <w:szCs w:val="24"/>
        </w:rPr>
        <w:t xml:space="preserve">5.6 Modul Audit log</w:t>
      </w:r>
    </w:p>
    <w:p>
      <w:pPr>
        <w:spacing w:after="140" w:line="300"/>
      </w:pPr>
      <w:r>
        <w:rPr>
          <w:sz w:val="21"/>
          <w:szCs w:val="21"/>
        </w:rPr>
        <w:t xml:space="preserve">Technický základ průkaznosti účetnictví. Zaznamenává úplně každou akci v systému:</w:t>
      </w:r>
    </w:p>
    <w:p>
      <w:pPr>
        <w:pStyle w:val="ListParagraph"/>
        <w:numPr>
          <w:ilvl w:val="0"/>
          <w:numId w:val="2"/>
        </w:numPr>
        <w:spacing w:after="80" w:line="290"/>
      </w:pPr>
      <w:r>
        <w:rPr>
          <w:sz w:val="21"/>
          <w:szCs w:val="21"/>
        </w:rPr>
        <w:t xml:space="preserve">Kdo, kdy a jakou akci provedl (vytvoření dokladu, schválení, zaúčtování, storno, export, přístup k citlivým datům)</w:t>
      </w:r>
    </w:p>
    <w:p>
      <w:pPr>
        <w:pStyle w:val="ListParagraph"/>
        <w:numPr>
          <w:ilvl w:val="0"/>
          <w:numId w:val="2"/>
        </w:numPr>
        <w:spacing w:after="80" w:line="290"/>
      </w:pPr>
      <w:r>
        <w:rPr>
          <w:sz w:val="21"/>
          <w:szCs w:val="21"/>
        </w:rPr>
        <w:t xml:space="preserve">Log je sám o sobě append-only — nelze jej editovat ani mazat, ani administrátorským účtem</w:t>
      </w:r>
    </w:p>
    <w:p>
      <w:pPr>
        <w:pStyle w:val="ListParagraph"/>
        <w:numPr>
          <w:ilvl w:val="0"/>
          <w:numId w:val="2"/>
        </w:numPr>
        <w:spacing w:after="80" w:line="290"/>
      </w:pPr>
      <w:r>
        <w:rPr>
          <w:sz w:val="21"/>
          <w:szCs w:val="21"/>
        </w:rPr>
        <w:t xml:space="preserve">Slouží jako důkazní materiál při případné kontrole finančního úřadu (§ 33 odst. 8 ZoÚ — v řízeních lze k důkazu použít průkazné účetní záznamy)</w:t>
      </w:r>
    </w:p>
    <w:p>
      <w:pPr>
        <w:pStyle w:val="Heading2"/>
        <w:spacing w:after="120" w:before="280"/>
      </w:pPr>
      <w:r>
        <w:rPr>
          <w:b/>
          <w:bCs/>
          <w:color w:val="0b3d5c"/>
          <w:sz w:val="24"/>
          <w:szCs w:val="24"/>
        </w:rPr>
        <w:t xml:space="preserve">5.7 Modul Majetek</w:t>
      </w:r>
    </w:p>
    <w:p>
      <w:pPr>
        <w:pStyle w:val="ListParagraph"/>
        <w:numPr>
          <w:ilvl w:val="0"/>
          <w:numId w:val="2"/>
        </w:numPr>
        <w:spacing w:after="80" w:line="290"/>
      </w:pPr>
      <w:r>
        <w:rPr>
          <w:sz w:val="21"/>
          <w:szCs w:val="21"/>
        </w:rPr>
        <w:t xml:space="preserve">Karty dlouhodobého hmotného a nehmotného majetku (název, pořizovací cena, datum pořízení, způsob odepisování)</w:t>
      </w:r>
    </w:p>
    <w:p>
      <w:pPr>
        <w:pStyle w:val="ListParagraph"/>
        <w:numPr>
          <w:ilvl w:val="0"/>
          <w:numId w:val="2"/>
        </w:numPr>
        <w:spacing w:after="80" w:line="290"/>
      </w:pPr>
      <w:r>
        <w:rPr>
          <w:sz w:val="21"/>
          <w:szCs w:val="21"/>
        </w:rPr>
        <w:t xml:space="preserve">Automatický výpočet účetních odpisů měsíčně/ročně a jejich zaúčtování</w:t>
      </w:r>
    </w:p>
    <w:p>
      <w:pPr>
        <w:pStyle w:val="ListParagraph"/>
        <w:numPr>
          <w:ilvl w:val="0"/>
          <w:numId w:val="2"/>
        </w:numPr>
        <w:spacing w:after="80" w:line="290"/>
      </w:pPr>
      <w:r>
        <w:rPr>
          <w:sz w:val="21"/>
          <w:szCs w:val="21"/>
        </w:rPr>
        <w:t xml:space="preserve">Evidence drobného majetku (do limitu pro dlouhodobý majetek) pro potřeby daňové evidence i účetnictví</w:t>
      </w:r>
    </w:p>
    <w:p>
      <w:pPr>
        <w:pStyle w:val="Heading2"/>
        <w:spacing w:after="120" w:before="280"/>
      </w:pPr>
      <w:r>
        <w:rPr>
          <w:b/>
          <w:bCs/>
          <w:color w:val="0b3d5c"/>
          <w:sz w:val="24"/>
          <w:szCs w:val="24"/>
        </w:rPr>
        <w:t xml:space="preserve">5.8 Modul Výkazy</w:t>
      </w:r>
    </w:p>
    <w:p>
      <w:pPr>
        <w:pStyle w:val="ListParagraph"/>
        <w:numPr>
          <w:ilvl w:val="0"/>
          <w:numId w:val="2"/>
        </w:numPr>
        <w:spacing w:after="80" w:line="290"/>
      </w:pPr>
      <w:r>
        <w:rPr>
          <w:sz w:val="21"/>
          <w:szCs w:val="21"/>
        </w:rPr>
        <w:t xml:space="preserve">Rozvaha ve zjednodušeném rozsahu (mikro účetní jednotka) — struktura dle přílohy č. 1 vyhlášky 500/2002 Sb.</w:t>
      </w:r>
    </w:p>
    <w:p>
      <w:pPr>
        <w:pStyle w:val="ListParagraph"/>
        <w:numPr>
          <w:ilvl w:val="0"/>
          <w:numId w:val="2"/>
        </w:numPr>
        <w:spacing w:after="80" w:line="290"/>
      </w:pPr>
      <w:r>
        <w:rPr>
          <w:sz w:val="21"/>
          <w:szCs w:val="21"/>
        </w:rPr>
        <w:t xml:space="preserve">Výkaz zisku a ztráty ve zjednodušeném rozsahu — druhové členění dle přílohy č. 2</w:t>
      </w:r>
    </w:p>
    <w:p>
      <w:pPr>
        <w:pStyle w:val="ListParagraph"/>
        <w:numPr>
          <w:ilvl w:val="0"/>
          <w:numId w:val="2"/>
        </w:numPr>
        <w:spacing w:after="80" w:line="290"/>
      </w:pPr>
      <w:r>
        <w:rPr>
          <w:sz w:val="21"/>
          <w:szCs w:val="21"/>
        </w:rPr>
        <w:t xml:space="preserve">Příloha k účetní závěrce (textová část — účetní metody, významné události)</w:t>
      </w:r>
    </w:p>
    <w:p>
      <w:pPr>
        <w:pStyle w:val="ListParagraph"/>
        <w:numPr>
          <w:ilvl w:val="0"/>
          <w:numId w:val="2"/>
        </w:numPr>
        <w:spacing w:after="80" w:line="290"/>
      </w:pPr>
      <w:r>
        <w:rPr>
          <w:sz w:val="21"/>
          <w:szCs w:val="21"/>
        </w:rPr>
        <w:t xml:space="preserve">Kontrola provázanosti: AKTIVA CELKEM = PASIVA CELKEM, výsledek hospodaření se musí shodovat mezi rozvahou a výsledovkou (zákonný požadavek vyhlášky)</w:t>
      </w:r>
    </w:p>
    <w:p>
      <w:pPr>
        <w:pStyle w:val="Heading2"/>
        <w:spacing w:after="120" w:before="280"/>
      </w:pPr>
      <w:r>
        <w:rPr>
          <w:b/>
          <w:bCs/>
          <w:color w:val="0b3d5c"/>
          <w:sz w:val="24"/>
          <w:szCs w:val="24"/>
        </w:rPr>
        <w:t xml:space="preserve">5.9 Modul Inventarizace a roční uzávěrka</w:t>
      </w:r>
    </w:p>
    <w:p>
      <w:pPr>
        <w:pStyle w:val="ListParagraph"/>
        <w:numPr>
          <w:ilvl w:val="0"/>
          <w:numId w:val="2"/>
        </w:numPr>
        <w:spacing w:after="80" w:line="290"/>
      </w:pPr>
      <w:r>
        <w:rPr>
          <w:sz w:val="21"/>
          <w:szCs w:val="21"/>
        </w:rPr>
        <w:t xml:space="preserve">Generování inventurních soupisů k rozvahovému dni (zůstatky pokladny, banky, pohledávek, závazků, majetku)</w:t>
      </w:r>
    </w:p>
    <w:p>
      <w:pPr>
        <w:pStyle w:val="ListParagraph"/>
        <w:numPr>
          <w:ilvl w:val="0"/>
          <w:numId w:val="2"/>
        </w:numPr>
        <w:spacing w:after="80" w:line="290"/>
      </w:pPr>
      <w:r>
        <w:rPr>
          <w:sz w:val="21"/>
          <w:szCs w:val="21"/>
        </w:rPr>
        <w:t xml:space="preserve">Proces odsouhlasení skutečného stavu s účetnictvím, zápis případných rozdílů</w:t>
      </w:r>
    </w:p>
    <w:p>
      <w:pPr>
        <w:pStyle w:val="ListParagraph"/>
        <w:numPr>
          <w:ilvl w:val="0"/>
          <w:numId w:val="2"/>
        </w:numPr>
        <w:spacing w:after="80" w:line="290"/>
      </w:pPr>
      <w:r>
        <w:rPr>
          <w:sz w:val="21"/>
          <w:szCs w:val="21"/>
        </w:rPr>
        <w:t xml:space="preserve">Uzamčení účetního období po dokončení uzávěrky — znemožní zpětné zaúčtování bez zvláštního administrátorského zásahu, který se sám zaznamená do audit logu</w:t>
      </w:r>
    </w:p>
    <w:p>
      <w:pPr>
        <w:pStyle w:val="Heading2"/>
        <w:spacing w:after="120" w:before="280"/>
      </w:pPr>
      <w:r>
        <w:rPr>
          <w:b/>
          <w:bCs/>
          <w:color w:val="0b3d5c"/>
          <w:sz w:val="24"/>
          <w:szCs w:val="24"/>
        </w:rPr>
        <w:t xml:space="preserve">5.10 Číselníky a podpůrné moduly</w:t>
      </w:r>
    </w:p>
    <w:p>
      <w:pPr>
        <w:pStyle w:val="ListParagraph"/>
        <w:numPr>
          <w:ilvl w:val="0"/>
          <w:numId w:val="2"/>
        </w:numPr>
        <w:spacing w:after="80" w:line="290"/>
      </w:pPr>
      <w:r>
        <w:rPr>
          <w:sz w:val="21"/>
          <w:szCs w:val="21"/>
        </w:rPr>
        <w:t xml:space="preserve">Kontakty (odběratelé, dodavatelé, umělci) — sdílené napříč doklady i budoucí daňovou evidencí</w:t>
      </w:r>
    </w:p>
    <w:p>
      <w:pPr>
        <w:pStyle w:val="ListParagraph"/>
        <w:numPr>
          <w:ilvl w:val="0"/>
          <w:numId w:val="2"/>
        </w:numPr>
        <w:spacing w:after="80" w:line="290"/>
      </w:pPr>
      <w:r>
        <w:rPr>
          <w:sz w:val="21"/>
          <w:szCs w:val="21"/>
        </w:rPr>
        <w:t xml:space="preserve">Projekty/zakázky (Nik Tendo, 3Lwave, 58G Chomutov, 3L Fest) pro analytické sledování nákladů a výnosů po akcích</w:t>
      </w:r>
    </w:p>
    <w:p>
      <w:pPr>
        <w:pStyle w:val="ListParagraph"/>
        <w:numPr>
          <w:ilvl w:val="0"/>
          <w:numId w:val="2"/>
        </w:numPr>
        <w:spacing w:after="80" w:line="290"/>
      </w:pPr>
      <w:r>
        <w:rPr>
          <w:sz w:val="21"/>
          <w:szCs w:val="21"/>
        </w:rPr>
        <w:t xml:space="preserve">Uživatelé a role (např. "zadavatel" vs. "schvalovatel" — připraveno na budoucí růst týmu)</w:t>
      </w:r>
    </w:p>
    <w:p>
      <w:pPr>
        <w:pStyle w:val="ListParagraph"/>
        <w:numPr>
          <w:ilvl w:val="0"/>
          <w:numId w:val="2"/>
        </w:numPr>
        <w:spacing w:after="80" w:line="290"/>
      </w:pPr>
      <w:r>
        <w:rPr>
          <w:sz w:val="21"/>
          <w:szCs w:val="21"/>
        </w:rPr>
        <w:t xml:space="preserve">Export dat — strukturovaný výstup (CSV/PDF sestav) pro předání daňovému poradci nebo auditorovi, i bez přímého API napojení</w:t>
      </w:r>
    </w:p>
    <w:p>
      <w:pPr>
        <w:pStyle w:val="Heading1"/>
        <w:spacing w:after="180" w:before="420"/>
      </w:pPr>
      <w:r>
        <w:rPr>
          <w:b/>
          <w:bCs/>
          <w:color w:val="0b3d5c"/>
          <w:sz w:val="30"/>
          <w:szCs w:val="30"/>
        </w:rPr>
        <w:t xml:space="preserve">6. Datový model — klíčové entity</w:t>
      </w:r>
    </w:p>
    <w:p>
      <w:pPr>
        <w:spacing w:after="140" w:line="300"/>
      </w:pPr>
      <w:r>
        <w:rPr>
          <w:sz w:val="21"/>
          <w:szCs w:val="21"/>
        </w:rPr>
        <w:t xml:space="preserve">Zjednodušený přehled hlavních entit a jejich vztahů, jako podklad pro návrh databázového schématu.</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20%"/>
            <w:shd w:fill="0b3d5c" w:val="clear"/>
            <w:tcMar>
              <w:top w:type="dxa" w:w="80"/>
              <w:left w:type="dxa" w:w="120"/>
              <w:bottom w:type="dxa" w:w="80"/>
              <w:right w:type="dxa" w:w="120"/>
            </w:tcMar>
          </w:tcPr>
          <w:p>
            <w:r>
              <w:rPr>
                <w:b/>
                <w:bCs/>
                <w:color w:val="FFFFFF"/>
                <w:sz w:val="19"/>
                <w:szCs w:val="19"/>
              </w:rPr>
              <w:t xml:space="preserve">Entita</w:t>
            </w:r>
          </w:p>
        </w:tc>
        <w:tc>
          <w:tcPr>
            <w:tcW w:type="pct" w:w="46%"/>
            <w:shd w:fill="0b3d5c" w:val="clear"/>
            <w:tcMar>
              <w:top w:type="dxa" w:w="80"/>
              <w:left w:type="dxa" w:w="120"/>
              <w:bottom w:type="dxa" w:w="80"/>
              <w:right w:type="dxa" w:w="120"/>
            </w:tcMar>
          </w:tcPr>
          <w:p>
            <w:r>
              <w:rPr>
                <w:b/>
                <w:bCs/>
                <w:color w:val="FFFFFF"/>
                <w:sz w:val="19"/>
                <w:szCs w:val="19"/>
              </w:rPr>
              <w:t xml:space="preserve">Klíčové atributy</w:t>
            </w:r>
          </w:p>
        </w:tc>
        <w:tc>
          <w:tcPr>
            <w:tcW w:type="pct" w:w="34%"/>
            <w:shd w:fill="0b3d5c" w:val="clear"/>
            <w:tcMar>
              <w:top w:type="dxa" w:w="80"/>
              <w:left w:type="dxa" w:w="120"/>
              <w:bottom w:type="dxa" w:w="80"/>
              <w:right w:type="dxa" w:w="120"/>
            </w:tcMar>
          </w:tcPr>
          <w:p>
            <w:r>
              <w:rPr>
                <w:b/>
                <w:bCs/>
                <w:color w:val="FFFFFF"/>
                <w:sz w:val="19"/>
                <w:szCs w:val="19"/>
              </w:rPr>
              <w:t xml:space="preserve">Vazby</w:t>
            </w:r>
          </w:p>
        </w:tc>
      </w:tr>
      <w:tr>
        <w:tc>
          <w:tcPr>
            <w:tcW w:type="pct" w:w="20%"/>
            <w:tcMar>
              <w:top w:type="dxa" w:w="80"/>
              <w:left w:type="dxa" w:w="120"/>
              <w:bottom w:type="dxa" w:w="80"/>
              <w:right w:type="dxa" w:w="120"/>
            </w:tcMar>
          </w:tcPr>
          <w:p>
            <w:r>
              <w:rPr>
                <w:b w:val="false"/>
                <w:bCs w:val="false"/>
                <w:color w:val="000000"/>
                <w:sz w:val="19"/>
                <w:szCs w:val="19"/>
              </w:rPr>
              <w:t xml:space="preserve">Doklad</w:t>
            </w:r>
          </w:p>
        </w:tc>
        <w:tc>
          <w:tcPr>
            <w:tcW w:type="pct" w:w="46%"/>
            <w:tcMar>
              <w:top w:type="dxa" w:w="80"/>
              <w:left w:type="dxa" w:w="120"/>
              <w:bottom w:type="dxa" w:w="80"/>
              <w:right w:type="dxa" w:w="120"/>
            </w:tcMar>
          </w:tcPr>
          <w:p>
            <w:r>
              <w:rPr>
                <w:b w:val="false"/>
                <w:bCs w:val="false"/>
                <w:color w:val="000000"/>
                <w:sz w:val="19"/>
                <w:szCs w:val="19"/>
              </w:rPr>
              <w:t xml:space="preserve">typ, číslo, datum vyhotovení, datum uskutečnění, částka, DPH pole, stav (koncept/schválený/zaúčtovaný/stornovaný)</w:t>
            </w:r>
          </w:p>
        </w:tc>
        <w:tc>
          <w:tcPr>
            <w:tcW w:type="pct" w:w="34%"/>
            <w:tcMar>
              <w:top w:type="dxa" w:w="80"/>
              <w:left w:type="dxa" w:w="120"/>
              <w:bottom w:type="dxa" w:w="80"/>
              <w:right w:type="dxa" w:w="120"/>
            </w:tcMar>
          </w:tcPr>
          <w:p>
            <w:r>
              <w:rPr>
                <w:b w:val="false"/>
                <w:bCs w:val="false"/>
                <w:color w:val="000000"/>
                <w:sz w:val="19"/>
                <w:szCs w:val="19"/>
              </w:rPr>
              <w:t xml:space="preserve">N:1 Kontakt, 1:N Položka dokladu, 1:1 Účetní zápis</w:t>
            </w:r>
          </w:p>
        </w:tc>
      </w:tr>
      <w:tr>
        <w:tc>
          <w:tcPr>
            <w:tcW w:type="pct" w:w="20%"/>
            <w:tcMar>
              <w:top w:type="dxa" w:w="80"/>
              <w:left w:type="dxa" w:w="120"/>
              <w:bottom w:type="dxa" w:w="80"/>
              <w:right w:type="dxa" w:w="120"/>
            </w:tcMar>
          </w:tcPr>
          <w:p>
            <w:r>
              <w:rPr>
                <w:b w:val="false"/>
                <w:bCs w:val="false"/>
                <w:color w:val="000000"/>
                <w:sz w:val="19"/>
                <w:szCs w:val="19"/>
              </w:rPr>
              <w:t xml:space="preserve">Položka dokladu</w:t>
            </w:r>
          </w:p>
        </w:tc>
        <w:tc>
          <w:tcPr>
            <w:tcW w:type="pct" w:w="46%"/>
            <w:tcMar>
              <w:top w:type="dxa" w:w="80"/>
              <w:left w:type="dxa" w:w="120"/>
              <w:bottom w:type="dxa" w:w="80"/>
              <w:right w:type="dxa" w:w="120"/>
            </w:tcMar>
          </w:tcPr>
          <w:p>
            <w:r>
              <w:rPr>
                <w:b w:val="false"/>
                <w:bCs w:val="false"/>
                <w:color w:val="000000"/>
                <w:sz w:val="19"/>
                <w:szCs w:val="19"/>
              </w:rPr>
              <w:t xml:space="preserve">popis, množství, jednotková cena, sazba DPH, účet předkontace</w:t>
            </w:r>
          </w:p>
        </w:tc>
        <w:tc>
          <w:tcPr>
            <w:tcW w:type="pct" w:w="34%"/>
            <w:tcMar>
              <w:top w:type="dxa" w:w="80"/>
              <w:left w:type="dxa" w:w="120"/>
              <w:bottom w:type="dxa" w:w="80"/>
              <w:right w:type="dxa" w:w="120"/>
            </w:tcMar>
          </w:tcPr>
          <w:p>
            <w:r>
              <w:rPr>
                <w:b w:val="false"/>
                <w:bCs w:val="false"/>
                <w:color w:val="000000"/>
                <w:sz w:val="19"/>
                <w:szCs w:val="19"/>
              </w:rPr>
              <w:t xml:space="preserve">N:1 Doklad, N:1 Účet</w:t>
            </w:r>
          </w:p>
        </w:tc>
      </w:tr>
      <w:tr>
        <w:tc>
          <w:tcPr>
            <w:tcW w:type="pct" w:w="20%"/>
            <w:tcMar>
              <w:top w:type="dxa" w:w="80"/>
              <w:left w:type="dxa" w:w="120"/>
              <w:bottom w:type="dxa" w:w="80"/>
              <w:right w:type="dxa" w:w="120"/>
            </w:tcMar>
          </w:tcPr>
          <w:p>
            <w:r>
              <w:rPr>
                <w:b w:val="false"/>
                <w:bCs w:val="false"/>
                <w:color w:val="000000"/>
                <w:sz w:val="19"/>
                <w:szCs w:val="19"/>
              </w:rPr>
              <w:t xml:space="preserve">Účetní zápis</w:t>
            </w:r>
          </w:p>
        </w:tc>
        <w:tc>
          <w:tcPr>
            <w:tcW w:type="pct" w:w="46%"/>
            <w:tcMar>
              <w:top w:type="dxa" w:w="80"/>
              <w:left w:type="dxa" w:w="120"/>
              <w:bottom w:type="dxa" w:w="80"/>
              <w:right w:type="dxa" w:w="120"/>
            </w:tcMar>
          </w:tcPr>
          <w:p>
            <w:r>
              <w:rPr>
                <w:b w:val="false"/>
                <w:bCs w:val="false"/>
                <w:color w:val="000000"/>
                <w:sz w:val="19"/>
                <w:szCs w:val="19"/>
              </w:rPr>
              <w:t xml:space="preserve">datum, částka, MD účet, DAL účet, odkaz na doklad, storno_of (self-reference)</w:t>
            </w:r>
          </w:p>
        </w:tc>
        <w:tc>
          <w:tcPr>
            <w:tcW w:type="pct" w:w="34%"/>
            <w:tcMar>
              <w:top w:type="dxa" w:w="80"/>
              <w:left w:type="dxa" w:w="120"/>
              <w:bottom w:type="dxa" w:w="80"/>
              <w:right w:type="dxa" w:w="120"/>
            </w:tcMar>
          </w:tcPr>
          <w:p>
            <w:r>
              <w:rPr>
                <w:b w:val="false"/>
                <w:bCs w:val="false"/>
                <w:color w:val="000000"/>
                <w:sz w:val="19"/>
                <w:szCs w:val="19"/>
              </w:rPr>
              <w:t xml:space="preserve">N:1 Doklad, N:1 Účet (MD), N:1 Účet (DAL)</w:t>
            </w:r>
          </w:p>
        </w:tc>
      </w:tr>
      <w:tr>
        <w:tc>
          <w:tcPr>
            <w:tcW w:type="pct" w:w="20%"/>
            <w:tcMar>
              <w:top w:type="dxa" w:w="80"/>
              <w:left w:type="dxa" w:w="120"/>
              <w:bottom w:type="dxa" w:w="80"/>
              <w:right w:type="dxa" w:w="120"/>
            </w:tcMar>
          </w:tcPr>
          <w:p>
            <w:r>
              <w:rPr>
                <w:b w:val="false"/>
                <w:bCs w:val="false"/>
                <w:color w:val="000000"/>
                <w:sz w:val="19"/>
                <w:szCs w:val="19"/>
              </w:rPr>
              <w:t xml:space="preserve">Účet</w:t>
            </w:r>
          </w:p>
        </w:tc>
        <w:tc>
          <w:tcPr>
            <w:tcW w:type="pct" w:w="46%"/>
            <w:tcMar>
              <w:top w:type="dxa" w:w="80"/>
              <w:left w:type="dxa" w:w="120"/>
              <w:bottom w:type="dxa" w:w="80"/>
              <w:right w:type="dxa" w:w="120"/>
            </w:tcMar>
          </w:tcPr>
          <w:p>
            <w:r>
              <w:rPr>
                <w:b w:val="false"/>
                <w:bCs w:val="false"/>
                <w:color w:val="000000"/>
                <w:sz w:val="19"/>
                <w:szCs w:val="19"/>
              </w:rPr>
              <w:t xml:space="preserve">syntetické číslo, analytika, název, typ (rozvahový/výsledkový), třída</w:t>
            </w:r>
          </w:p>
        </w:tc>
        <w:tc>
          <w:tcPr>
            <w:tcW w:type="pct" w:w="34%"/>
            <w:tcMar>
              <w:top w:type="dxa" w:w="80"/>
              <w:left w:type="dxa" w:w="120"/>
              <w:bottom w:type="dxa" w:w="80"/>
              <w:right w:type="dxa" w:w="120"/>
            </w:tcMar>
          </w:tcPr>
          <w:p>
            <w:r>
              <w:rPr>
                <w:b w:val="false"/>
                <w:bCs w:val="false"/>
                <w:color w:val="000000"/>
                <w:sz w:val="19"/>
                <w:szCs w:val="19"/>
              </w:rPr>
              <w:t xml:space="preserve">1:N Účetní zápis</w:t>
            </w:r>
          </w:p>
        </w:tc>
      </w:tr>
      <w:tr>
        <w:tc>
          <w:tcPr>
            <w:tcW w:type="pct" w:w="20%"/>
            <w:tcMar>
              <w:top w:type="dxa" w:w="80"/>
              <w:left w:type="dxa" w:w="120"/>
              <w:bottom w:type="dxa" w:w="80"/>
              <w:right w:type="dxa" w:w="120"/>
            </w:tcMar>
          </w:tcPr>
          <w:p>
            <w:r>
              <w:rPr>
                <w:b w:val="false"/>
                <w:bCs w:val="false"/>
                <w:color w:val="000000"/>
                <w:sz w:val="19"/>
                <w:szCs w:val="19"/>
              </w:rPr>
              <w:t xml:space="preserve">Kontakt</w:t>
            </w:r>
          </w:p>
        </w:tc>
        <w:tc>
          <w:tcPr>
            <w:tcW w:type="pct" w:w="46%"/>
            <w:tcMar>
              <w:top w:type="dxa" w:w="80"/>
              <w:left w:type="dxa" w:w="120"/>
              <w:bottom w:type="dxa" w:w="80"/>
              <w:right w:type="dxa" w:w="120"/>
            </w:tcMar>
          </w:tcPr>
          <w:p>
            <w:r>
              <w:rPr>
                <w:b w:val="false"/>
                <w:bCs w:val="false"/>
                <w:color w:val="000000"/>
                <w:sz w:val="19"/>
                <w:szCs w:val="19"/>
              </w:rPr>
              <w:t xml:space="preserve">jméno/název, adresa, IČO, DIČ, bankovní spojení, typ (odběratel/dodavatel/umělec)</w:t>
            </w:r>
          </w:p>
        </w:tc>
        <w:tc>
          <w:tcPr>
            <w:tcW w:type="pct" w:w="34%"/>
            <w:tcMar>
              <w:top w:type="dxa" w:w="80"/>
              <w:left w:type="dxa" w:w="120"/>
              <w:bottom w:type="dxa" w:w="80"/>
              <w:right w:type="dxa" w:w="120"/>
            </w:tcMar>
          </w:tcPr>
          <w:p>
            <w:r>
              <w:rPr>
                <w:b w:val="false"/>
                <w:bCs w:val="false"/>
                <w:color w:val="000000"/>
                <w:sz w:val="19"/>
                <w:szCs w:val="19"/>
              </w:rPr>
              <w:t xml:space="preserve">1:N Doklad</w:t>
            </w:r>
          </w:p>
        </w:tc>
      </w:tr>
      <w:tr>
        <w:tc>
          <w:tcPr>
            <w:tcW w:type="pct" w:w="20%"/>
            <w:tcMar>
              <w:top w:type="dxa" w:w="80"/>
              <w:left w:type="dxa" w:w="120"/>
              <w:bottom w:type="dxa" w:w="80"/>
              <w:right w:type="dxa" w:w="120"/>
            </w:tcMar>
          </w:tcPr>
          <w:p>
            <w:r>
              <w:rPr>
                <w:b w:val="false"/>
                <w:bCs w:val="false"/>
                <w:color w:val="000000"/>
                <w:sz w:val="19"/>
                <w:szCs w:val="19"/>
              </w:rPr>
              <w:t xml:space="preserve">Projekt/zakázka</w:t>
            </w:r>
          </w:p>
        </w:tc>
        <w:tc>
          <w:tcPr>
            <w:tcW w:type="pct" w:w="46%"/>
            <w:tcMar>
              <w:top w:type="dxa" w:w="80"/>
              <w:left w:type="dxa" w:w="120"/>
              <w:bottom w:type="dxa" w:w="80"/>
              <w:right w:type="dxa" w:w="120"/>
            </w:tcMar>
          </w:tcPr>
          <w:p>
            <w:r>
              <w:rPr>
                <w:b w:val="false"/>
                <w:bCs w:val="false"/>
                <w:color w:val="000000"/>
                <w:sz w:val="19"/>
                <w:szCs w:val="19"/>
              </w:rPr>
              <w:t xml:space="preserve">název (Nik Tendo, 3L Fest...), datum, rozpočet</w:t>
            </w:r>
          </w:p>
        </w:tc>
        <w:tc>
          <w:tcPr>
            <w:tcW w:type="pct" w:w="34%"/>
            <w:tcMar>
              <w:top w:type="dxa" w:w="80"/>
              <w:left w:type="dxa" w:w="120"/>
              <w:bottom w:type="dxa" w:w="80"/>
              <w:right w:type="dxa" w:w="120"/>
            </w:tcMar>
          </w:tcPr>
          <w:p>
            <w:r>
              <w:rPr>
                <w:b w:val="false"/>
                <w:bCs w:val="false"/>
                <w:color w:val="000000"/>
                <w:sz w:val="19"/>
                <w:szCs w:val="19"/>
              </w:rPr>
              <w:t xml:space="preserve">1:N Doklad (analytické přiřazení)</w:t>
            </w:r>
          </w:p>
        </w:tc>
      </w:tr>
      <w:tr>
        <w:tc>
          <w:tcPr>
            <w:tcW w:type="pct" w:w="20%"/>
            <w:tcMar>
              <w:top w:type="dxa" w:w="80"/>
              <w:left w:type="dxa" w:w="120"/>
              <w:bottom w:type="dxa" w:w="80"/>
              <w:right w:type="dxa" w:w="120"/>
            </w:tcMar>
          </w:tcPr>
          <w:p>
            <w:r>
              <w:rPr>
                <w:b w:val="false"/>
                <w:bCs w:val="false"/>
                <w:color w:val="000000"/>
                <w:sz w:val="19"/>
                <w:szCs w:val="19"/>
              </w:rPr>
              <w:t xml:space="preserve">Majetková karta</w:t>
            </w:r>
          </w:p>
        </w:tc>
        <w:tc>
          <w:tcPr>
            <w:tcW w:type="pct" w:w="46%"/>
            <w:tcMar>
              <w:top w:type="dxa" w:w="80"/>
              <w:left w:type="dxa" w:w="120"/>
              <w:bottom w:type="dxa" w:w="80"/>
              <w:right w:type="dxa" w:w="120"/>
            </w:tcMar>
          </w:tcPr>
          <w:p>
            <w:r>
              <w:rPr>
                <w:b w:val="false"/>
                <w:bCs w:val="false"/>
                <w:color w:val="000000"/>
                <w:sz w:val="19"/>
                <w:szCs w:val="19"/>
              </w:rPr>
              <w:t xml:space="preserve">název, pořizovací cena, datum pořízení, doba odepisování, zůstatková cena</w:t>
            </w:r>
          </w:p>
        </w:tc>
        <w:tc>
          <w:tcPr>
            <w:tcW w:type="pct" w:w="34%"/>
            <w:tcMar>
              <w:top w:type="dxa" w:w="80"/>
              <w:left w:type="dxa" w:w="120"/>
              <w:bottom w:type="dxa" w:w="80"/>
              <w:right w:type="dxa" w:w="120"/>
            </w:tcMar>
          </w:tcPr>
          <w:p>
            <w:r>
              <w:rPr>
                <w:b w:val="false"/>
                <w:bCs w:val="false"/>
                <w:color w:val="000000"/>
                <w:sz w:val="19"/>
                <w:szCs w:val="19"/>
              </w:rPr>
              <w:t xml:space="preserve">1:N Odpisový zápis</w:t>
            </w:r>
          </w:p>
        </w:tc>
      </w:tr>
      <w:tr>
        <w:tc>
          <w:tcPr>
            <w:tcW w:type="pct" w:w="20%"/>
            <w:tcMar>
              <w:top w:type="dxa" w:w="80"/>
              <w:left w:type="dxa" w:w="120"/>
              <w:bottom w:type="dxa" w:w="80"/>
              <w:right w:type="dxa" w:w="120"/>
            </w:tcMar>
          </w:tcPr>
          <w:p>
            <w:r>
              <w:rPr>
                <w:b w:val="false"/>
                <w:bCs w:val="false"/>
                <w:color w:val="000000"/>
                <w:sz w:val="19"/>
                <w:szCs w:val="19"/>
              </w:rPr>
              <w:t xml:space="preserve">Účetní období</w:t>
            </w:r>
          </w:p>
        </w:tc>
        <w:tc>
          <w:tcPr>
            <w:tcW w:type="pct" w:w="46%"/>
            <w:tcMar>
              <w:top w:type="dxa" w:w="80"/>
              <w:left w:type="dxa" w:w="120"/>
              <w:bottom w:type="dxa" w:w="80"/>
              <w:right w:type="dxa" w:w="120"/>
            </w:tcMar>
          </w:tcPr>
          <w:p>
            <w:r>
              <w:rPr>
                <w:b w:val="false"/>
                <w:bCs w:val="false"/>
                <w:color w:val="000000"/>
                <w:sz w:val="19"/>
                <w:szCs w:val="19"/>
              </w:rPr>
              <w:t xml:space="preserve">rok, stav (otevřené/uzavřené), datum uzávěrky</w:t>
            </w:r>
          </w:p>
        </w:tc>
        <w:tc>
          <w:tcPr>
            <w:tcW w:type="pct" w:w="34%"/>
            <w:tcMar>
              <w:top w:type="dxa" w:w="80"/>
              <w:left w:type="dxa" w:w="120"/>
              <w:bottom w:type="dxa" w:w="80"/>
              <w:right w:type="dxa" w:w="120"/>
            </w:tcMar>
          </w:tcPr>
          <w:p>
            <w:r>
              <w:rPr>
                <w:b w:val="false"/>
                <w:bCs w:val="false"/>
                <w:color w:val="000000"/>
                <w:sz w:val="19"/>
                <w:szCs w:val="19"/>
              </w:rPr>
              <w:t xml:space="preserve">1:N Doklad, 1:N Účetní zápis</w:t>
            </w:r>
          </w:p>
        </w:tc>
      </w:tr>
      <w:tr>
        <w:tc>
          <w:tcPr>
            <w:tcW w:type="pct" w:w="20%"/>
            <w:tcMar>
              <w:top w:type="dxa" w:w="80"/>
              <w:left w:type="dxa" w:w="120"/>
              <w:bottom w:type="dxa" w:w="80"/>
              <w:right w:type="dxa" w:w="120"/>
            </w:tcMar>
          </w:tcPr>
          <w:p>
            <w:r>
              <w:rPr>
                <w:b w:val="false"/>
                <w:bCs w:val="false"/>
                <w:color w:val="000000"/>
                <w:sz w:val="19"/>
                <w:szCs w:val="19"/>
              </w:rPr>
              <w:t xml:space="preserve">Audit log záznam</w:t>
            </w:r>
          </w:p>
        </w:tc>
        <w:tc>
          <w:tcPr>
            <w:tcW w:type="pct" w:w="46%"/>
            <w:tcMar>
              <w:top w:type="dxa" w:w="80"/>
              <w:left w:type="dxa" w:w="120"/>
              <w:bottom w:type="dxa" w:w="80"/>
              <w:right w:type="dxa" w:w="120"/>
            </w:tcMar>
          </w:tcPr>
          <w:p>
            <w:r>
              <w:rPr>
                <w:b w:val="false"/>
                <w:bCs w:val="false"/>
                <w:color w:val="000000"/>
                <w:sz w:val="19"/>
                <w:szCs w:val="19"/>
              </w:rPr>
              <w:t xml:space="preserve">časové razítko, uživatel, akce, entita, před/po hodnota</w:t>
            </w:r>
          </w:p>
        </w:tc>
        <w:tc>
          <w:tcPr>
            <w:tcW w:type="pct" w:w="34%"/>
            <w:tcMar>
              <w:top w:type="dxa" w:w="80"/>
              <w:left w:type="dxa" w:w="120"/>
              <w:bottom w:type="dxa" w:w="80"/>
              <w:right w:type="dxa" w:w="120"/>
            </w:tcMar>
          </w:tcPr>
          <w:p>
            <w:r>
              <w:rPr>
                <w:b w:val="false"/>
                <w:bCs w:val="false"/>
                <w:color w:val="000000"/>
                <w:sz w:val="19"/>
                <w:szCs w:val="19"/>
              </w:rPr>
              <w:t xml:space="preserve">N:1 libovolná entita (polymorfní vazba)</w:t>
            </w:r>
          </w:p>
        </w:tc>
      </w:tr>
      <w:tr>
        <w:tc>
          <w:tcPr>
            <w:tcW w:type="pct" w:w="20%"/>
            <w:tcMar>
              <w:top w:type="dxa" w:w="80"/>
              <w:left w:type="dxa" w:w="120"/>
              <w:bottom w:type="dxa" w:w="80"/>
              <w:right w:type="dxa" w:w="120"/>
            </w:tcMar>
          </w:tcPr>
          <w:p>
            <w:r>
              <w:rPr>
                <w:b w:val="false"/>
                <w:bCs w:val="false"/>
                <w:color w:val="000000"/>
                <w:sz w:val="19"/>
                <w:szCs w:val="19"/>
              </w:rPr>
              <w:t xml:space="preserve">Uživatel</w:t>
            </w:r>
          </w:p>
        </w:tc>
        <w:tc>
          <w:tcPr>
            <w:tcW w:type="pct" w:w="46%"/>
            <w:tcMar>
              <w:top w:type="dxa" w:w="80"/>
              <w:left w:type="dxa" w:w="120"/>
              <w:bottom w:type="dxa" w:w="80"/>
              <w:right w:type="dxa" w:w="120"/>
            </w:tcMar>
          </w:tcPr>
          <w:p>
            <w:r>
              <w:rPr>
                <w:b w:val="false"/>
                <w:bCs w:val="false"/>
                <w:color w:val="000000"/>
                <w:sz w:val="19"/>
                <w:szCs w:val="19"/>
              </w:rPr>
              <w:t xml:space="preserve">jméno, role, přístupová práva</w:t>
            </w:r>
          </w:p>
        </w:tc>
        <w:tc>
          <w:tcPr>
            <w:tcW w:type="pct" w:w="34%"/>
            <w:tcMar>
              <w:top w:type="dxa" w:w="80"/>
              <w:left w:type="dxa" w:w="120"/>
              <w:bottom w:type="dxa" w:w="80"/>
              <w:right w:type="dxa" w:w="120"/>
            </w:tcMar>
          </w:tcPr>
          <w:p>
            <w:r>
              <w:rPr>
                <w:b w:val="false"/>
                <w:bCs w:val="false"/>
                <w:color w:val="000000"/>
                <w:sz w:val="19"/>
                <w:szCs w:val="19"/>
              </w:rPr>
              <w:t xml:space="preserve">1:N Doklad (jako zadavatel/schvalovatel)</w:t>
            </w:r>
          </w:p>
        </w:tc>
      </w:tr>
    </w:tbl>
    <w:p>
      <w:pPr>
        <w:pBdr>
          <w:left w:val="single" w:color="0b3d5c" w:sz="24" w:space="8"/>
        </w:pBdr>
        <w:shd w:fill="f2f2f2" w:val="clear"/>
        <w:spacing w:after="200" w:before="100" w:line="280"/>
        <w:ind w:left="120"/>
      </w:pPr>
      <w:r>
        <w:rPr>
          <w:i/>
          <w:iCs/>
          <w:color w:val="555555"/>
          <w:sz w:val="20"/>
          <w:szCs w:val="20"/>
        </w:rPr>
        <w:t xml:space="preserve">Účetní zápis obsahuje self-referenční vazbu storno_of právě kvůli append-only principu — storno nikdy nemaže původní zápis, jen na něj odkazuje a neutralizuje jeho účinek novým zápisem.</w:t>
      </w:r>
    </w:p>
    <w:p>
      <w:pPr>
        <w:pStyle w:val="Heading1"/>
        <w:spacing w:after="180" w:before="420"/>
      </w:pPr>
      <w:r>
        <w:rPr>
          <w:b/>
          <w:bCs/>
          <w:color w:val="0b3d5c"/>
          <w:sz w:val="30"/>
          <w:szCs w:val="30"/>
        </w:rPr>
        <w:t xml:space="preserve">7. Compliance checklist — mapování požadavků na funkce</w:t>
      </w:r>
    </w:p>
    <w:p>
      <w:pPr>
        <w:spacing w:after="140" w:line="300"/>
      </w:pPr>
      <w:r>
        <w:rPr>
          <w:sz w:val="21"/>
          <w:szCs w:val="21"/>
        </w:rPr>
        <w:t xml:space="preserve">Tabulka slouží jako akceptační kritéria při vývoji — každý řádek by měl být ověřitelný konkrétním testem před nasazením systému do ostrého provozu.</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40%"/>
            <w:shd w:fill="0b3d5c" w:val="clear"/>
            <w:tcMar>
              <w:top w:type="dxa" w:w="80"/>
              <w:left w:type="dxa" w:w="120"/>
              <w:bottom w:type="dxa" w:w="80"/>
              <w:right w:type="dxa" w:w="120"/>
            </w:tcMar>
          </w:tcPr>
          <w:p>
            <w:r>
              <w:rPr>
                <w:b/>
                <w:bCs/>
                <w:color w:val="FFFFFF"/>
                <w:sz w:val="19"/>
                <w:szCs w:val="19"/>
              </w:rPr>
              <w:t xml:space="preserve">Zákonný požadavek</w:t>
            </w:r>
          </w:p>
        </w:tc>
        <w:tc>
          <w:tcPr>
            <w:tcW w:type="pct" w:w="22%"/>
            <w:shd w:fill="0b3d5c" w:val="clear"/>
            <w:tcMar>
              <w:top w:type="dxa" w:w="80"/>
              <w:left w:type="dxa" w:w="120"/>
              <w:bottom w:type="dxa" w:w="80"/>
              <w:right w:type="dxa" w:w="120"/>
            </w:tcMar>
          </w:tcPr>
          <w:p>
            <w:r>
              <w:rPr>
                <w:b/>
                <w:bCs/>
                <w:color w:val="FFFFFF"/>
                <w:sz w:val="19"/>
                <w:szCs w:val="19"/>
              </w:rPr>
              <w:t xml:space="preserve">Zdroj</w:t>
            </w:r>
          </w:p>
        </w:tc>
        <w:tc>
          <w:tcPr>
            <w:tcW w:type="pct" w:w="38%"/>
            <w:shd w:fill="0b3d5c" w:val="clear"/>
            <w:tcMar>
              <w:top w:type="dxa" w:w="80"/>
              <w:left w:type="dxa" w:w="120"/>
              <w:bottom w:type="dxa" w:w="80"/>
              <w:right w:type="dxa" w:w="120"/>
            </w:tcMar>
          </w:tcPr>
          <w:p>
            <w:r>
              <w:rPr>
                <w:b/>
                <w:bCs/>
                <w:color w:val="FFFFFF"/>
                <w:sz w:val="19"/>
                <w:szCs w:val="19"/>
              </w:rPr>
              <w:t xml:space="preserve">Implementováno v</w:t>
            </w:r>
          </w:p>
        </w:tc>
      </w:tr>
      <w:tr>
        <w:tc>
          <w:tcPr>
            <w:tcW w:type="pct" w:w="40%"/>
            <w:tcMar>
              <w:top w:type="dxa" w:w="80"/>
              <w:left w:type="dxa" w:w="120"/>
              <w:bottom w:type="dxa" w:w="80"/>
              <w:right w:type="dxa" w:w="120"/>
            </w:tcMar>
          </w:tcPr>
          <w:p>
            <w:r>
              <w:rPr>
                <w:b w:val="false"/>
                <w:bCs w:val="false"/>
                <w:color w:val="000000"/>
                <w:sz w:val="19"/>
                <w:szCs w:val="19"/>
              </w:rPr>
              <w:t xml:space="preserve">Nepřerušená číselná řada dokladů</w:t>
            </w:r>
          </w:p>
        </w:tc>
        <w:tc>
          <w:tcPr>
            <w:tcW w:type="pct" w:w="22%"/>
            <w:tcMar>
              <w:top w:type="dxa" w:w="80"/>
              <w:left w:type="dxa" w:w="120"/>
              <w:bottom w:type="dxa" w:w="80"/>
              <w:right w:type="dxa" w:w="120"/>
            </w:tcMar>
          </w:tcPr>
          <w:p>
            <w:r>
              <w:rPr>
                <w:b w:val="false"/>
                <w:bCs w:val="false"/>
                <w:color w:val="000000"/>
                <w:sz w:val="19"/>
                <w:szCs w:val="19"/>
              </w:rPr>
              <w:t xml:space="preserve">§ 11 ZoÚ</w:t>
            </w:r>
          </w:p>
        </w:tc>
        <w:tc>
          <w:tcPr>
            <w:tcW w:type="pct" w:w="38%"/>
            <w:tcMar>
              <w:top w:type="dxa" w:w="80"/>
              <w:left w:type="dxa" w:w="120"/>
              <w:bottom w:type="dxa" w:w="80"/>
              <w:right w:type="dxa" w:w="120"/>
            </w:tcMar>
          </w:tcPr>
          <w:p>
            <w:r>
              <w:rPr>
                <w:b w:val="false"/>
                <w:bCs w:val="false"/>
                <w:color w:val="000000"/>
                <w:sz w:val="19"/>
                <w:szCs w:val="19"/>
              </w:rPr>
              <w:t xml:space="preserve">Modul Doklady — automatické číslování</w:t>
            </w:r>
          </w:p>
        </w:tc>
      </w:tr>
      <w:tr>
        <w:tc>
          <w:tcPr>
            <w:tcW w:type="pct" w:w="40%"/>
            <w:tcMar>
              <w:top w:type="dxa" w:w="80"/>
              <w:left w:type="dxa" w:w="120"/>
              <w:bottom w:type="dxa" w:w="80"/>
              <w:right w:type="dxa" w:w="120"/>
            </w:tcMar>
          </w:tcPr>
          <w:p>
            <w:r>
              <w:rPr>
                <w:b w:val="false"/>
                <w:bCs w:val="false"/>
                <w:color w:val="000000"/>
                <w:sz w:val="19"/>
                <w:szCs w:val="19"/>
              </w:rPr>
              <w:t xml:space="preserve">Neměnnost zaúčtovaných záznamů</w:t>
            </w:r>
          </w:p>
        </w:tc>
        <w:tc>
          <w:tcPr>
            <w:tcW w:type="pct" w:w="22%"/>
            <w:tcMar>
              <w:top w:type="dxa" w:w="80"/>
              <w:left w:type="dxa" w:w="120"/>
              <w:bottom w:type="dxa" w:w="80"/>
              <w:right w:type="dxa" w:w="120"/>
            </w:tcMar>
          </w:tcPr>
          <w:p>
            <w:r>
              <w:rPr>
                <w:b w:val="false"/>
                <w:bCs w:val="false"/>
                <w:color w:val="000000"/>
                <w:sz w:val="19"/>
                <w:szCs w:val="19"/>
              </w:rPr>
              <w:t xml:space="preserve">§ 33a, § 35 ZoÚ</w:t>
            </w:r>
          </w:p>
        </w:tc>
        <w:tc>
          <w:tcPr>
            <w:tcW w:type="pct" w:w="38%"/>
            <w:tcMar>
              <w:top w:type="dxa" w:w="80"/>
              <w:left w:type="dxa" w:w="120"/>
              <w:bottom w:type="dxa" w:w="80"/>
              <w:right w:type="dxa" w:w="120"/>
            </w:tcMar>
          </w:tcPr>
          <w:p>
            <w:r>
              <w:rPr>
                <w:b w:val="false"/>
                <w:bCs w:val="false"/>
                <w:color w:val="000000"/>
                <w:sz w:val="19"/>
                <w:szCs w:val="19"/>
              </w:rPr>
              <w:t xml:space="preserve">Append-only Účetní deník + Audit log</w:t>
            </w:r>
          </w:p>
        </w:tc>
      </w:tr>
      <w:tr>
        <w:tc>
          <w:tcPr>
            <w:tcW w:type="pct" w:w="40%"/>
            <w:tcMar>
              <w:top w:type="dxa" w:w="80"/>
              <w:left w:type="dxa" w:w="120"/>
              <w:bottom w:type="dxa" w:w="80"/>
              <w:right w:type="dxa" w:w="120"/>
            </w:tcMar>
          </w:tcPr>
          <w:p>
            <w:r>
              <w:rPr>
                <w:b w:val="false"/>
                <w:bCs w:val="false"/>
                <w:color w:val="000000"/>
                <w:sz w:val="19"/>
                <w:szCs w:val="19"/>
              </w:rPr>
              <w:t xml:space="preserve">Povinné náležitosti dokladu</w:t>
            </w:r>
          </w:p>
        </w:tc>
        <w:tc>
          <w:tcPr>
            <w:tcW w:type="pct" w:w="22%"/>
            <w:tcMar>
              <w:top w:type="dxa" w:w="80"/>
              <w:left w:type="dxa" w:w="120"/>
              <w:bottom w:type="dxa" w:w="80"/>
              <w:right w:type="dxa" w:w="120"/>
            </w:tcMar>
          </w:tcPr>
          <w:p>
            <w:r>
              <w:rPr>
                <w:b w:val="false"/>
                <w:bCs w:val="false"/>
                <w:color w:val="000000"/>
                <w:sz w:val="19"/>
                <w:szCs w:val="19"/>
              </w:rPr>
              <w:t xml:space="preserve">§ 11 ZoÚ</w:t>
            </w:r>
          </w:p>
        </w:tc>
        <w:tc>
          <w:tcPr>
            <w:tcW w:type="pct" w:w="38%"/>
            <w:tcMar>
              <w:top w:type="dxa" w:w="80"/>
              <w:left w:type="dxa" w:w="120"/>
              <w:bottom w:type="dxa" w:w="80"/>
              <w:right w:type="dxa" w:w="120"/>
            </w:tcMar>
          </w:tcPr>
          <w:p>
            <w:r>
              <w:rPr>
                <w:b w:val="false"/>
                <w:bCs w:val="false"/>
                <w:color w:val="000000"/>
                <w:sz w:val="19"/>
                <w:szCs w:val="19"/>
              </w:rPr>
              <w:t xml:space="preserve">Validace při uložení dokladu</w:t>
            </w:r>
          </w:p>
        </w:tc>
      </w:tr>
      <w:tr>
        <w:tc>
          <w:tcPr>
            <w:tcW w:type="pct" w:w="40%"/>
            <w:tcMar>
              <w:top w:type="dxa" w:w="80"/>
              <w:left w:type="dxa" w:w="120"/>
              <w:bottom w:type="dxa" w:w="80"/>
              <w:right w:type="dxa" w:w="120"/>
            </w:tcMar>
          </w:tcPr>
          <w:p>
            <w:r>
              <w:rPr>
                <w:b w:val="false"/>
                <w:bCs w:val="false"/>
                <w:color w:val="000000"/>
                <w:sz w:val="19"/>
                <w:szCs w:val="19"/>
              </w:rPr>
              <w:t xml:space="preserve">Náležitosti daňového dokladu (po aktivaci DPH)</w:t>
            </w:r>
          </w:p>
        </w:tc>
        <w:tc>
          <w:tcPr>
            <w:tcW w:type="pct" w:w="22%"/>
            <w:tcMar>
              <w:top w:type="dxa" w:w="80"/>
              <w:left w:type="dxa" w:w="120"/>
              <w:bottom w:type="dxa" w:w="80"/>
              <w:right w:type="dxa" w:w="120"/>
            </w:tcMar>
          </w:tcPr>
          <w:p>
            <w:r>
              <w:rPr>
                <w:b w:val="false"/>
                <w:bCs w:val="false"/>
                <w:color w:val="000000"/>
                <w:sz w:val="19"/>
                <w:szCs w:val="19"/>
              </w:rPr>
              <w:t xml:space="preserve">§ 29 ZDPH</w:t>
            </w:r>
          </w:p>
        </w:tc>
        <w:tc>
          <w:tcPr>
            <w:tcW w:type="pct" w:w="38%"/>
            <w:tcMar>
              <w:top w:type="dxa" w:w="80"/>
              <w:left w:type="dxa" w:w="120"/>
              <w:bottom w:type="dxa" w:w="80"/>
              <w:right w:type="dxa" w:w="120"/>
            </w:tcMar>
          </w:tcPr>
          <w:p>
            <w:r>
              <w:rPr>
                <w:b w:val="false"/>
                <w:bCs w:val="false"/>
                <w:color w:val="000000"/>
                <w:sz w:val="19"/>
                <w:szCs w:val="19"/>
              </w:rPr>
              <w:t xml:space="preserve">DPH pole na dokladu + validace při aktivaci plátcovství</w:t>
            </w:r>
          </w:p>
        </w:tc>
      </w:tr>
      <w:tr>
        <w:tc>
          <w:tcPr>
            <w:tcW w:type="pct" w:w="40%"/>
            <w:tcMar>
              <w:top w:type="dxa" w:w="80"/>
              <w:left w:type="dxa" w:w="120"/>
              <w:bottom w:type="dxa" w:w="80"/>
              <w:right w:type="dxa" w:w="120"/>
            </w:tcMar>
          </w:tcPr>
          <w:p>
            <w:r>
              <w:rPr>
                <w:b w:val="false"/>
                <w:bCs w:val="false"/>
                <w:color w:val="000000"/>
                <w:sz w:val="19"/>
                <w:szCs w:val="19"/>
              </w:rPr>
              <w:t xml:space="preserve">Evidence pro DPH s rozlišením nad/pod 10 000 Kč</w:t>
            </w:r>
          </w:p>
        </w:tc>
        <w:tc>
          <w:tcPr>
            <w:tcW w:type="pct" w:w="22%"/>
            <w:tcMar>
              <w:top w:type="dxa" w:w="80"/>
              <w:left w:type="dxa" w:w="120"/>
              <w:bottom w:type="dxa" w:w="80"/>
              <w:right w:type="dxa" w:w="120"/>
            </w:tcMar>
          </w:tcPr>
          <w:p>
            <w:r>
              <w:rPr>
                <w:b w:val="false"/>
                <w:bCs w:val="false"/>
                <w:color w:val="000000"/>
                <w:sz w:val="19"/>
                <w:szCs w:val="19"/>
              </w:rPr>
              <w:t xml:space="preserve">§ 100 ZDPH, kontrolní hlášení</w:t>
            </w:r>
          </w:p>
        </w:tc>
        <w:tc>
          <w:tcPr>
            <w:tcW w:type="pct" w:w="38%"/>
            <w:tcMar>
              <w:top w:type="dxa" w:w="80"/>
              <w:left w:type="dxa" w:w="120"/>
              <w:bottom w:type="dxa" w:w="80"/>
              <w:right w:type="dxa" w:w="120"/>
            </w:tcMar>
          </w:tcPr>
          <w:p>
            <w:r>
              <w:rPr>
                <w:b w:val="false"/>
                <w:bCs w:val="false"/>
                <w:color w:val="000000"/>
                <w:sz w:val="19"/>
                <w:szCs w:val="19"/>
              </w:rPr>
              <w:t xml:space="preserve">Modul DPH</w:t>
            </w:r>
          </w:p>
        </w:tc>
      </w:tr>
      <w:tr>
        <w:tc>
          <w:tcPr>
            <w:tcW w:type="pct" w:w="40%"/>
            <w:tcMar>
              <w:top w:type="dxa" w:w="80"/>
              <w:left w:type="dxa" w:w="120"/>
              <w:bottom w:type="dxa" w:w="80"/>
              <w:right w:type="dxa" w:w="120"/>
            </w:tcMar>
          </w:tcPr>
          <w:p>
            <w:r>
              <w:rPr>
                <w:b w:val="false"/>
                <w:bCs w:val="false"/>
                <w:color w:val="000000"/>
                <w:sz w:val="19"/>
                <w:szCs w:val="19"/>
              </w:rPr>
              <w:t xml:space="preserve">Archivace 5 let (doklady) / 10 let (daňové doklady, závěrka)</w:t>
            </w:r>
          </w:p>
        </w:tc>
        <w:tc>
          <w:tcPr>
            <w:tcW w:type="pct" w:w="22%"/>
            <w:tcMar>
              <w:top w:type="dxa" w:w="80"/>
              <w:left w:type="dxa" w:w="120"/>
              <w:bottom w:type="dxa" w:w="80"/>
              <w:right w:type="dxa" w:w="120"/>
            </w:tcMar>
          </w:tcPr>
          <w:p>
            <w:r>
              <w:rPr>
                <w:b w:val="false"/>
                <w:bCs w:val="false"/>
                <w:color w:val="000000"/>
                <w:sz w:val="19"/>
                <w:szCs w:val="19"/>
              </w:rPr>
              <w:t xml:space="preserve">§ 31 ZoÚ, § 35 ZDPH</w:t>
            </w:r>
          </w:p>
        </w:tc>
        <w:tc>
          <w:tcPr>
            <w:tcW w:type="pct" w:w="38%"/>
            <w:tcMar>
              <w:top w:type="dxa" w:w="80"/>
              <w:left w:type="dxa" w:w="120"/>
              <w:bottom w:type="dxa" w:w="80"/>
              <w:right w:type="dxa" w:w="120"/>
            </w:tcMar>
          </w:tcPr>
          <w:p>
            <w:r>
              <w:rPr>
                <w:b w:val="false"/>
                <w:bCs w:val="false"/>
                <w:color w:val="000000"/>
                <w:sz w:val="19"/>
                <w:szCs w:val="19"/>
              </w:rPr>
              <w:t xml:space="preserve">Archivační modul s diferencovanou retencí podle typu</w:t>
            </w:r>
          </w:p>
        </w:tc>
      </w:tr>
      <w:tr>
        <w:tc>
          <w:tcPr>
            <w:tcW w:type="pct" w:w="40%"/>
            <w:tcMar>
              <w:top w:type="dxa" w:w="80"/>
              <w:left w:type="dxa" w:w="120"/>
              <w:bottom w:type="dxa" w:w="80"/>
              <w:right w:type="dxa" w:w="120"/>
            </w:tcMar>
          </w:tcPr>
          <w:p>
            <w:r>
              <w:rPr>
                <w:b w:val="false"/>
                <w:bCs w:val="false"/>
                <w:color w:val="000000"/>
                <w:sz w:val="19"/>
                <w:szCs w:val="19"/>
              </w:rPr>
              <w:t xml:space="preserve">Inventarizace k rozvahovému dni</w:t>
            </w:r>
          </w:p>
        </w:tc>
        <w:tc>
          <w:tcPr>
            <w:tcW w:type="pct" w:w="22%"/>
            <w:tcMar>
              <w:top w:type="dxa" w:w="80"/>
              <w:left w:type="dxa" w:w="120"/>
              <w:bottom w:type="dxa" w:w="80"/>
              <w:right w:type="dxa" w:w="120"/>
            </w:tcMar>
          </w:tcPr>
          <w:p>
            <w:r>
              <w:rPr>
                <w:b w:val="false"/>
                <w:bCs w:val="false"/>
                <w:color w:val="000000"/>
                <w:sz w:val="19"/>
                <w:szCs w:val="19"/>
              </w:rPr>
              <w:t xml:space="preserve">§ 29–30 ZoÚ</w:t>
            </w:r>
          </w:p>
        </w:tc>
        <w:tc>
          <w:tcPr>
            <w:tcW w:type="pct" w:w="38%"/>
            <w:tcMar>
              <w:top w:type="dxa" w:w="80"/>
              <w:left w:type="dxa" w:w="120"/>
              <w:bottom w:type="dxa" w:w="80"/>
              <w:right w:type="dxa" w:w="120"/>
            </w:tcMar>
          </w:tcPr>
          <w:p>
            <w:r>
              <w:rPr>
                <w:b w:val="false"/>
                <w:bCs w:val="false"/>
                <w:color w:val="000000"/>
                <w:sz w:val="19"/>
                <w:szCs w:val="19"/>
              </w:rPr>
              <w:t xml:space="preserve">Modul Inventarizace a roční uzávěrka</w:t>
            </w:r>
          </w:p>
        </w:tc>
      </w:tr>
      <w:tr>
        <w:tc>
          <w:tcPr>
            <w:tcW w:type="pct" w:w="40%"/>
            <w:tcMar>
              <w:top w:type="dxa" w:w="80"/>
              <w:left w:type="dxa" w:w="120"/>
              <w:bottom w:type="dxa" w:w="80"/>
              <w:right w:type="dxa" w:w="120"/>
            </w:tcMar>
          </w:tcPr>
          <w:p>
            <w:r>
              <w:rPr>
                <w:b w:val="false"/>
                <w:bCs w:val="false"/>
                <w:color w:val="000000"/>
                <w:sz w:val="19"/>
                <w:szCs w:val="19"/>
              </w:rPr>
              <w:t xml:space="preserve">Rozvaha a výsledovka ve zjednodušeném rozsahu</w:t>
            </w:r>
          </w:p>
        </w:tc>
        <w:tc>
          <w:tcPr>
            <w:tcW w:type="pct" w:w="22%"/>
            <w:tcMar>
              <w:top w:type="dxa" w:w="80"/>
              <w:left w:type="dxa" w:w="120"/>
              <w:bottom w:type="dxa" w:w="80"/>
              <w:right w:type="dxa" w:w="120"/>
            </w:tcMar>
          </w:tcPr>
          <w:p>
            <w:r>
              <w:rPr>
                <w:b w:val="false"/>
                <w:bCs w:val="false"/>
                <w:color w:val="000000"/>
                <w:sz w:val="19"/>
                <w:szCs w:val="19"/>
              </w:rPr>
              <w:t xml:space="preserve">vyhl. 500/2002 Sb., příl. 1 a 2</w:t>
            </w:r>
          </w:p>
        </w:tc>
        <w:tc>
          <w:tcPr>
            <w:tcW w:type="pct" w:w="38%"/>
            <w:tcMar>
              <w:top w:type="dxa" w:w="80"/>
              <w:left w:type="dxa" w:w="120"/>
              <w:bottom w:type="dxa" w:w="80"/>
              <w:right w:type="dxa" w:w="120"/>
            </w:tcMar>
          </w:tcPr>
          <w:p>
            <w:r>
              <w:rPr>
                <w:b w:val="false"/>
                <w:bCs w:val="false"/>
                <w:color w:val="000000"/>
                <w:sz w:val="19"/>
                <w:szCs w:val="19"/>
              </w:rPr>
              <w:t xml:space="preserve">Modul Výkazy</w:t>
            </w:r>
          </w:p>
        </w:tc>
      </w:tr>
      <w:tr>
        <w:tc>
          <w:tcPr>
            <w:tcW w:type="pct" w:w="40%"/>
            <w:tcMar>
              <w:top w:type="dxa" w:w="80"/>
              <w:left w:type="dxa" w:w="120"/>
              <w:bottom w:type="dxa" w:w="80"/>
              <w:right w:type="dxa" w:w="120"/>
            </w:tcMar>
          </w:tcPr>
          <w:p>
            <w:r>
              <w:rPr>
                <w:b w:val="false"/>
                <w:bCs w:val="false"/>
                <w:color w:val="000000"/>
                <w:sz w:val="19"/>
                <w:szCs w:val="19"/>
              </w:rPr>
              <w:t xml:space="preserve">Účtový rozvrh dle směrné účtové osnovy</w:t>
            </w:r>
          </w:p>
        </w:tc>
        <w:tc>
          <w:tcPr>
            <w:tcW w:type="pct" w:w="22%"/>
            <w:tcMar>
              <w:top w:type="dxa" w:w="80"/>
              <w:left w:type="dxa" w:w="120"/>
              <w:bottom w:type="dxa" w:w="80"/>
              <w:right w:type="dxa" w:w="120"/>
            </w:tcMar>
          </w:tcPr>
          <w:p>
            <w:r>
              <w:rPr>
                <w:b w:val="false"/>
                <w:bCs w:val="false"/>
                <w:color w:val="000000"/>
                <w:sz w:val="19"/>
                <w:szCs w:val="19"/>
              </w:rPr>
              <w:t xml:space="preserve">vyhl. 500/2002 Sb., příl. 4</w:t>
            </w:r>
          </w:p>
        </w:tc>
        <w:tc>
          <w:tcPr>
            <w:tcW w:type="pct" w:w="38%"/>
            <w:tcMar>
              <w:top w:type="dxa" w:w="80"/>
              <w:left w:type="dxa" w:w="120"/>
              <w:bottom w:type="dxa" w:w="80"/>
              <w:right w:type="dxa" w:w="120"/>
            </w:tcMar>
          </w:tcPr>
          <w:p>
            <w:r>
              <w:rPr>
                <w:b w:val="false"/>
                <w:bCs w:val="false"/>
                <w:color w:val="000000"/>
                <w:sz w:val="19"/>
                <w:szCs w:val="19"/>
              </w:rPr>
              <w:t xml:space="preserve">Modul Účtový rozvrh</w:t>
            </w:r>
          </w:p>
        </w:tc>
      </w:tr>
      <w:tr>
        <w:tc>
          <w:tcPr>
            <w:tcW w:type="pct" w:w="40%"/>
            <w:tcMar>
              <w:top w:type="dxa" w:w="80"/>
              <w:left w:type="dxa" w:w="120"/>
              <w:bottom w:type="dxa" w:w="80"/>
              <w:right w:type="dxa" w:w="120"/>
            </w:tcMar>
          </w:tcPr>
          <w:p>
            <w:r>
              <w:rPr>
                <w:b w:val="false"/>
                <w:bCs w:val="false"/>
                <w:color w:val="000000"/>
                <w:sz w:val="19"/>
                <w:szCs w:val="19"/>
              </w:rPr>
              <w:t xml:space="preserve">Zabezpečení proti zneužití/ztrátě dat</w:t>
            </w:r>
          </w:p>
        </w:tc>
        <w:tc>
          <w:tcPr>
            <w:tcW w:type="pct" w:w="22%"/>
            <w:tcMar>
              <w:top w:type="dxa" w:w="80"/>
              <w:left w:type="dxa" w:w="120"/>
              <w:bottom w:type="dxa" w:w="80"/>
              <w:right w:type="dxa" w:w="120"/>
            </w:tcMar>
          </w:tcPr>
          <w:p>
            <w:r>
              <w:rPr>
                <w:b w:val="false"/>
                <w:bCs w:val="false"/>
                <w:color w:val="000000"/>
                <w:sz w:val="19"/>
                <w:szCs w:val="19"/>
              </w:rPr>
              <w:t xml:space="preserve">§ 33 odst. 9 ZoÚ, GDPR</w:t>
            </w:r>
          </w:p>
        </w:tc>
        <w:tc>
          <w:tcPr>
            <w:tcW w:type="pct" w:w="38%"/>
            <w:tcMar>
              <w:top w:type="dxa" w:w="80"/>
              <w:left w:type="dxa" w:w="120"/>
              <w:bottom w:type="dxa" w:w="80"/>
              <w:right w:type="dxa" w:w="120"/>
            </w:tcMar>
          </w:tcPr>
          <w:p>
            <w:r>
              <w:rPr>
                <w:b w:val="false"/>
                <w:bCs w:val="false"/>
                <w:color w:val="000000"/>
                <w:sz w:val="19"/>
                <w:szCs w:val="19"/>
              </w:rPr>
              <w:t xml:space="preserve">Přístupová práva, zálohování, šifrování</w:t>
            </w:r>
          </w:p>
        </w:tc>
      </w:tr>
      <w:tr>
        <w:tc>
          <w:tcPr>
            <w:tcW w:type="pct" w:w="40%"/>
            <w:tcMar>
              <w:top w:type="dxa" w:w="80"/>
              <w:left w:type="dxa" w:w="120"/>
              <w:bottom w:type="dxa" w:w="80"/>
              <w:right w:type="dxa" w:w="120"/>
            </w:tcMar>
          </w:tcPr>
          <w:p>
            <w:r>
              <w:rPr>
                <w:b w:val="false"/>
                <w:bCs w:val="false"/>
                <w:color w:val="000000"/>
                <w:sz w:val="19"/>
                <w:szCs w:val="19"/>
              </w:rPr>
              <w:t xml:space="preserve">Alternativní daňová evidence pro OSVČ</w:t>
            </w:r>
          </w:p>
        </w:tc>
        <w:tc>
          <w:tcPr>
            <w:tcW w:type="pct" w:w="22%"/>
            <w:tcMar>
              <w:top w:type="dxa" w:w="80"/>
              <w:left w:type="dxa" w:w="120"/>
              <w:bottom w:type="dxa" w:w="80"/>
              <w:right w:type="dxa" w:w="120"/>
            </w:tcMar>
          </w:tcPr>
          <w:p>
            <w:r>
              <w:rPr>
                <w:b w:val="false"/>
                <w:bCs w:val="false"/>
                <w:color w:val="000000"/>
                <w:sz w:val="19"/>
                <w:szCs w:val="19"/>
              </w:rPr>
              <w:t xml:space="preserve">§ 7b ZDP</w:t>
            </w:r>
          </w:p>
        </w:tc>
        <w:tc>
          <w:tcPr>
            <w:tcW w:type="pct" w:w="38%"/>
            <w:tcMar>
              <w:top w:type="dxa" w:w="80"/>
              <w:left w:type="dxa" w:w="120"/>
              <w:bottom w:type="dxa" w:w="80"/>
              <w:right w:type="dxa" w:w="120"/>
            </w:tcMar>
          </w:tcPr>
          <w:p>
            <w:r>
              <w:rPr>
                <w:b w:val="false"/>
                <w:bCs w:val="false"/>
                <w:color w:val="000000"/>
                <w:sz w:val="19"/>
                <w:szCs w:val="19"/>
              </w:rPr>
              <w:t xml:space="preserve">Přepínatelný účetní režim</w:t>
            </w:r>
          </w:p>
        </w:tc>
      </w:tr>
    </w:tbl>
    <w:p>
      <w:pPr>
        <w:pStyle w:val="Heading1"/>
        <w:spacing w:after="180" w:before="420"/>
      </w:pPr>
      <w:r>
        <w:rPr>
          <w:b/>
          <w:bCs/>
          <w:color w:val="0b3d5c"/>
          <w:sz w:val="30"/>
          <w:szCs w:val="30"/>
        </w:rPr>
        <w:t xml:space="preserve">8. Doporučený postup vývoje</w:t>
      </w:r>
    </w:p>
    <w:p>
      <w:pPr>
        <w:spacing w:after="140" w:line="300"/>
      </w:pPr>
      <w:r>
        <w:rPr>
          <w:sz w:val="21"/>
          <w:szCs w:val="21"/>
        </w:rPr>
        <w:t xml:space="preserve">Vzhledem k tomu, že se souběžně najímá účetní firma (viz předchozí rozhodnutí), doporučujeme systém stavět po fázích a v první fázi ho provozovat paralelně s účetní, ne místo ní — dokud se v ostrém provozu neověří správnost výkazů alespoň za jedno celé účetní období.</w:t>
      </w:r>
    </w:p>
    <w:p>
      <w:pPr>
        <w:pStyle w:val="Heading2"/>
        <w:spacing w:after="120" w:before="280"/>
      </w:pPr>
      <w:r>
        <w:rPr>
          <w:b/>
          <w:bCs/>
          <w:color w:val="0b3d5c"/>
          <w:sz w:val="24"/>
          <w:szCs w:val="24"/>
        </w:rPr>
        <w:t xml:space="preserve">8.1 Fázový plán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c>
          <w:tcPr>
            <w:tcW w:type="pct" w:w="22%"/>
            <w:shd w:fill="0b3d5c" w:val="clear"/>
            <w:tcMar>
              <w:top w:type="dxa" w:w="80"/>
              <w:left w:type="dxa" w:w="120"/>
              <w:bottom w:type="dxa" w:w="80"/>
              <w:right w:type="dxa" w:w="120"/>
            </w:tcMar>
          </w:tcPr>
          <w:p>
            <w:r>
              <w:rPr>
                <w:b/>
                <w:bCs/>
                <w:color w:val="FFFFFF"/>
                <w:sz w:val="19"/>
                <w:szCs w:val="19"/>
              </w:rPr>
              <w:t xml:space="preserve">Fáze</w:t>
            </w:r>
          </w:p>
        </w:tc>
        <w:tc>
          <w:tcPr>
            <w:tcW w:type="pct" w:w="46%"/>
            <w:shd w:fill="0b3d5c" w:val="clear"/>
            <w:tcMar>
              <w:top w:type="dxa" w:w="80"/>
              <w:left w:type="dxa" w:w="120"/>
              <w:bottom w:type="dxa" w:w="80"/>
              <w:right w:type="dxa" w:w="120"/>
            </w:tcMar>
          </w:tcPr>
          <w:p>
            <w:r>
              <w:rPr>
                <w:b/>
                <w:bCs/>
                <w:color w:val="FFFFFF"/>
                <w:sz w:val="19"/>
                <w:szCs w:val="19"/>
              </w:rPr>
              <w:t xml:space="preserve">Obsah</w:t>
            </w:r>
          </w:p>
        </w:tc>
        <w:tc>
          <w:tcPr>
            <w:tcW w:type="pct" w:w="32%"/>
            <w:shd w:fill="0b3d5c" w:val="clear"/>
            <w:tcMar>
              <w:top w:type="dxa" w:w="80"/>
              <w:left w:type="dxa" w:w="120"/>
              <w:bottom w:type="dxa" w:w="80"/>
              <w:right w:type="dxa" w:w="120"/>
            </w:tcMar>
          </w:tcPr>
          <w:p>
            <w:r>
              <w:rPr>
                <w:b/>
                <w:bCs/>
                <w:color w:val="FFFFFF"/>
                <w:sz w:val="19"/>
                <w:szCs w:val="19"/>
              </w:rPr>
              <w:t xml:space="preserve">Výstup</w:t>
            </w:r>
          </w:p>
        </w:tc>
      </w:tr>
      <w:tr>
        <w:tc>
          <w:tcPr>
            <w:tcW w:type="pct" w:w="22%"/>
            <w:tcMar>
              <w:top w:type="dxa" w:w="80"/>
              <w:left w:type="dxa" w:w="120"/>
              <w:bottom w:type="dxa" w:w="80"/>
              <w:right w:type="dxa" w:w="120"/>
            </w:tcMar>
          </w:tcPr>
          <w:p>
            <w:r>
              <w:rPr>
                <w:b w:val="false"/>
                <w:bCs w:val="false"/>
                <w:color w:val="000000"/>
                <w:sz w:val="19"/>
                <w:szCs w:val="19"/>
              </w:rPr>
              <w:t xml:space="preserve">Fáze 0 — Příprava</w:t>
            </w:r>
          </w:p>
        </w:tc>
        <w:tc>
          <w:tcPr>
            <w:tcW w:type="pct" w:w="46%"/>
            <w:tcMar>
              <w:top w:type="dxa" w:w="80"/>
              <w:left w:type="dxa" w:w="120"/>
              <w:bottom w:type="dxa" w:w="80"/>
              <w:right w:type="dxa" w:w="120"/>
            </w:tcMar>
          </w:tcPr>
          <w:p>
            <w:r>
              <w:rPr>
                <w:b w:val="false"/>
                <w:bCs w:val="false"/>
                <w:color w:val="000000"/>
                <w:sz w:val="19"/>
                <w:szCs w:val="19"/>
              </w:rPr>
              <w:t xml:space="preserve">Finalizace datového modelu, výběr technologií, návrh účtového rozvrhu na míru Globaal Elevate</w:t>
            </w:r>
          </w:p>
        </w:tc>
        <w:tc>
          <w:tcPr>
            <w:tcW w:type="pct" w:w="32%"/>
            <w:tcMar>
              <w:top w:type="dxa" w:w="80"/>
              <w:left w:type="dxa" w:w="120"/>
              <w:bottom w:type="dxa" w:w="80"/>
              <w:right w:type="dxa" w:w="120"/>
            </w:tcMar>
          </w:tcPr>
          <w:p>
            <w:r>
              <w:rPr>
                <w:b w:val="false"/>
                <w:bCs w:val="false"/>
                <w:color w:val="000000"/>
                <w:sz w:val="19"/>
                <w:szCs w:val="19"/>
              </w:rPr>
              <w:t xml:space="preserve">Technická specifikace, schéma databáze</w:t>
            </w:r>
          </w:p>
        </w:tc>
      </w:tr>
      <w:tr>
        <w:tc>
          <w:tcPr>
            <w:tcW w:type="pct" w:w="22%"/>
            <w:tcMar>
              <w:top w:type="dxa" w:w="80"/>
              <w:left w:type="dxa" w:w="120"/>
              <w:bottom w:type="dxa" w:w="80"/>
              <w:right w:type="dxa" w:w="120"/>
            </w:tcMar>
          </w:tcPr>
          <w:p>
            <w:r>
              <w:rPr>
                <w:b w:val="false"/>
                <w:bCs w:val="false"/>
                <w:color w:val="000000"/>
                <w:sz w:val="19"/>
                <w:szCs w:val="19"/>
              </w:rPr>
              <w:t xml:space="preserve">Fáze 1 — Jádro</w:t>
            </w:r>
          </w:p>
        </w:tc>
        <w:tc>
          <w:tcPr>
            <w:tcW w:type="pct" w:w="46%"/>
            <w:tcMar>
              <w:top w:type="dxa" w:w="80"/>
              <w:left w:type="dxa" w:w="120"/>
              <w:bottom w:type="dxa" w:w="80"/>
              <w:right w:type="dxa" w:w="120"/>
            </w:tcMar>
          </w:tcPr>
          <w:p>
            <w:r>
              <w:rPr>
                <w:b w:val="false"/>
                <w:bCs w:val="false"/>
                <w:color w:val="000000"/>
                <w:sz w:val="19"/>
                <w:szCs w:val="19"/>
              </w:rPr>
              <w:t xml:space="preserve">Moduly Doklady, Účetní deník/Hlavní kniha, Účtový rozvrh, Audit log</w:t>
            </w:r>
          </w:p>
        </w:tc>
        <w:tc>
          <w:tcPr>
            <w:tcW w:type="pct" w:w="32%"/>
            <w:tcMar>
              <w:top w:type="dxa" w:w="80"/>
              <w:left w:type="dxa" w:w="120"/>
              <w:bottom w:type="dxa" w:w="80"/>
              <w:right w:type="dxa" w:w="120"/>
            </w:tcMar>
          </w:tcPr>
          <w:p>
            <w:r>
              <w:rPr>
                <w:b w:val="false"/>
                <w:bCs w:val="false"/>
                <w:color w:val="000000"/>
                <w:sz w:val="19"/>
                <w:szCs w:val="19"/>
              </w:rPr>
              <w:t xml:space="preserve">Funkční zaznamenávání a zaúčtování dokladů</w:t>
            </w:r>
          </w:p>
        </w:tc>
      </w:tr>
      <w:tr>
        <w:tc>
          <w:tcPr>
            <w:tcW w:type="pct" w:w="22%"/>
            <w:tcMar>
              <w:top w:type="dxa" w:w="80"/>
              <w:left w:type="dxa" w:w="120"/>
              <w:bottom w:type="dxa" w:w="80"/>
              <w:right w:type="dxa" w:w="120"/>
            </w:tcMar>
          </w:tcPr>
          <w:p>
            <w:r>
              <w:rPr>
                <w:b w:val="false"/>
                <w:bCs w:val="false"/>
                <w:color w:val="000000"/>
                <w:sz w:val="19"/>
                <w:szCs w:val="19"/>
              </w:rPr>
              <w:t xml:space="preserve">Fáze 2 — Banka, pokladna, kontakty</w:t>
            </w:r>
          </w:p>
        </w:tc>
        <w:tc>
          <w:tcPr>
            <w:tcW w:type="pct" w:w="46%"/>
            <w:tcMar>
              <w:top w:type="dxa" w:w="80"/>
              <w:left w:type="dxa" w:w="120"/>
              <w:bottom w:type="dxa" w:w="80"/>
              <w:right w:type="dxa" w:w="120"/>
            </w:tcMar>
          </w:tcPr>
          <w:p>
            <w:r>
              <w:rPr>
                <w:b w:val="false"/>
                <w:bCs w:val="false"/>
                <w:color w:val="000000"/>
                <w:sz w:val="19"/>
                <w:szCs w:val="19"/>
              </w:rPr>
              <w:t xml:space="preserve">Párování plateb, pokladní kniha, evidence dodavatelů/umělců</w:t>
            </w:r>
          </w:p>
        </w:tc>
        <w:tc>
          <w:tcPr>
            <w:tcW w:type="pct" w:w="32%"/>
            <w:tcMar>
              <w:top w:type="dxa" w:w="80"/>
              <w:left w:type="dxa" w:w="120"/>
              <w:bottom w:type="dxa" w:w="80"/>
              <w:right w:type="dxa" w:w="120"/>
            </w:tcMar>
          </w:tcPr>
          <w:p>
            <w:r>
              <w:rPr>
                <w:b w:val="false"/>
                <w:bCs w:val="false"/>
                <w:color w:val="000000"/>
                <w:sz w:val="19"/>
                <w:szCs w:val="19"/>
              </w:rPr>
              <w:t xml:space="preserve">Kompletní prvotní evidence nahrazující současný fakturační systém</w:t>
            </w:r>
          </w:p>
        </w:tc>
      </w:tr>
      <w:tr>
        <w:tc>
          <w:tcPr>
            <w:tcW w:type="pct" w:w="22%"/>
            <w:tcMar>
              <w:top w:type="dxa" w:w="80"/>
              <w:left w:type="dxa" w:w="120"/>
              <w:bottom w:type="dxa" w:w="80"/>
              <w:right w:type="dxa" w:w="120"/>
            </w:tcMar>
          </w:tcPr>
          <w:p>
            <w:r>
              <w:rPr>
                <w:b w:val="false"/>
                <w:bCs w:val="false"/>
                <w:color w:val="000000"/>
                <w:sz w:val="19"/>
                <w:szCs w:val="19"/>
              </w:rPr>
              <w:t xml:space="preserve">Fáze 3 — Výkazy a uzávěrka</w:t>
            </w:r>
          </w:p>
        </w:tc>
        <w:tc>
          <w:tcPr>
            <w:tcW w:type="pct" w:w="46%"/>
            <w:tcMar>
              <w:top w:type="dxa" w:w="80"/>
              <w:left w:type="dxa" w:w="120"/>
              <w:bottom w:type="dxa" w:w="80"/>
              <w:right w:type="dxa" w:w="120"/>
            </w:tcMar>
          </w:tcPr>
          <w:p>
            <w:r>
              <w:rPr>
                <w:b w:val="false"/>
                <w:bCs w:val="false"/>
                <w:color w:val="000000"/>
                <w:sz w:val="19"/>
                <w:szCs w:val="19"/>
              </w:rPr>
              <w:t xml:space="preserve">Rozvaha, výsledovka, inventarizace, uzamykání období</w:t>
            </w:r>
          </w:p>
        </w:tc>
        <w:tc>
          <w:tcPr>
            <w:tcW w:type="pct" w:w="32%"/>
            <w:tcMar>
              <w:top w:type="dxa" w:w="80"/>
              <w:left w:type="dxa" w:w="120"/>
              <w:bottom w:type="dxa" w:w="80"/>
              <w:right w:type="dxa" w:w="120"/>
            </w:tcMar>
          </w:tcPr>
          <w:p>
            <w:r>
              <w:rPr>
                <w:b w:val="false"/>
                <w:bCs w:val="false"/>
                <w:color w:val="000000"/>
                <w:sz w:val="19"/>
                <w:szCs w:val="19"/>
              </w:rPr>
              <w:t xml:space="preserve">Schopnost vygenerovat účetní závěrku</w:t>
            </w:r>
          </w:p>
        </w:tc>
      </w:tr>
      <w:tr>
        <w:tc>
          <w:tcPr>
            <w:tcW w:type="pct" w:w="22%"/>
            <w:tcMar>
              <w:top w:type="dxa" w:w="80"/>
              <w:left w:type="dxa" w:w="120"/>
              <w:bottom w:type="dxa" w:w="80"/>
              <w:right w:type="dxa" w:w="120"/>
            </w:tcMar>
          </w:tcPr>
          <w:p>
            <w:r>
              <w:rPr>
                <w:b w:val="false"/>
                <w:bCs w:val="false"/>
                <w:color w:val="000000"/>
                <w:sz w:val="19"/>
                <w:szCs w:val="19"/>
              </w:rPr>
              <w:t xml:space="preserve">Fáze 4 — Paralelní běh s účetní</w:t>
            </w:r>
          </w:p>
        </w:tc>
        <w:tc>
          <w:tcPr>
            <w:tcW w:type="pct" w:w="46%"/>
            <w:tcMar>
              <w:top w:type="dxa" w:w="80"/>
              <w:left w:type="dxa" w:w="120"/>
              <w:bottom w:type="dxa" w:w="80"/>
              <w:right w:type="dxa" w:w="120"/>
            </w:tcMar>
          </w:tcPr>
          <w:p>
            <w:r>
              <w:rPr>
                <w:b w:val="false"/>
                <w:bCs w:val="false"/>
                <w:color w:val="000000"/>
                <w:sz w:val="19"/>
                <w:szCs w:val="19"/>
              </w:rPr>
              <w:t xml:space="preserve">Souběžné vedení v systému i u účetní firmy, porovnání výstupů</w:t>
            </w:r>
          </w:p>
        </w:tc>
        <w:tc>
          <w:tcPr>
            <w:tcW w:type="pct" w:w="32%"/>
            <w:tcMar>
              <w:top w:type="dxa" w:w="80"/>
              <w:left w:type="dxa" w:w="120"/>
              <w:bottom w:type="dxa" w:w="80"/>
              <w:right w:type="dxa" w:w="120"/>
            </w:tcMar>
          </w:tcPr>
          <w:p>
            <w:r>
              <w:rPr>
                <w:b w:val="false"/>
                <w:bCs w:val="false"/>
                <w:color w:val="000000"/>
                <w:sz w:val="19"/>
                <w:szCs w:val="19"/>
              </w:rPr>
              <w:t xml:space="preserve">Ověření správnosti před plným přechodem</w:t>
            </w:r>
          </w:p>
        </w:tc>
      </w:tr>
      <w:tr>
        <w:tc>
          <w:tcPr>
            <w:tcW w:type="pct" w:w="22%"/>
            <w:tcMar>
              <w:top w:type="dxa" w:w="80"/>
              <w:left w:type="dxa" w:w="120"/>
              <w:bottom w:type="dxa" w:w="80"/>
              <w:right w:type="dxa" w:w="120"/>
            </w:tcMar>
          </w:tcPr>
          <w:p>
            <w:r>
              <w:rPr>
                <w:b w:val="false"/>
                <w:bCs w:val="false"/>
                <w:color w:val="000000"/>
                <w:sz w:val="19"/>
                <w:szCs w:val="19"/>
              </w:rPr>
              <w:t xml:space="preserve">Fáze 5 — DPH modul (aktivace při potřebě)</w:t>
            </w:r>
          </w:p>
        </w:tc>
        <w:tc>
          <w:tcPr>
            <w:tcW w:type="pct" w:w="46%"/>
            <w:tcMar>
              <w:top w:type="dxa" w:w="80"/>
              <w:left w:type="dxa" w:w="120"/>
              <w:bottom w:type="dxa" w:w="80"/>
              <w:right w:type="dxa" w:w="120"/>
            </w:tcMar>
          </w:tcPr>
          <w:p>
            <w:r>
              <w:rPr>
                <w:b w:val="false"/>
                <w:bCs w:val="false"/>
                <w:color w:val="000000"/>
                <w:sz w:val="19"/>
                <w:szCs w:val="19"/>
              </w:rPr>
              <w:t xml:space="preserve">Zapnutí validací, evidence pro kontrolní hlášení</w:t>
            </w:r>
          </w:p>
        </w:tc>
        <w:tc>
          <w:tcPr>
            <w:tcW w:type="pct" w:w="32%"/>
            <w:tcMar>
              <w:top w:type="dxa" w:w="80"/>
              <w:left w:type="dxa" w:w="120"/>
              <w:bottom w:type="dxa" w:w="80"/>
              <w:right w:type="dxa" w:w="120"/>
            </w:tcMar>
          </w:tcPr>
          <w:p>
            <w:r>
              <w:rPr>
                <w:b w:val="false"/>
                <w:bCs w:val="false"/>
                <w:color w:val="000000"/>
                <w:sz w:val="19"/>
                <w:szCs w:val="19"/>
              </w:rPr>
              <w:t xml:space="preserve">Připravenost na registraci k DPH bez migrace dat</w:t>
            </w:r>
          </w:p>
        </w:tc>
      </w:tr>
    </w:tbl>
    <w:p>
      <w:pPr>
        <w:pStyle w:val="Heading2"/>
        <w:spacing w:after="120" w:before="280"/>
      </w:pPr>
      <w:r>
        <w:rPr>
          <w:b/>
          <w:bCs/>
          <w:color w:val="0b3d5c"/>
          <w:sz w:val="24"/>
          <w:szCs w:val="24"/>
        </w:rPr>
        <w:t xml:space="preserve">8.2 Doporučené technologie (orientační)</w:t>
      </w:r>
    </w:p>
    <w:p>
      <w:pPr>
        <w:pStyle w:val="ListParagraph"/>
        <w:numPr>
          <w:ilvl w:val="0"/>
          <w:numId w:val="2"/>
        </w:numPr>
        <w:spacing w:after="80" w:line="290"/>
      </w:pPr>
      <w:r>
        <w:rPr>
          <w:b/>
          <w:bCs/>
          <w:sz w:val="21"/>
          <w:szCs w:val="21"/>
        </w:rPr>
        <w:t xml:space="preserve">Databáze: </w:t>
      </w:r>
      <w:r>
        <w:rPr>
          <w:sz w:val="21"/>
          <w:szCs w:val="21"/>
        </w:rPr>
        <w:t xml:space="preserve">PostgreSQL — silná podpora transakcí a integritních omezení, dobře se hodí pro append-only návrh s cizími klíči na storno záznamy.</w:t>
      </w:r>
    </w:p>
    <w:p>
      <w:pPr>
        <w:pStyle w:val="ListParagraph"/>
        <w:numPr>
          <w:ilvl w:val="0"/>
          <w:numId w:val="2"/>
        </w:numPr>
        <w:spacing w:after="80" w:line="290"/>
      </w:pPr>
      <w:r>
        <w:rPr>
          <w:b/>
          <w:bCs/>
          <w:sz w:val="21"/>
          <w:szCs w:val="21"/>
        </w:rPr>
        <w:t xml:space="preserve">Backend: </w:t>
      </w:r>
      <w:r>
        <w:rPr>
          <w:sz w:val="21"/>
          <w:szCs w:val="21"/>
        </w:rPr>
        <w:t xml:space="preserve">libovolný stack se silnou podporou transakčního zpracování (např. Node.js/TypeScript nebo Python) — důležitější než konkrétní framework je disciplína v transakční integritě zaúčtování.</w:t>
      </w:r>
    </w:p>
    <w:p>
      <w:pPr>
        <w:pStyle w:val="ListParagraph"/>
        <w:numPr>
          <w:ilvl w:val="0"/>
          <w:numId w:val="2"/>
        </w:numPr>
        <w:spacing w:after="80" w:line="290"/>
      </w:pPr>
      <w:r>
        <w:rPr>
          <w:b/>
          <w:bCs/>
          <w:sz w:val="21"/>
          <w:szCs w:val="21"/>
        </w:rPr>
        <w:t xml:space="preserve">Audit log: </w:t>
      </w:r>
      <w:r>
        <w:rPr>
          <w:sz w:val="21"/>
          <w:szCs w:val="21"/>
        </w:rPr>
        <w:t xml:space="preserve">buď dedikovaná append-only tabulka s databázovými triggery bránícími UPDATE/DELETE, nebo event-sourcing přístup, kde je audit log samotným zdrojem pravdy a hlavní kniha jen odvozený pohled.</w:t>
      </w:r>
    </w:p>
    <w:p>
      <w:pPr>
        <w:pStyle w:val="ListParagraph"/>
        <w:numPr>
          <w:ilvl w:val="0"/>
          <w:numId w:val="2"/>
        </w:numPr>
        <w:spacing w:after="80" w:line="290"/>
      </w:pPr>
      <w:r>
        <w:rPr>
          <w:b/>
          <w:bCs/>
          <w:sz w:val="21"/>
          <w:szCs w:val="21"/>
        </w:rPr>
        <w:t xml:space="preserve">Zálohování: </w:t>
      </w:r>
      <w:r>
        <w:rPr>
          <w:sz w:val="21"/>
          <w:szCs w:val="21"/>
        </w:rPr>
        <w:t xml:space="preserve">pravidelné automatizované zálohy s off-site úložištěm — vzhledem k 5–10leté archivační povinnosti musí zálohovací strategie počítat s dlouhodobou obnovitelností, ne jen krátkodobým disaster recovery.</w:t>
      </w:r>
    </w:p>
    <w:p>
      <w:pPr>
        <w:pStyle w:val="ListParagraph"/>
        <w:numPr>
          <w:ilvl w:val="0"/>
          <w:numId w:val="2"/>
        </w:numPr>
        <w:spacing w:after="80" w:line="290"/>
      </w:pPr>
      <w:r>
        <w:rPr>
          <w:b/>
          <w:bCs/>
          <w:sz w:val="21"/>
          <w:szCs w:val="21"/>
        </w:rPr>
        <w:t xml:space="preserve">Přístup a autentizace: </w:t>
      </w:r>
      <w:r>
        <w:rPr>
          <w:sz w:val="21"/>
          <w:szCs w:val="21"/>
        </w:rPr>
        <w:t xml:space="preserve">i při jediném uživateli (Luigi) doporučujeme od začátku rozlišovat role v databázi — zjednoduší to budoucí přidání účetní nebo asistenta s omezenými právy.</w:t>
      </w:r>
    </w:p>
    <w:p>
      <w:pPr>
        <w:pStyle w:val="Heading2"/>
        <w:spacing w:after="120" w:before="280"/>
      </w:pPr>
      <w:r>
        <w:rPr>
          <w:b/>
          <w:bCs/>
          <w:color w:val="0b3d5c"/>
          <w:sz w:val="24"/>
          <w:szCs w:val="24"/>
        </w:rPr>
        <w:t xml:space="preserve">8.3 Co zůstává mimo rozsah (podle zadání)</w:t>
      </w:r>
    </w:p>
    <w:p>
      <w:pPr>
        <w:pStyle w:val="ListParagraph"/>
        <w:numPr>
          <w:ilvl w:val="0"/>
          <w:numId w:val="2"/>
        </w:numPr>
        <w:spacing w:after="80" w:line="290"/>
      </w:pPr>
      <w:r>
        <w:rPr>
          <w:sz w:val="21"/>
          <w:szCs w:val="21"/>
        </w:rPr>
        <w:t xml:space="preserve">Mzdová a personální agenda — řešit samostatným modulem/systémem, pokud v budoucnu vzniknou pracovní poměry</w:t>
      </w:r>
    </w:p>
    <w:p>
      <w:pPr>
        <w:pStyle w:val="ListParagraph"/>
        <w:numPr>
          <w:ilvl w:val="0"/>
          <w:numId w:val="2"/>
        </w:numPr>
        <w:spacing w:after="80" w:line="290"/>
      </w:pPr>
      <w:r>
        <w:rPr>
          <w:sz w:val="21"/>
          <w:szCs w:val="21"/>
        </w:rPr>
        <w:t xml:space="preserve">Přímé napojení na bankovní API nebo externí účetní software — systém je navržen jako nezávislý; import bankovních dat může být v první fázi manuální (CSV)</w:t>
      </w:r>
    </w:p>
    <w:p>
      <w:pPr>
        <w:pStyle w:val="ListParagraph"/>
        <w:numPr>
          <w:ilvl w:val="0"/>
          <w:numId w:val="2"/>
        </w:numPr>
        <w:spacing w:after="80" w:line="290"/>
      </w:pPr>
      <w:r>
        <w:rPr>
          <w:sz w:val="21"/>
          <w:szCs w:val="21"/>
        </w:rPr>
        <w:t xml:space="preserve">Automatizované podání na Finanční správu (EPO, datové schránky) — v první fázi export podkladů pro ruční podání nebo předání účetní</w:t>
      </w:r>
    </w:p>
    <w:p>
      <w:pPr>
        <w:pStyle w:val="Heading2"/>
        <w:spacing w:after="120" w:before="280"/>
      </w:pPr>
      <w:r>
        <w:rPr>
          <w:b/>
          <w:bCs/>
          <w:color w:val="0b3d5c"/>
          <w:sz w:val="24"/>
          <w:szCs w:val="24"/>
        </w:rPr>
        <w:t xml:space="preserve">8.4 Klíčová rizika k hlídání během vývoje</w:t>
      </w:r>
    </w:p>
    <w:p>
      <w:pPr>
        <w:pStyle w:val="ListParagraph"/>
        <w:numPr>
          <w:ilvl w:val="0"/>
          <w:numId w:val="2"/>
        </w:numPr>
        <w:spacing w:after="80" w:line="290"/>
      </w:pPr>
      <w:r>
        <w:rPr>
          <w:sz w:val="21"/>
          <w:szCs w:val="21"/>
        </w:rPr>
        <w:t xml:space="preserve">Podcenění append-only architektury na začátku vede k nákladné přestavbě později — toto je jediné rozhodnutí, které se nevyplatí odkládat na "později"</w:t>
      </w:r>
    </w:p>
    <w:p>
      <w:pPr>
        <w:pStyle w:val="ListParagraph"/>
        <w:numPr>
          <w:ilvl w:val="0"/>
          <w:numId w:val="2"/>
        </w:numPr>
        <w:spacing w:after="80" w:line="290"/>
      </w:pPr>
      <w:r>
        <w:rPr>
          <w:sz w:val="21"/>
          <w:szCs w:val="21"/>
        </w:rPr>
        <w:t xml:space="preserve">Nesprávná struktura výkazů (rozvaha/výsledovka) může vést k neplatné účetní závěrce — doporučujeme nechat strukturu ověřit účetní firmou před prvním ostrým použitím</w:t>
      </w:r>
    </w:p>
    <w:p>
      <w:pPr>
        <w:pStyle w:val="ListParagraph"/>
        <w:numPr>
          <w:ilvl w:val="0"/>
          <w:numId w:val="2"/>
        </w:numPr>
        <w:spacing w:after="80" w:line="290"/>
      </w:pPr>
      <w:r>
        <w:rPr>
          <w:sz w:val="21"/>
          <w:szCs w:val="21"/>
        </w:rPr>
        <w:t xml:space="preserve">DPH modul: i když se nepoužívá aktivně, jeho datová pole musí být navržena správně od začátku — dodatečné doplnění DPH polí do již existujících dokladů by bylo bolestivé</w:t>
      </w:r>
    </w:p>
    <w:p>
      <w:pPr>
        <w:pStyle w:val="ListParagraph"/>
        <w:numPr>
          <w:ilvl w:val="0"/>
          <w:numId w:val="2"/>
        </w:numPr>
        <w:spacing w:after="80" w:line="290"/>
      </w:pPr>
      <w:r>
        <w:rPr>
          <w:sz w:val="21"/>
          <w:szCs w:val="21"/>
        </w:rPr>
        <w:t xml:space="preserve">Zálohování a dlouhodobá archivace jsou snadné podcenit v raných fázích vývoje, ale zákonná lhůta 10 let znamená, že systém musí přežít i případnou budoucí migraci technologie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2026-07-08T19:19:51.381Z</dcterms:created>
  <dcterms:modified xsi:type="dcterms:W3CDTF">2026-07-08T19:19:51.395Z</dcterms:modified>
</cp:coreProperties>
</file>

<file path=docProps/custom.xml><?xml version="1.0" encoding="utf-8"?>
<Properties xmlns="http://schemas.openxmlformats.org/officeDocument/2006/custom-properties" xmlns:vt="http://schemas.openxmlformats.org/officeDocument/2006/docPropsVTypes"/>
</file>