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B365D"/>
          <w:sz w:val="48"/>
        </w:rPr>
        <w:t>APEX GLOBAL ENTERPRISES</w:t>
      </w:r>
    </w:p>
    <w:p>
      <w:pPr>
        <w:spacing w:after="480"/>
      </w:pPr>
      <w:r>
        <w:rPr>
          <w:rFonts w:ascii="Arial" w:hAnsi="Arial"/>
          <w:color w:val="4A777A"/>
          <w:sz w:val="28"/>
        </w:rPr>
        <w:t>Comprehensive Corporate Policy Manual &amp; Code of Conduct</w:t>
      </w:r>
    </w:p>
    <w:tbl>
      <w:tblPr>
        <w:tblW w:type="auto" w:w="0"/>
        <w:jc w:val="center"/>
        <w:tblLook w:firstColumn="1" w:firstRow="1" w:lastColumn="0" w:lastRow="0" w:noHBand="0" w:noVBand="1" w:val="04A0"/>
      </w:tblPr>
      <w:tblGrid>
        <w:gridCol w:w="4680"/>
        <w:gridCol w:w="4680"/>
      </w:tblGrid>
      <w:tr>
        <w:tc>
          <w:tcPr>
            <w:tcW w:type="dxa" w:w="4680"/>
            <w:shd w:fill="F4F6F8"/>
            <w:tcMar>
              <w:top w:w="80" w:type="dxa"/>
              <w:bottom w:w="80" w:type="dxa"/>
              <w:left w:w="120" w:type="dxa"/>
              <w:right w:w="120" w:type="dxa"/>
            </w:tcMar>
          </w:tcPr>
          <w:p>
            <w:pPr>
              <w:spacing w:after="40"/>
            </w:pPr>
            <w:r>
              <w:rPr>
                <w:b/>
                <w:sz w:val="19"/>
              </w:rPr>
              <w:t xml:space="preserve">Document Reference: </w:t>
            </w:r>
            <w:r>
              <w:rPr>
                <w:sz w:val="19"/>
              </w:rPr>
              <w:t>POL-2026-V4.2</w:t>
            </w:r>
          </w:p>
        </w:tc>
        <w:tc>
          <w:tcPr>
            <w:tcW w:type="dxa" w:w="4680"/>
            <w:shd w:fill="F4F6F8"/>
            <w:tcMar>
              <w:top w:w="80" w:type="dxa"/>
              <w:bottom w:w="80" w:type="dxa"/>
              <w:left w:w="120" w:type="dxa"/>
              <w:right w:w="120" w:type="dxa"/>
            </w:tcMar>
          </w:tcPr>
          <w:p>
            <w:pPr>
              <w:spacing w:after="40"/>
            </w:pPr>
            <w:r>
              <w:rPr>
                <w:b/>
                <w:sz w:val="19"/>
              </w:rPr>
              <w:t xml:space="preserve">Effective Date: </w:t>
            </w:r>
            <w:r>
              <w:rPr>
                <w:sz w:val="19"/>
              </w:rPr>
              <w:t>October 1, 2026</w:t>
            </w:r>
          </w:p>
        </w:tc>
      </w:tr>
      <w:tr>
        <w:tc>
          <w:tcPr>
            <w:tcW w:type="dxa" w:w="4680"/>
            <w:shd w:fill="F4F6F8"/>
            <w:tcMar>
              <w:top w:w="80" w:type="dxa"/>
              <w:bottom w:w="80" w:type="dxa"/>
              <w:left w:w="120" w:type="dxa"/>
              <w:right w:w="120" w:type="dxa"/>
            </w:tcMar>
          </w:tcPr>
          <w:p>
            <w:pPr>
              <w:spacing w:after="40"/>
            </w:pPr>
            <w:r>
              <w:rPr>
                <w:b/>
                <w:sz w:val="19"/>
              </w:rPr>
              <w:t xml:space="preserve">Target Audience: </w:t>
            </w:r>
            <w:r>
              <w:rPr>
                <w:sz w:val="19"/>
              </w:rPr>
              <w:t>All Regular &amp; Contract Employees</w:t>
            </w:r>
          </w:p>
        </w:tc>
        <w:tc>
          <w:tcPr>
            <w:tcW w:type="dxa" w:w="4680"/>
            <w:shd w:fill="F4F6F8"/>
            <w:tcMar>
              <w:top w:w="80" w:type="dxa"/>
              <w:bottom w:w="80" w:type="dxa"/>
              <w:left w:w="120" w:type="dxa"/>
              <w:right w:w="120" w:type="dxa"/>
            </w:tcMar>
          </w:tcPr>
          <w:p>
            <w:pPr>
              <w:spacing w:after="40"/>
            </w:pPr>
            <w:r>
              <w:rPr>
                <w:b/>
                <w:sz w:val="19"/>
              </w:rPr>
              <w:t xml:space="preserve">Approved By: </w:t>
            </w:r>
            <w:r>
              <w:rPr>
                <w:sz w:val="19"/>
              </w:rPr>
              <w:t>Executive Steering Committee</w:t>
            </w:r>
          </w:p>
        </w:tc>
      </w:tr>
      <w:tr>
        <w:tc>
          <w:tcPr>
            <w:tcW w:type="dxa" w:w="4680"/>
            <w:shd w:fill="F4F6F8"/>
            <w:tcMar>
              <w:top w:w="80" w:type="dxa"/>
              <w:bottom w:w="80" w:type="dxa"/>
              <w:left w:w="120" w:type="dxa"/>
              <w:right w:w="120" w:type="dxa"/>
            </w:tcMar>
          </w:tcPr>
          <w:p>
            <w:pPr>
              <w:spacing w:after="40"/>
            </w:pPr>
            <w:r>
              <w:rPr>
                <w:b/>
                <w:sz w:val="19"/>
              </w:rPr>
              <w:t xml:space="preserve">Classification: </w:t>
            </w:r>
            <w:r>
              <w:rPr>
                <w:sz w:val="19"/>
              </w:rPr>
              <w:t>Internal / Proprietary Document</w:t>
            </w:r>
          </w:p>
        </w:tc>
        <w:tc>
          <w:tcPr>
            <w:tcW w:type="dxa" w:w="4680"/>
            <w:shd w:fill="F4F6F8"/>
            <w:tcMar>
              <w:top w:w="80" w:type="dxa"/>
              <w:bottom w:w="80" w:type="dxa"/>
              <w:left w:w="120" w:type="dxa"/>
              <w:right w:w="120" w:type="dxa"/>
            </w:tcMar>
          </w:tcPr>
          <w:p>
            <w:pPr>
              <w:spacing w:after="40"/>
            </w:pPr>
            <w:r>
              <w:rPr>
                <w:b/>
                <w:sz w:val="19"/>
              </w:rPr>
              <w:t xml:space="preserve">Review Cycle: </w:t>
            </w:r>
            <w:r>
              <w:rPr>
                <w:sz w:val="19"/>
              </w:rPr>
              <w:t>Annual</w:t>
            </w:r>
          </w:p>
        </w:tc>
      </w:tr>
    </w:tbl>
    <w:p>
      <w:pPr>
        <w:spacing w:after="240"/>
      </w:pPr>
    </w:p>
    <w:p>
      <w:pPr>
        <w:keepNext/>
        <w:spacing w:before="360" w:after="120"/>
      </w:pPr>
      <w:r>
        <w:rPr>
          <w:rFonts w:ascii="Arial" w:hAnsi="Arial"/>
          <w:b/>
          <w:color w:val="1B365D"/>
          <w:sz w:val="30"/>
        </w:rPr>
        <w:t>1. Executive Summary &amp; Purpose</w:t>
      </w:r>
    </w:p>
    <w:p>
      <w:pPr>
        <w:spacing w:after="160" w:line="276" w:lineRule="auto"/>
      </w:pPr>
      <w:r>
        <w:t>Apex Global Enterprises is dedicated to fostering a work environment characterized by professional integrity, operational excellence, and respect for all stakeholders. This Corporate Policy Manual establishes baseline rules, ethical standards, and operational guidelines governing professional conduct, corporate governance, and asset protection across all international divisions.</w:t>
      </w:r>
    </w:p>
    <w:p>
      <w:pPr>
        <w:keepNext/>
        <w:spacing w:before="360" w:after="120"/>
      </w:pPr>
      <w:r>
        <w:rPr>
          <w:rFonts w:ascii="Arial" w:hAnsi="Arial"/>
          <w:b/>
          <w:color w:val="1B365D"/>
          <w:sz w:val="30"/>
        </w:rPr>
        <w:t>2. Code of Professional Ethics &amp; Workplace Conduct</w:t>
      </w:r>
    </w:p>
    <w:p>
      <w:pPr>
        <w:keepNext/>
        <w:spacing w:before="240" w:after="80"/>
      </w:pPr>
      <w:r>
        <w:rPr>
          <w:rFonts w:ascii="Arial" w:hAnsi="Arial"/>
          <w:b/>
          <w:color w:val="4A777A"/>
          <w:sz w:val="24"/>
        </w:rPr>
        <w:t>2.1 Workplace Equality and Anti-Harassment Policy</w:t>
      </w:r>
    </w:p>
    <w:p>
      <w:pPr>
        <w:spacing w:after="160" w:line="276" w:lineRule="auto"/>
      </w:pPr>
      <w:r>
        <w:t>Apex Global Enterprises enforces a strict zero-tolerance policy regarding discrimination, harassment, or retaliation in any form. All personnel decisions—including hiring, promotion, and compensation—are based solely on merit, competence, and operational need without regard to race, gender, age, religion, disability, or sexual orientation.</w:t>
      </w:r>
    </w:p>
    <w:p>
      <w:pPr>
        <w:keepNext/>
        <w:spacing w:before="240" w:after="80"/>
      </w:pPr>
      <w:r>
        <w:rPr>
          <w:rFonts w:ascii="Arial" w:hAnsi="Arial"/>
          <w:b/>
          <w:color w:val="4A777A"/>
          <w:sz w:val="24"/>
        </w:rPr>
        <w:t>2.2 Conflict of Interest &amp; External Engagements</w:t>
      </w:r>
    </w:p>
    <w:p>
      <w:pPr>
        <w:spacing w:after="160" w:line="276" w:lineRule="auto"/>
      </w:pPr>
      <w:r>
        <w:t>Employees must avoid situations where personal interests conflict, or appear to conflict, with the financial or operational interests of Apex Global. Secondary employment, board memberships, or significant financial investments in competitors or suppliers require prior explicit written approval from the Legal &amp; Compliance Department.</w:t>
      </w:r>
    </w:p>
    <w:p>
      <w:pPr>
        <w:keepNext/>
        <w:spacing w:before="360" w:after="120"/>
      </w:pPr>
      <w:r>
        <w:rPr>
          <w:rFonts w:ascii="Arial" w:hAnsi="Arial"/>
          <w:b/>
          <w:color w:val="1B365D"/>
          <w:sz w:val="30"/>
        </w:rPr>
        <w:t>3. Information Security &amp; Data Governance</w:t>
      </w:r>
    </w:p>
    <w:p>
      <w:pPr>
        <w:spacing w:after="160" w:line="276" w:lineRule="auto"/>
      </w:pPr>
      <w:r>
        <w:t>Protecting proprietary information and client data is critical to corporate viability. All employees must strictly adhere to the following core data protection protocols:</w:t>
      </w:r>
    </w:p>
    <w:p>
      <w:pPr>
        <w:pStyle w:val="ListBullet"/>
        <w:spacing w:after="80" w:line="276" w:lineRule="auto"/>
      </w:pPr>
      <w:r>
        <w:rPr>
          <w:b/>
        </w:rPr>
        <w:t xml:space="preserve">Multi-Factor Authentication (MFA): </w:t>
      </w:r>
      <w:r>
        <w:t>Required across all corporate devices, VPN endpoints, and cloud services without exception.</w:t>
      </w:r>
    </w:p>
    <w:p>
      <w:pPr>
        <w:pStyle w:val="ListBullet"/>
        <w:spacing w:after="80" w:line="276" w:lineRule="auto"/>
      </w:pPr>
      <w:r>
        <w:rPr>
          <w:b/>
        </w:rPr>
        <w:t xml:space="preserve">Data Classification: </w:t>
      </w:r>
      <w:r>
        <w:t>Documents marked 'Confidential' or 'Restricted' must be encrypted at rest and in transit, and may not be transferred to personal storage devices.</w:t>
      </w:r>
    </w:p>
    <w:p>
      <w:pPr>
        <w:pStyle w:val="ListBullet"/>
        <w:spacing w:after="80" w:line="276" w:lineRule="auto"/>
      </w:pPr>
      <w:r>
        <w:rPr>
          <w:b/>
        </w:rPr>
        <w:t xml:space="preserve">Clean Desk &amp; Clear Screen Protocol: </w:t>
      </w:r>
      <w:r>
        <w:t>Workstations must be locked whenever left unattended, and sensitive hard-copy documents must be secured in locking cabinets overnight.</w:t>
      </w:r>
    </w:p>
    <w:p>
      <w:pPr>
        <w:pStyle w:val="ListBullet"/>
        <w:spacing w:after="80" w:line="276" w:lineRule="auto"/>
      </w:pPr>
      <w:r>
        <w:rPr>
          <w:b/>
        </w:rPr>
        <w:t xml:space="preserve">Incident Reporting: </w:t>
      </w:r>
      <w:r>
        <w:t>Any suspected cybersecurity breach, phishing attempt, or unauthorized data access must be reported immediately to security@apexglobal.com within 2 hours of detection.</w:t>
      </w:r>
    </w:p>
    <w:p>
      <w:pPr>
        <w:keepNext/>
        <w:spacing w:before="360" w:after="120"/>
      </w:pPr>
      <w:r>
        <w:rPr>
          <w:rFonts w:ascii="Arial" w:hAnsi="Arial"/>
          <w:b/>
          <w:color w:val="1B365D"/>
          <w:sz w:val="30"/>
        </w:rPr>
        <w:t>4. Work-from-Home &amp; Hybrid Operations Guidelines</w:t>
      </w:r>
    </w:p>
    <w:tbl>
      <w:tblPr>
        <w:tblW w:type="auto" w:w="0"/>
        <w:jc w:val="center"/>
        <w:tblLook w:firstColumn="1" w:firstRow="1" w:lastColumn="0" w:lastRow="0" w:noHBand="0" w:noVBand="1" w:val="04A0"/>
      </w:tblPr>
      <w:tblGrid>
        <w:gridCol w:w="3120"/>
        <w:gridCol w:w="3120"/>
        <w:gridCol w:w="3120"/>
      </w:tblGrid>
      <w:tr>
        <w:tc>
          <w:tcPr>
            <w:tcW w:type="dxa" w:w="3120"/>
            <w:shd w:fill="1B365D"/>
            <w:tcMar>
              <w:top w:w="100" w:type="dxa"/>
              <w:bottom w:w="100" w:type="dxa"/>
              <w:left w:w="120" w:type="dxa"/>
              <w:right w:w="120" w:type="dxa"/>
            </w:tcMar>
          </w:tcPr>
          <w:p>
            <w:r>
              <w:rPr>
                <w:b/>
                <w:color w:val="FFFFFF"/>
                <w:sz w:val="20"/>
              </w:rPr>
              <w:t>Work Tier</w:t>
            </w:r>
          </w:p>
        </w:tc>
        <w:tc>
          <w:tcPr>
            <w:tcW w:type="dxa" w:w="3120"/>
            <w:shd w:fill="1B365D"/>
            <w:tcMar>
              <w:top w:w="100" w:type="dxa"/>
              <w:bottom w:w="100" w:type="dxa"/>
              <w:left w:w="120" w:type="dxa"/>
              <w:right w:w="120" w:type="dxa"/>
            </w:tcMar>
          </w:tcPr>
          <w:p>
            <w:r>
              <w:rPr>
                <w:b/>
                <w:color w:val="FFFFFF"/>
                <w:sz w:val="20"/>
              </w:rPr>
              <w:t>Eligibility Criteria</w:t>
            </w:r>
          </w:p>
        </w:tc>
        <w:tc>
          <w:tcPr>
            <w:tcW w:type="dxa" w:w="3120"/>
            <w:shd w:fill="1B365D"/>
            <w:tcMar>
              <w:top w:w="100" w:type="dxa"/>
              <w:bottom w:w="100" w:type="dxa"/>
              <w:left w:w="120" w:type="dxa"/>
              <w:right w:w="120" w:type="dxa"/>
            </w:tcMar>
          </w:tcPr>
          <w:p>
            <w:r>
              <w:rPr>
                <w:b/>
                <w:color w:val="FFFFFF"/>
                <w:sz w:val="20"/>
              </w:rPr>
              <w:t>Core Requirements</w:t>
            </w:r>
          </w:p>
        </w:tc>
      </w:tr>
      <w:tr>
        <w:tc>
          <w:tcPr>
            <w:tcW w:type="dxa" w:w="3120"/>
            <w:shd w:fill="FFFFFF"/>
            <w:tcMar>
              <w:top w:w="100" w:type="dxa"/>
              <w:bottom w:w="100" w:type="dxa"/>
              <w:left w:w="120" w:type="dxa"/>
              <w:right w:w="120" w:type="dxa"/>
            </w:tcMar>
          </w:tcPr>
          <w:p>
            <w:pPr>
              <w:spacing w:after="40" w:before="40"/>
            </w:pPr>
            <w:r>
              <w:rPr>
                <w:rFonts w:ascii="Arial" w:hAnsi="Arial"/>
                <w:sz w:val="19"/>
              </w:rPr>
              <w:t>On-Site Primary</w:t>
            </w:r>
          </w:p>
        </w:tc>
        <w:tc>
          <w:tcPr>
            <w:tcW w:type="dxa" w:w="3120"/>
            <w:shd w:fill="FFFFFF"/>
            <w:tcMar>
              <w:top w:w="100" w:type="dxa"/>
              <w:bottom w:w="100" w:type="dxa"/>
              <w:left w:w="120" w:type="dxa"/>
              <w:right w:w="120" w:type="dxa"/>
            </w:tcMar>
          </w:tcPr>
          <w:p>
            <w:pPr>
              <w:spacing w:after="40" w:before="40"/>
            </w:pPr>
            <w:r>
              <w:rPr>
                <w:rFonts w:ascii="Arial" w:hAnsi="Arial"/>
                <w:sz w:val="19"/>
              </w:rPr>
              <w:t>Roles requiring physical lab/hardware access or customer site support.</w:t>
            </w:r>
          </w:p>
        </w:tc>
        <w:tc>
          <w:tcPr>
            <w:tcW w:type="dxa" w:w="3120"/>
            <w:shd w:fill="FFFFFF"/>
            <w:tcMar>
              <w:top w:w="100" w:type="dxa"/>
              <w:bottom w:w="100" w:type="dxa"/>
              <w:left w:w="120" w:type="dxa"/>
              <w:right w:w="120" w:type="dxa"/>
            </w:tcMar>
          </w:tcPr>
          <w:p>
            <w:pPr>
              <w:spacing w:after="40" w:before="40"/>
            </w:pPr>
            <w:r>
              <w:rPr>
                <w:rFonts w:ascii="Arial" w:hAnsi="Arial"/>
                <w:sz w:val="19"/>
              </w:rPr>
              <w:t>5 days/week on-site; standard core hours apply.</w:t>
            </w:r>
          </w:p>
        </w:tc>
      </w:tr>
      <w:tr>
        <w:tc>
          <w:tcPr>
            <w:tcW w:type="dxa" w:w="3120"/>
            <w:shd w:fill="F8FAFC"/>
            <w:tcMar>
              <w:top w:w="100" w:type="dxa"/>
              <w:bottom w:w="100" w:type="dxa"/>
              <w:left w:w="120" w:type="dxa"/>
              <w:right w:w="120" w:type="dxa"/>
            </w:tcMar>
          </w:tcPr>
          <w:p>
            <w:pPr>
              <w:spacing w:after="40" w:before="40"/>
            </w:pPr>
            <w:r>
              <w:rPr>
                <w:rFonts w:ascii="Arial" w:hAnsi="Arial"/>
                <w:sz w:val="19"/>
              </w:rPr>
              <w:t>Hybrid Standard</w:t>
            </w:r>
          </w:p>
        </w:tc>
        <w:tc>
          <w:tcPr>
            <w:tcW w:type="dxa" w:w="3120"/>
            <w:shd w:fill="F8FAFC"/>
            <w:tcMar>
              <w:top w:w="100" w:type="dxa"/>
              <w:bottom w:w="100" w:type="dxa"/>
              <w:left w:w="120" w:type="dxa"/>
              <w:right w:w="120" w:type="dxa"/>
            </w:tcMar>
          </w:tcPr>
          <w:p>
            <w:pPr>
              <w:spacing w:after="40" w:before="40"/>
            </w:pPr>
            <w:r>
              <w:rPr>
                <w:rFonts w:ascii="Arial" w:hAnsi="Arial"/>
                <w:sz w:val="19"/>
              </w:rPr>
              <w:t>Knowledge workers with approved manager agreements.</w:t>
            </w:r>
          </w:p>
        </w:tc>
        <w:tc>
          <w:tcPr>
            <w:tcW w:type="dxa" w:w="3120"/>
            <w:shd w:fill="F8FAFC"/>
            <w:tcMar>
              <w:top w:w="100" w:type="dxa"/>
              <w:bottom w:w="100" w:type="dxa"/>
              <w:left w:w="120" w:type="dxa"/>
              <w:right w:w="120" w:type="dxa"/>
            </w:tcMar>
          </w:tcPr>
          <w:p>
            <w:pPr>
              <w:spacing w:after="40" w:before="40"/>
            </w:pPr>
            <w:r>
              <w:rPr>
                <w:rFonts w:ascii="Arial" w:hAnsi="Arial"/>
                <w:sz w:val="19"/>
              </w:rPr>
              <w:t>Minimum 3 days/week on-site (Tues/Thurs core days).</w:t>
            </w:r>
          </w:p>
        </w:tc>
      </w:tr>
      <w:tr>
        <w:tc>
          <w:tcPr>
            <w:tcW w:type="dxa" w:w="3120"/>
            <w:shd w:fill="FFFFFF"/>
            <w:tcMar>
              <w:top w:w="100" w:type="dxa"/>
              <w:bottom w:w="100" w:type="dxa"/>
              <w:left w:w="120" w:type="dxa"/>
              <w:right w:w="120" w:type="dxa"/>
            </w:tcMar>
          </w:tcPr>
          <w:p>
            <w:pPr>
              <w:spacing w:after="40" w:before="40"/>
            </w:pPr>
            <w:r>
              <w:rPr>
                <w:rFonts w:ascii="Arial" w:hAnsi="Arial"/>
                <w:sz w:val="19"/>
              </w:rPr>
              <w:t>Fully Remote</w:t>
            </w:r>
          </w:p>
        </w:tc>
        <w:tc>
          <w:tcPr>
            <w:tcW w:type="dxa" w:w="3120"/>
            <w:shd w:fill="FFFFFF"/>
            <w:tcMar>
              <w:top w:w="100" w:type="dxa"/>
              <w:bottom w:w="100" w:type="dxa"/>
              <w:left w:w="120" w:type="dxa"/>
              <w:right w:w="120" w:type="dxa"/>
            </w:tcMar>
          </w:tcPr>
          <w:p>
            <w:pPr>
              <w:spacing w:after="40" w:before="40"/>
            </w:pPr>
            <w:r>
              <w:rPr>
                <w:rFonts w:ascii="Arial" w:hAnsi="Arial"/>
                <w:sz w:val="19"/>
              </w:rPr>
              <w:t>Role-designated remote seats approved by EVP and HR.</w:t>
            </w:r>
          </w:p>
        </w:tc>
        <w:tc>
          <w:tcPr>
            <w:tcW w:type="dxa" w:w="3120"/>
            <w:shd w:fill="FFFFFF"/>
            <w:tcMar>
              <w:top w:w="100" w:type="dxa"/>
              <w:bottom w:w="100" w:type="dxa"/>
              <w:left w:w="120" w:type="dxa"/>
              <w:right w:w="120" w:type="dxa"/>
            </w:tcMar>
          </w:tcPr>
          <w:p>
            <w:pPr>
              <w:spacing w:after="40" w:before="40"/>
            </w:pPr>
            <w:r>
              <w:rPr>
                <w:rFonts w:ascii="Arial" w:hAnsi="Arial"/>
                <w:sz w:val="19"/>
              </w:rPr>
              <w:t>Quarterly on-site syncs; secure home office compliance check.</w:t>
            </w:r>
          </w:p>
        </w:tc>
      </w:tr>
    </w:tbl>
    <w:p>
      <w:pPr>
        <w:keepNext/>
        <w:spacing w:before="360" w:after="120"/>
      </w:pPr>
      <w:r>
        <w:rPr>
          <w:rFonts w:ascii="Arial" w:hAnsi="Arial"/>
          <w:b/>
          <w:color w:val="1B365D"/>
          <w:sz w:val="30"/>
        </w:rPr>
        <w:t>5. Compliance &amp; Disciplinary Escalation Framework</w:t>
      </w:r>
    </w:p>
    <w:p>
      <w:pPr>
        <w:spacing w:after="160" w:line="276" w:lineRule="auto"/>
      </w:pPr>
      <w:r>
        <w:t>Failure to adhere to corporate policies may result in disciplinary action up to and including immediate termination of employment and legal prosecution where applicable. Apex Global operates a non-retaliatory reporting hotline for compliance violations.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