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4E78"/>
          <w:sz w:val="44"/>
          <w:szCs w:val="44"/>
        </w:rPr>
        <w:t xml:space="preserve">SPRUCE BIOSCIENCES, INC.</w:t>
      </w:r>
    </w:p>
    <w:p>
      <w:pPr>
        <w:spacing w:after="40"/>
      </w:pPr>
      <w:r>
        <w:rPr>
          <w:color w:val="595959"/>
          <w:sz w:val="24"/>
          <w:szCs w:val="24"/>
        </w:rPr>
        <w:t xml:space="preserve">NASDAQ: SPRB  |  Rare Disease / Ultra-Orphan Biopharmaceuticals</w:t>
      </w:r>
    </w:p>
    <w:p>
      <w:pPr>
        <w:spacing w:after="300"/>
      </w:pPr>
      <w:r>
        <w:rPr>
          <w:i/>
          <w:iCs/>
          <w:color w:val="595959"/>
          <w:sz w:val="24"/>
          <w:szCs w:val="24"/>
        </w:rPr>
        <w:t xml:space="preserve">Investment Thesis, Risk Assessment &amp; Ownership Review</w:t>
      </w:r>
    </w:p>
    <w:p>
      <w:pPr>
        <w:spacing w:after="200"/>
      </w:pPr>
      <w:r>
        <w:rPr>
          <w:i/>
          <w:iCs/>
          <w:color w:val="595959"/>
          <w:sz w:val="18"/>
          <w:szCs w:val="18"/>
        </w:rPr>
        <w:t xml:space="preserve">Prepared 18-Jul-2026. Companion to the accompanying rNPV / DCF / Relative Valuation Excel model (SPRB_Valuation_Model.xlsx). This memo is a working research document, not a solicitation or personalized investment recommendation — see disclaimer at the end.</w:t>
      </w:r>
    </w:p>
    <w:p>
      <w:pPr>
        <w:pStyle w:val="Heading1"/>
        <w:spacing w:after="160" w:before="320"/>
      </w:pPr>
      <w:r>
        <w:t xml:space="preserve">1. Executive Summary</w:t>
      </w:r>
    </w:p>
    <w:p>
      <w:pPr>
        <w:spacing w:after="160"/>
      </w:pPr>
      <w:r>
        <w:t xml:space="preserve">Spruce Biosciences is a South San Francisco-based, single-asset, late-stage biopharmaceutical company whose entire near-term value case rests on tralesinidase alfa (TA-ERT), an intracerebroventricularly-delivered enzyme replacement therapy licensed exclusively worldwide from BioMarin Pharmaceutical for MPS IIIB (Sanfilippo Syndrome Type B) — a fatal, ultra-rare pediatric neurodegenerative disease with no approved therapy. The company holds FDA Breakthrough Therapy Designation, has aligned with the FDA on a heparan-sulfate biomarker as the basis for accelerated approval, and describes the program as "BLA-ready" with no further clinical or non-clinical studies required ahead of a planned Q4 2026 filing.</w:t>
      </w:r>
    </w:p>
    <w:p>
      <w:pPr>
        <w:spacing w:after="160"/>
      </w:pPr>
      <w:r>
        <w:t xml:space="preserve">The original corporate thesis — tildacerfont for congenital adrenal hyperplasia (CAH) — failed its pivotal endpoint in 2024 (CAHmelia-203), triggering a near-total collapse in the stock (down to single-digit cents pre-split) and a 1-for-75 reverse split in August 2025 to maintain Nasdaq listing. The company has since been almost entirely re-founded around the in-licensed TA-ERT asset, which is now doing the heavy lifting for the current ~$43-45/share price (the stock has pulled back from the low-$50s seen in early July 2026).</w:t>
      </w:r>
    </w:p>
    <w:p>
      <w:pPr>
        <w:spacing w:after="160"/>
      </w:pPr>
      <w:r>
        <w:t xml:space="preserve">A note on share count, corrected after reviewing a user-supplied TradingView chart: reported “total common shares outstanding” has been flat at ~1.372mm since the Q1-26 10-Q, unchanged even after the April 2026 $69.0mm offering closed. That implies the offering was structured substantially (or entirely) as pre-funded warrants rather than freshly issued common stock — a common micro-cap technique to let large buyers stay under 4.99%/9.99% beneficial-ownership thresholds. On the reported share count alone, that puts SPRB’s traded market capitalization at only ~$60mm; on a fully-diluted, as-if-exercised basis (which is what we use throughout the valuation model, since pre-funded warrants are economically near-identical to common stock at a nominal strike price), the economic market cap is closer to ~$130mm. Both figures matter: the small reported float is part of why the stock is so volatile, while the fully-diluted figure is the right denominator for intrinsic per-share value.</w:t>
      </w:r>
    </w:p>
    <w:p>
      <w:pPr>
        <w:spacing w:after="160"/>
      </w:pPr>
      <w:r>
        <w:t xml:space="preserve">Our bottom-up rNPV analysis (accompanying model) implies a risk-adjusted fair value meaningfully below the current share price under base-case epidemiology and pricing assumptions, while an unrisked "if-it-works" DCF and a peer-based read-through (using Zevra Therapeutics as the closest stage/size comparable) both imply values above the current price. The spread between these methods is unusually wide for this name — a direct consequence of MPS IIIB's extremely small, poorly-characterized patient population, which is the single biggest driver of value and the input we most need your clinical contacts' help refining.</w:t>
      </w:r>
    </w:p>
    <w:p>
      <w:pPr>
        <w:pStyle w:val="Heading1"/>
        <w:spacing w:after="160" w:before="320"/>
      </w:pPr>
      <w:r>
        <w:t xml:space="preserve">2. The Long Thesis</w:t>
      </w:r>
    </w:p>
    <w:p>
      <w:pPr>
        <w:pStyle w:val="Heading2"/>
        <w:spacing w:after="120" w:before="240"/>
      </w:pPr>
      <w:r>
        <w:t xml:space="preserve">2.1 Why TA-ERT could work</w:t>
      </w:r>
    </w:p>
    <w:p>
      <w:pPr>
        <w:pStyle w:val="ListParagraph"/>
        <w:numPr>
          <w:ilvl w:val="0"/>
          <w:numId w:val="1"/>
        </w:numPr>
        <w:spacing w:after="90"/>
      </w:pPr>
      <w:r>
        <w:t xml:space="preserve">Precedented modality, unprecedented indication: TA-ERT is an enzyme replacement therapy — the same modality behind six approved, commercially successful MPS/lysosomal storage disease drugs (BioMarin's own Aldurazyme, Naglazyme, Vimizim, and Brineura; Takeda's Elaprase; Sanofi's Aldurazyme predecessor economics). MPS IIIB itself has zero approved therapies, so TA-ERT would be first-to-market with no competing product, not just a better version of an existing one.</w:t>
      </w:r>
    </w:p>
    <w:p>
      <w:pPr>
        <w:pStyle w:val="ListParagraph"/>
        <w:numPr>
          <w:ilvl w:val="0"/>
          <w:numId w:val="1"/>
        </w:numPr>
        <w:spacing w:after="90"/>
      </w:pPr>
      <w:r>
        <w:t xml:space="preserve">Regulatory de-risking is real, not promotional: the FDA has explicitly agreed that reduction in CSF heparan sulfate (HS) and its non-reducing end fragment (HS-NRE) is an acceptable primary endpoint for accelerated approval, and that Spruce's completed studies (250-201, 250-202, 250-401) are sufficient to support a BLA filing without additional clinical or non-clinical work. That is a materially de-risked regulatory position relative to a typical Phase 3-stage biotech.</w:t>
      </w:r>
    </w:p>
    <w:p>
      <w:pPr>
        <w:pStyle w:val="ListParagraph"/>
        <w:numPr>
          <w:ilvl w:val="0"/>
          <w:numId w:val="1"/>
        </w:numPr>
        <w:spacing w:after="90"/>
      </w:pPr>
      <w:r>
        <w:t xml:space="preserve">Durable, clinically meaningful long-term data: the company's WORLDSymposium 2026 presentation showed durable normalization of CSF HS/HS-NRE over years of dosing, normalization of liver volume, stabilization of cortical grey matter volume, and — most importantly for a fatal neurodegenerative disease — stabilization of cognitive function in 70% of early-treated patients versus progressive decline in the natural history cohort.</w:t>
      </w:r>
    </w:p>
    <w:p>
      <w:pPr>
        <w:pStyle w:val="ListParagraph"/>
        <w:numPr>
          <w:ilvl w:val="0"/>
          <w:numId w:val="1"/>
        </w:numPr>
        <w:spacing w:after="90"/>
      </w:pPr>
      <w:r>
        <w:t xml:space="preserve">Priority Review Voucher optionality: approval would likely qualify TA-ERT for a Rare Pediatric Disease PRV (contingent on program reauthorization), a saleable asset that has changed hands for roughly $30-150mm in recent transactions — a call option not embedded in our base-case valuation.</w:t>
      </w:r>
    </w:p>
    <w:p>
      <w:pPr>
        <w:pStyle w:val="ListParagraph"/>
        <w:numPr>
          <w:ilvl w:val="0"/>
          <w:numId w:val="1"/>
        </w:numPr>
        <w:spacing w:after="90"/>
      </w:pPr>
      <w:r>
        <w:t xml:space="preserve">BioMarin's continued economic alignment: BioMarin retains a worldwide royalty (high-single-digit to low-teens percent, base case 10%) and up to $122.5mm of milestones on TA-ERT even after out-licensing it — meaning the industry's dominant MPS/ERT commercial franchise still has skin in the game, which is a soft but real signal about the asset's perceived quality at the time of the license.</w:t>
      </w:r>
    </w:p>
    <w:p>
      <w:pPr>
        <w:pStyle w:val="ListParagraph"/>
        <w:numPr>
          <w:ilvl w:val="0"/>
          <w:numId w:val="1"/>
        </w:numPr>
        <w:spacing w:after="90"/>
      </w:pPr>
      <w:r>
        <w:t xml:space="preserve">Small, efficient commercial model: management has guided to a ~10-person commercial team at launch, consistent with the ultra-concentrated prescriber base (pediatric metabolic geneticists) typical of successful ultra-rare launches — capital intensity of commercialization should be low relative to the potential per-patient economics.</w:t>
      </w:r>
    </w:p>
    <w:p>
      <w:pPr>
        <w:pStyle w:val="Heading2"/>
        <w:spacing w:after="120" w:before="240"/>
      </w:pPr>
      <w:r>
        <w:t xml:space="preserve">2.2 Why the market may be under- or over-pricing it</w:t>
      </w:r>
    </w:p>
    <w:p>
      <w:pPr>
        <w:spacing w:after="160"/>
      </w:pPr>
      <w:r>
        <w:t xml:space="preserve">Our base-case rNPV (accompanying model, using company-disclosed 1-in-200,000 US incidence, an estimated 220-patient diagnosed prevalent pool, $500k/year blended pricing, a 78% overall probability of commercial success, and a 15% discount rate appropriate for a single-asset micro-cap) implies a fair value of roughly $19/share — well below the current ~$43-45 trading range. An unrisked DCF assuming full commercial success and crediting a terminal value beyond 2040 implies roughly $29/share — still below the current price on our epidemiology assumptions.</w:t>
      </w:r>
    </w:p>
    <w:p>
      <w:pPr>
        <w:spacing w:after="160"/>
      </w:pPr>
      <w:r>
        <w:t xml:space="preserve">A properly-derived relative valuation tells a different story. Rather than borrowing a peer's total market capitalization (a method that mechanically inflates SPRB's per-share figure purely because its post-reverse-split share count is so small), we derived an actual EV/Peak-Sales multiple from Zevra Therapeutics -- the closest true economic analog, since MIPLYFFA is a chronic, recurring-dose ultra-rare therapy like TA-ERT rather than a one-time gene-therapy cure (Ultragenyx's UX111, while a useful epidemiology cross-check for the sister MPS IIIA subtype, was excluded as a multiple source because its revenue profile -- front-loaded, decaying as the diagnosed backlog is treated -- is not comparable to a re-dosed ERT, and because Ultragenyx's diversified four-product commercial base makes it impossible to cleanly isolate UX111's own EV). Zevra trades at roughly 3.1-3.7x its own Street peak-sales estimate for MIPLYFFA. Applying that multiple to SPRB's own modeled peak revenue (not Zevra's) implies roughly $165/share in our base case and roughly $383/share in our bull case.</w:t>
      </w:r>
    </w:p>
    <w:p>
      <w:pPr>
        <w:spacing w:after="160"/>
      </w:pPr>
      <w:r>
        <w:t xml:space="preserve">That the peer-multiple method comes out meaningfully above even our unrisked DCF, using the identical revenue projection, is itself the most interesting finding in this analysis. It implies that however Zevra is actually being priced in the market embeds either a materially lower effective cost of capital than the 15% WACC used in our DCF, more credited value for cash flows beyond our explicit 2040 horizon, or genuine sentiment/optionality (index inclusion, momentum, perceived pipeline value) that a bottom-up single-asset model does not capture. We do not think either number is simply 'wrong' -- they encode different assumptions about duration and risk, and the gap between them is exactly the kind of judgment call your own view on TA-ERT should inform.</w:t>
      </w:r>
    </w:p>
    <w:p>
      <w:pPr>
        <w:pStyle w:val="Heading2"/>
        <w:spacing w:after="120" w:before="240"/>
      </w:pPr>
      <w:r>
        <w:t xml:space="preserve">2.3 The origin story: two near-failures converging</w:t>
      </w:r>
    </w:p>
    <w:p>
      <w:pPr>
        <w:spacing w:after="160"/>
      </w:pPr>
      <w:r>
        <w:t xml:space="preserve">Public filings describe the BioMarin license terms but not the fuller chain of custody, which changes how several parts of this thesis should be weighed. TA-ERT (also known as AX-250) was originally developed inside BioMarin, which out-licensed it to a private company, Allievex Corporation, in 2019 -- BioMarin kept a royalty and milestone interest but stepped back from running the program itself, presumably deprioritizing an ultra-small indication relative to its larger commercial franchise. Allievex ran the clinical program for years and published the long-term cognitive-stabilization data (Journal of Clinical Investigation, November 2022) that underpins much of the current bull case -- this data originates from Allievex's work, not Spruce's own. Allievex was unable to reach alignment with the FDA on an accelerated-approval pathway, ran out of capital, and terminated operations in 2023, then spent roughly a year unable to find a buyer for the program.</w:t>
      </w:r>
    </w:p>
    <w:p>
      <w:pPr>
        <w:spacing w:after="160"/>
      </w:pPr>
      <w:r>
        <w:t xml:space="preserve">In March 2024, in a Type C meeting, the FDA reversed its position and confirmed HS-NRE as an acceptable surrogate biomarker for accelerated approval -- the exact regulatory alignment Allievex had been unable to secure. That reversal came too late for Allievex, but in April 2025 Spruce acquired the program via an Asset Purchase Agreement, assuming the original 2019 BioMarin license terms (the $122.5mm milestone cap and the 10%-area royalty modeled throughout this analysis) largely as-is.</w:t>
      </w:r>
    </w:p>
    <w:p>
      <w:pPr>
        <w:spacing w:after="160"/>
      </w:pPr>
      <w:r>
        <w:t xml:space="preserve">The acquisition happened at a striking moment in Spruce's own history. Spruce's tildacerfont CAH program had already failed its pivotal endpoint in March 2024 (Section 2.1), triggering a 21% workforce reduction. In the same month it announced the TA-ERT acquisition (April 2025), Spruce also disclosed a second, far deeper 55% workforce reduction (to roughly 10 employees), received a Nasdaq delisting notice for non-compliance with the minimum bid price rule, and issued a going-concern warning with cash down to $16.4mm. The stock was delisted from Nasdaq on April 29, 2025 and did not regain compliance until the August 2025 reverse split. Only after that -- in October 2025 -- did the FDA's Breakthrough Therapy Designation arrive and trigger the stock's 1,378%-in-a-day rerating.</w:t>
      </w:r>
    </w:p>
    <w:p>
      <w:pPr>
        <w:spacing w:after="160"/>
      </w:pPr>
      <w:r>
        <w:t xml:space="preserve">In short: a company that was functionally near-bankrupt acquired a drug from a company that had already gone out of business, and the combination worked out because a single FDA meeting reversed course on a biomarker pathway roughly a year after that meeting could have saved the original developer. Two independent near-failures, one favorable regulatory turn, and a fortunate sequencing of events -- not a strategic acquisition from a position of strength.</w:t>
      </w:r>
    </w:p>
    <w:p>
      <w:pPr>
        <w:spacing w:after="160"/>
      </w:pPr>
      <w:r>
        <w:t xml:space="preserve">This cuts both ways, and both directions matter for the thesis. On the bullish side: the core clinical package is more mature and independently validated than a typical single-asset micro-cap's -- it was generated over several years by a team that staked its entire existence on this molecule, and the FDA's own reversal (not Spruce's lobbying) is what unlocked the accelerated-approval pathway. Spruce also likely acquired the asset cheaply, out of a distressed estate rather than a competitive process, which is favorable to the economics modeled here. On the risk side: the exact failure mode that ended Allievex -- an inability to hold FDA alignment on the accelerated-approval pathway -- is precisely the risk this analysis flags for the post-approval confirmatory trial (Section 3.1). It has already happened once to this molecule, under a different owner, and the FDA's March 2024 reversal, however welcome, is a reminder that this agency's position on HS-NRE as a surrogate endpoint is a relatively recent and single-instance judgment call rather than a long-settled precedent. Spruce's own going-concern history through April-August 2025 is also worth weighing directly against the balance-sheet and dilution risks already discussed in Section 3.3 -- this is a company with a documented, recent history of running low enough on cash to trigger a going-concern disclosure, not a hypothetical risk.</w:t>
      </w:r>
    </w:p>
    <w:p>
      <w:pPr>
        <w:pStyle w:val="Heading1"/>
        <w:spacing w:after="160" w:before="320"/>
      </w:pPr>
      <w:r>
        <w:t xml:space="preserve">3. Key Difficulties &amp; Risks</w:t>
      </w:r>
    </w:p>
    <w:p>
      <w:pPr>
        <w:pStyle w:val="Heading2"/>
        <w:spacing w:after="120" w:before="240"/>
      </w:pPr>
      <w:r>
        <w:t xml:space="preserve">3.1 Regulatory / clinical risk</w:t>
      </w:r>
    </w:p>
    <w:p>
      <w:pPr>
        <w:pStyle w:val="ListParagraph"/>
        <w:numPr>
          <w:ilvl w:val="0"/>
          <w:numId w:val="1"/>
        </w:numPr>
        <w:spacing w:after="90"/>
      </w:pPr>
      <w:r>
        <w:t xml:space="preserve">Accelerated approval is not full approval: TA-ERT would likely be approved on the HS/HS-NRE biomarker as a surrogate endpoint, with a confirmatory 5-year, placebo-controlled trial (n≈14) required post-approval to support full approval. A negative or equivocal confirmatory readout years after launch could trigger an accelerated-approval withdrawal — a low-probability but high-severity tail risk that is not separately modeled in our rNPV (which uses a single blended probability). This is not a purely hypothetical concern: the molecule's original developer, Allievex, was unable to reach FDA alignment on this same accelerated-approval pathway and folded in 2023 as a direct result, before the FDA reversed its position in March 2024 — see Section 2.3. An independent statistical reconstruction of the cognition data (Section 8) further suggests the underlying effect size is modest and concentrated in a specific age window, which would make a small confirmatory trial harder to power toward significance than the sponsor's own MMRM-adjusted p-values might suggest.</w:t>
      </w:r>
    </w:p>
    <w:p>
      <w:pPr>
        <w:pStyle w:val="ListParagraph"/>
        <w:numPr>
          <w:ilvl w:val="0"/>
          <w:numId w:val="1"/>
        </w:numPr>
        <w:spacing w:after="90"/>
      </w:pPr>
      <w:r>
        <w:t xml:space="preserve">Extremely small trial populations: the entire clinical database supporting the BLA (22 patients across the initial 48-week study and extensions) is tiny even by rare-disease standards, which increases both statistical uncertainty in the efficacy claim and single-patient reputational/safety risk post-launch.</w:t>
      </w:r>
    </w:p>
    <w:p>
      <w:pPr>
        <w:pStyle w:val="ListParagraph"/>
        <w:numPr>
          <w:ilvl w:val="0"/>
          <w:numId w:val="1"/>
        </w:numPr>
        <w:spacing w:after="90"/>
      </w:pPr>
      <w:r>
        <w:t xml:space="preserve">Company history of clinical failure: the prior lead program, tildacerfont, missed its primary endpoint in adult CAH (CAHmelia-203, March 2024) after extensive investment — a reminder that this management team's most recent pivotal readout in this same corporate vehicle was negative.</w:t>
      </w:r>
    </w:p>
    <w:p>
      <w:pPr>
        <w:pStyle w:val="Heading2"/>
        <w:spacing w:after="120" w:before="240"/>
      </w:pPr>
      <w:r>
        <w:t xml:space="preserve">3.2 Commercial / market risk</w:t>
      </w:r>
    </w:p>
    <w:p>
      <w:pPr>
        <w:pStyle w:val="ListParagraph"/>
        <w:numPr>
          <w:ilvl w:val="0"/>
          <w:numId w:val="1"/>
        </w:numPr>
        <w:spacing w:after="90"/>
      </w:pPr>
      <w:r>
        <w:t xml:space="preserve">Population size is genuinely uncertain: published MPS III (Sanfilippo, all subtypes combined) incidence estimates vary by an order of magnitude by geography, and the split between subtypes A/B/C/D is population-dependent (IIIB is proportionally more common in parts of Southern Europe than in the US). The company's own cited 1-in-200,000 figure, our modeled prevalent-pool backlog, and the ultimate treated-patient ceiling are all best estimates, not hard counts — this is the single largest source of valuation uncertainty in this name.</w:t>
      </w:r>
    </w:p>
    <w:p>
      <w:pPr>
        <w:pStyle w:val="ListParagraph"/>
        <w:numPr>
          <w:ilvl w:val="0"/>
          <w:numId w:val="1"/>
        </w:numPr>
        <w:spacing w:after="90"/>
      </w:pPr>
      <w:r>
        <w:t xml:space="preserve">Diagnosis and awareness bottleneck: Sanfilippo syndrome is frequently misdiagnosed or diagnosed late (developmental delay is often initially attributed to autism or other conditions), meaning realized patient uptake could ramp far more slowly than a simple prevalence-times-capture-rate model would suggest, even with no competing therapy.</w:t>
      </w:r>
    </w:p>
    <w:p>
      <w:pPr>
        <w:pStyle w:val="ListParagraph"/>
        <w:numPr>
          <w:ilvl w:val="0"/>
          <w:numId w:val="1"/>
        </w:numPr>
        <w:spacing w:after="90"/>
      </w:pPr>
      <w:r>
        <w:t xml:space="preserve">Payer pushback risk on delivery method and price: TA-ERT requires a surgically implanted Ommaya reservoir for intracerebroventricular dosing — a more invasive and costly administration paradigm than the intravenous or subcutaneous delivery used by most approved MPS ERTs. This could pressure realized net pricing or slow payer/site-of-care approval relative to our benchmark pricing assumption (drawn from BioMarin's own IV-delivered comparables).</w:t>
      </w:r>
    </w:p>
    <w:p>
      <w:pPr>
        <w:pStyle w:val="ListParagraph"/>
        <w:numPr>
          <w:ilvl w:val="0"/>
          <w:numId w:val="1"/>
        </w:numPr>
        <w:spacing w:after="90"/>
      </w:pPr>
      <w:r>
        <w:t xml:space="preserve">BioMarin economics cap SPRB's own upside: the exclusive worldwide license carries a 10%-area royalty and up to $122.5mm of milestones payable to BioMarin — SPRB does not capture the full economics of a therapy it does not itself own outright.</w:t>
      </w:r>
    </w:p>
    <w:p>
      <w:pPr>
        <w:pStyle w:val="Heading2"/>
        <w:spacing w:after="120" w:before="240"/>
      </w:pPr>
      <w:r>
        <w:t xml:space="preserve">3.3 Financial / capital-structure risk</w:t>
      </w:r>
    </w:p>
    <w:p>
      <w:pPr>
        <w:pStyle w:val="ListParagraph"/>
        <w:numPr>
          <w:ilvl w:val="0"/>
          <w:numId w:val="1"/>
        </w:numPr>
        <w:spacing w:after="90"/>
      </w:pPr>
      <w:r>
        <w:t xml:space="preserve">Continued cash burn and dilution: even with the April 2026 $69mm offering and the Avenue Capital term loan, guided cash runway (into 2H 2027) does not comfortably span a commercial launch; further dilutive capital raises should be expected regardless of regulatory outcome, and the company maintains an active shelf registration for exactly that purpose.</w:t>
      </w:r>
    </w:p>
    <w:p>
      <w:pPr>
        <w:pStyle w:val="ListParagraph"/>
        <w:numPr>
          <w:ilvl w:val="0"/>
          <w:numId w:val="1"/>
        </w:numPr>
        <w:spacing w:after="90"/>
      </w:pPr>
      <w:r>
        <w:t xml:space="preserve">Reverse-split history and micro-cap mechanics: the 1-for-75 reverse split (effective August 2025) followed a near-total loss of value in the prior CAH-focused thesis. Reverse-split micro-caps often carry structurally higher volatility, wider bid-ask spreads, and a higher propensity for further dilutive financing than seasoned mid-caps.</w:t>
      </w:r>
    </w:p>
    <w:p>
      <w:pPr>
        <w:pStyle w:val="ListParagraph"/>
        <w:numPr>
          <w:ilvl w:val="0"/>
          <w:numId w:val="1"/>
        </w:numPr>
        <w:spacing w:after="90"/>
      </w:pPr>
      <w:r>
        <w:t xml:space="preserve">Debt layered onto a pre-revenue company: the Avenue Capital term loan (up to $50mm) adds fixed obligations (interest, and eventually principal amortization) ahead of any product revenue, and carries a step-down prepayment penalty — a real claim on cash that competes with commercial launch spend if 2027 timelines slip.</w:t>
      </w:r>
    </w:p>
    <w:p>
      <w:pPr>
        <w:pStyle w:val="Heading2"/>
        <w:spacing w:after="120" w:before="240"/>
      </w:pPr>
      <w:r>
        <w:t xml:space="preserve">3.4 Ownership / governance risk</w:t>
      </w:r>
    </w:p>
    <w:p>
      <w:pPr>
        <w:pStyle w:val="ListParagraph"/>
        <w:numPr>
          <w:ilvl w:val="0"/>
          <w:numId w:val="1"/>
        </w:numPr>
        <w:spacing w:after="90"/>
      </w:pPr>
      <w:r>
        <w:t xml:space="preserve">Thin insider ownership: reported insider ownership is approximately 2.3% of shares outstanding — modest alignment by the standard of founder-led biotechs, though not unusual for a company that has been substantially re-capitalized and re-staffed post-pivot.</w:t>
      </w:r>
    </w:p>
    <w:p>
      <w:pPr>
        <w:pStyle w:val="ListParagraph"/>
        <w:numPr>
          <w:ilvl w:val="0"/>
          <w:numId w:val="1"/>
        </w:numPr>
        <w:spacing w:after="90"/>
      </w:pPr>
      <w:r>
        <w:t xml:space="preserve">High float turnover risk in a name this small: with roughly 21% institutional ownership and a small float, the stock is more exposed to swings from fund flows, index inclusion/exclusion, and short-term options-driven trading than a broadly-held large-cap peer.</w:t>
      </w:r>
    </w:p>
    <w:p>
      <w:pPr>
        <w:pStyle w:val="Heading1"/>
        <w:spacing w:after="160" w:before="320"/>
      </w:pPr>
      <w:r>
        <w:t xml:space="preserve">4. Balance Sheet &amp; Cash Runway — Summary</w:t>
      </w:r>
    </w:p>
    <w:p>
      <w:pPr>
        <w:spacing w:after="160"/>
      </w:pPr>
      <w:r>
        <w:t xml:space="preserve">(Full detail and live formulas are in the accompanying Excel model, tab "Balance Sheet &amp; Runway.")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3200"/>
      </w:tblGrid>
      <w:tr>
        <w:trPr>
          <w:tblHeader/>
        </w:trPr>
        <w:tc>
          <w:tcPr>
            <w:tcW w:type="dxa" w:w="3600"/>
            <w:shd w:fill="1F4E78" w:val="clear"/>
          </w:tcPr>
          <w:p>
            <w:r>
              <w:rPr>
                <w:b/>
                <w:bCs/>
                <w:color w:val="FFFFFF"/>
                <w:sz w:val="18"/>
                <w:szCs w:val="18"/>
              </w:rPr>
              <w:t xml:space="preserve">Metric</w:t>
            </w:r>
          </w:p>
        </w:tc>
        <w:tc>
          <w:tcPr>
            <w:tcW w:type="dxa" w:w="2800"/>
            <w:shd w:fill="1F4E78" w:val="clear"/>
          </w:tcPr>
          <w:p>
            <w:r>
              <w:rPr>
                <w:b/>
                <w:bCs/>
                <w:color w:val="FFFFFF"/>
                <w:sz w:val="18"/>
                <w:szCs w:val="18"/>
              </w:rPr>
              <w:t xml:space="preserve">Value</w:t>
            </w:r>
          </w:p>
        </w:tc>
        <w:tc>
          <w:tcPr>
            <w:tcW w:type="dxa" w:w="3200"/>
            <w:shd w:fill="1F4E78" w:val="clear"/>
          </w:tcPr>
          <w:p>
            <w:r>
              <w:rPr>
                <w:b/>
                <w:bCs/>
                <w:color w:val="FFFFFF"/>
                <w:sz w:val="18"/>
                <w:szCs w:val="18"/>
              </w:rPr>
              <w:t xml:space="preserve">As of / Source</w:t>
            </w:r>
          </w:p>
        </w:tc>
      </w:tr>
      <w:tr>
        <w:tc>
          <w:tcPr>
            <w:tcW w:type="dxa" w:w="3600"/>
          </w:tcPr>
          <w:p>
            <w:r>
              <w:rPr>
                <w:sz w:val="18"/>
                <w:szCs w:val="18"/>
              </w:rPr>
              <w:t xml:space="preserve">Cash &amp; equivalents</w:t>
            </w:r>
          </w:p>
        </w:tc>
        <w:tc>
          <w:tcPr>
            <w:tcW w:type="dxa" w:w="2800"/>
          </w:tcPr>
          <w:p>
            <w:r>
              <w:rPr>
                <w:sz w:val="18"/>
                <w:szCs w:val="18"/>
              </w:rPr>
              <w:t xml:space="preserve">$54.1mm</w:t>
            </w:r>
          </w:p>
        </w:tc>
        <w:tc>
          <w:tcPr>
            <w:tcW w:type="dxa" w:w="3200"/>
          </w:tcPr>
          <w:p>
            <w:r>
              <w:rPr>
                <w:sz w:val="18"/>
                <w:szCs w:val="18"/>
              </w:rPr>
              <w:t xml:space="preserve">31-Mar-2026 (Q1-26 10-Q)</w:t>
            </w:r>
          </w:p>
        </w:tc>
      </w:tr>
      <w:tr>
        <w:tc>
          <w:tcPr>
            <w:tcW w:type="dxa" w:w="3600"/>
          </w:tcPr>
          <w:p>
            <w:r>
              <w:rPr>
                <w:sz w:val="18"/>
                <w:szCs w:val="18"/>
              </w:rPr>
              <w:t xml:space="preserve">Pro forma cash (post Apr-26 offering, preliminary)</w:t>
            </w:r>
          </w:p>
        </w:tc>
        <w:tc>
          <w:tcPr>
            <w:tcW w:type="dxa" w:w="2800"/>
          </w:tcPr>
          <w:p>
            <w:r>
              <w:rPr>
                <w:sz w:val="18"/>
                <w:szCs w:val="18"/>
              </w:rPr>
              <w:t xml:space="preserve">$107.3mm</w:t>
            </w:r>
          </w:p>
        </w:tc>
        <w:tc>
          <w:tcPr>
            <w:tcW w:type="dxa" w:w="3200"/>
          </w:tcPr>
          <w:p>
            <w:r>
              <w:rPr>
                <w:sz w:val="18"/>
                <w:szCs w:val="18"/>
              </w:rPr>
              <w:t xml:space="preserve">30-Apr-2026 (company preliminary estimate)</w:t>
            </w:r>
          </w:p>
        </w:tc>
      </w:tr>
      <w:tr>
        <w:tc>
          <w:tcPr>
            <w:tcW w:type="dxa" w:w="3600"/>
          </w:tcPr>
          <w:p>
            <w:r>
              <w:rPr>
                <w:sz w:val="18"/>
                <w:szCs w:val="18"/>
              </w:rPr>
              <w:t xml:space="preserve">Total assets / liabilities / equity (Q1-26)</w:t>
            </w:r>
          </w:p>
        </w:tc>
        <w:tc>
          <w:tcPr>
            <w:tcW w:type="dxa" w:w="2800"/>
          </w:tcPr>
          <w:p>
            <w:r>
              <w:rPr>
                <w:sz w:val="18"/>
                <w:szCs w:val="18"/>
              </w:rPr>
              <w:t xml:space="preserve">$56.2mm / $21.5mm / $34.6mm</w:t>
            </w:r>
          </w:p>
        </w:tc>
        <w:tc>
          <w:tcPr>
            <w:tcW w:type="dxa" w:w="3200"/>
          </w:tcPr>
          <w:p>
            <w:r>
              <w:rPr>
                <w:sz w:val="18"/>
                <w:szCs w:val="18"/>
              </w:rPr>
              <w:t xml:space="preserve">31-Mar-2026 10-Q</w:t>
            </w:r>
          </w:p>
        </w:tc>
      </w:tr>
      <w:tr>
        <w:tc>
          <w:tcPr>
            <w:tcW w:type="dxa" w:w="3600"/>
          </w:tcPr>
          <w:p>
            <w:r>
              <w:rPr>
                <w:sz w:val="18"/>
                <w:szCs w:val="18"/>
              </w:rPr>
              <w:t xml:space="preserve">Avenue Capital term loan facility</w:t>
            </w:r>
          </w:p>
        </w:tc>
        <w:tc>
          <w:tcPr>
            <w:tcW w:type="dxa" w:w="2800"/>
          </w:tcPr>
          <w:p>
            <w:r>
              <w:rPr>
                <w:sz w:val="18"/>
                <w:szCs w:val="18"/>
              </w:rPr>
              <w:t xml:space="preserve">Up to $50.0mm</w:t>
            </w:r>
          </w:p>
        </w:tc>
        <w:tc>
          <w:tcPr>
            <w:tcW w:type="dxa" w:w="3200"/>
          </w:tcPr>
          <w:p>
            <w:r>
              <w:rPr>
                <w:sz w:val="18"/>
                <w:szCs w:val="18"/>
              </w:rPr>
              <w:t xml:space="preserve">Signed Jan-2026; no min. cash covenant disclosed</w:t>
            </w:r>
          </w:p>
        </w:tc>
      </w:tr>
      <w:tr>
        <w:tc>
          <w:tcPr>
            <w:tcW w:type="dxa" w:w="3600"/>
          </w:tcPr>
          <w:p>
            <w:r>
              <w:rPr>
                <w:sz w:val="18"/>
                <w:szCs w:val="18"/>
              </w:rPr>
              <w:t xml:space="preserve">April 2026 underwritten offering</w:t>
            </w:r>
          </w:p>
        </w:tc>
        <w:tc>
          <w:tcPr>
            <w:tcW w:type="dxa" w:w="2800"/>
          </w:tcPr>
          <w:p>
            <w:r>
              <w:rPr>
                <w:sz w:val="18"/>
                <w:szCs w:val="18"/>
              </w:rPr>
              <w:t xml:space="preserve">$69.0mm gross, ~$50/share</w:t>
            </w:r>
          </w:p>
        </w:tc>
        <w:tc>
          <w:tcPr>
            <w:tcW w:type="dxa" w:w="3200"/>
          </w:tcPr>
          <w:p>
            <w:r>
              <w:rPr>
                <w:sz w:val="18"/>
                <w:szCs w:val="18"/>
              </w:rPr>
              <w:t xml:space="preserve">Closed Apr-2026</w:t>
            </w:r>
          </w:p>
        </w:tc>
      </w:tr>
      <w:tr>
        <w:tc>
          <w:tcPr>
            <w:tcW w:type="dxa" w:w="3600"/>
          </w:tcPr>
          <w:p>
            <w:r>
              <w:rPr>
                <w:sz w:val="18"/>
                <w:szCs w:val="18"/>
              </w:rPr>
              <w:t xml:space="preserve">Guided cash runway</w:t>
            </w:r>
          </w:p>
        </w:tc>
        <w:tc>
          <w:tcPr>
            <w:tcW w:type="dxa" w:w="2800"/>
          </w:tcPr>
          <w:p>
            <w:r>
              <w:rPr>
                <w:sz w:val="18"/>
                <w:szCs w:val="18"/>
              </w:rPr>
              <w:t xml:space="preserve">Into 2H 2027</w:t>
            </w:r>
          </w:p>
        </w:tc>
        <w:tc>
          <w:tcPr>
            <w:tcW w:type="dxa" w:w="3200"/>
          </w:tcPr>
          <w:p>
            <w:r>
              <w:rPr>
                <w:sz w:val="18"/>
                <w:szCs w:val="18"/>
              </w:rPr>
              <w:t xml:space="preserve">Company guidance, Q1-26 release</w:t>
            </w:r>
          </w:p>
        </w:tc>
      </w:tr>
      <w:tr>
        <w:tc>
          <w:tcPr>
            <w:tcW w:type="dxa" w:w="3600"/>
          </w:tcPr>
          <w:p>
            <w:r>
              <w:rPr>
                <w:sz w:val="18"/>
                <w:szCs w:val="18"/>
              </w:rPr>
              <w:t xml:space="preserve">Reported common shares outstanding</w:t>
            </w:r>
          </w:p>
        </w:tc>
        <w:tc>
          <w:tcPr>
            <w:tcW w:type="dxa" w:w="2800"/>
          </w:tcPr>
          <w:p>
            <w:r>
              <w:rPr>
                <w:sz w:val="18"/>
                <w:szCs w:val="18"/>
              </w:rPr>
              <w:t xml:space="preserve">1,372,278</w:t>
            </w:r>
          </w:p>
        </w:tc>
        <w:tc>
          <w:tcPr>
            <w:tcW w:type="dxa" w:w="3200"/>
          </w:tcPr>
          <w:p>
            <w:r>
              <w:rPr>
                <w:sz w:val="18"/>
                <w:szCs w:val="18"/>
              </w:rPr>
              <w:t xml:space="preserve">31-Mar-2026 10-Q; unchanged as of latest available data through the Apr-2026 raise per TradingView</w:t>
            </w:r>
          </w:p>
        </w:tc>
      </w:tr>
      <w:tr>
        <w:tc>
          <w:tcPr>
            <w:tcW w:type="dxa" w:w="3600"/>
          </w:tcPr>
          <w:p>
            <w:r>
              <w:rPr>
                <w:sz w:val="18"/>
                <w:szCs w:val="18"/>
              </w:rPr>
              <w:t xml:space="preserve">Est. pre-funded warrants, Apr-2026 offering (not yet in reported count)</w:t>
            </w:r>
          </w:p>
        </w:tc>
        <w:tc>
          <w:tcPr>
            <w:tcW w:type="dxa" w:w="2800"/>
          </w:tcPr>
          <w:p>
            <w:r>
              <w:rPr>
                <w:sz w:val="18"/>
                <w:szCs w:val="18"/>
              </w:rPr>
              <w:t xml:space="preserve">~1.38mm (estimate)</w:t>
            </w:r>
          </w:p>
        </w:tc>
        <w:tc>
          <w:tcPr>
            <w:tcW w:type="dxa" w:w="3200"/>
          </w:tcPr>
          <w:p>
            <w:r>
              <w:rPr>
                <w:sz w:val="18"/>
                <w:szCs w:val="18"/>
              </w:rPr>
              <w:t xml:space="preserve">Inferred from flat reported share count post-offering — confirm structure vs. Q2-26 10-Q</w:t>
            </w:r>
          </w:p>
        </w:tc>
      </w:tr>
      <w:tr>
        <w:tc>
          <w:tcPr>
            <w:tcW w:type="dxa" w:w="3600"/>
          </w:tcPr>
          <w:p>
            <w:r>
              <w:rPr>
                <w:sz w:val="18"/>
                <w:szCs w:val="18"/>
              </w:rPr>
              <w:t xml:space="preserve">Est. fully-diluted shares outstanding (used for per-share valuation)</w:t>
            </w:r>
          </w:p>
        </w:tc>
        <w:tc>
          <w:tcPr>
            <w:tcW w:type="dxa" w:w="2800"/>
          </w:tcPr>
          <w:p>
            <w:r>
              <w:rPr>
                <w:sz w:val="18"/>
                <w:szCs w:val="18"/>
              </w:rPr>
              <w:t xml:space="preserve">~2.96mm</w:t>
            </w:r>
          </w:p>
        </w:tc>
        <w:tc>
          <w:tcPr>
            <w:tcW w:type="dxa" w:w="3200"/>
          </w:tcPr>
          <w:p>
            <w:r>
              <w:rPr>
                <w:sz w:val="18"/>
                <w:szCs w:val="18"/>
              </w:rPr>
              <w:t xml:space="preserve">Basic + equity awards + all warrants (legacy + pre-funded)</w:t>
            </w:r>
          </w:p>
        </w:tc>
      </w:tr>
    </w:tbl>
    <w:p>
      <w:pPr>
        <w:spacing w:after="160"/>
      </w:pPr>
    </w:p>
    <w:p>
      <w:pPr>
        <w:spacing w:after="160"/>
      </w:pPr>
      <w:r>
        <w:t xml:space="preserve">Runway assessment: on an opex-only basis (excluding any 2027 launch revenue), modeled cash funds operations into 2027 — broadly consistent with, but slightly more conservative than, management's stated "into 2H 2027" guidance, which implicitly credits some early launch revenue and/or further capital access. We would not be surprised to see an additional equity or debt raise around the BLA-approval catalyst window (expected Q4 2026 filing, standard ~6-10 month FDA review clock thereafter), independent of the regulatory outcome.</w:t>
      </w:r>
    </w:p>
    <w:p>
      <w:pPr>
        <w:pStyle w:val="Heading1"/>
        <w:spacing w:after="160" w:before="320"/>
      </w:pPr>
      <w:r>
        <w:t xml:space="preserve">5. Institutional Ownership &amp; Insider Activity</w:t>
      </w:r>
    </w:p>
    <w:p>
      <w:pPr>
        <w:pStyle w:val="Heading2"/>
        <w:spacing w:after="120" w:before="240"/>
      </w:pPr>
      <w:r>
        <w:t xml:space="preserve">5.1 Institutional ownership</w:t>
      </w:r>
    </w:p>
    <w:p>
      <w:pPr>
        <w:spacing w:after="160"/>
      </w:pPr>
      <w:r>
        <w:t xml:space="preserve">Per third-party 13D/G and 13F aggregation (Fintel), Spruce Biosciences has approximately 34 reporting institutional owners holding an aggregate ~729,000 shares, equating to roughly 21% institutional ownership of shares outstanding. Reported largest holders include:</w:t>
      </w:r>
    </w:p>
    <w:p>
      <w:pPr>
        <w:pStyle w:val="ListParagraph"/>
        <w:numPr>
          <w:ilvl w:val="0"/>
          <w:numId w:val="1"/>
        </w:numPr>
        <w:spacing w:after="90"/>
      </w:pPr>
      <w:r>
        <w:t xml:space="preserve">Ikarian Capital, LLC</w:t>
      </w:r>
    </w:p>
    <w:p>
      <w:pPr>
        <w:pStyle w:val="ListParagraph"/>
        <w:numPr>
          <w:ilvl w:val="0"/>
          <w:numId w:val="1"/>
        </w:numPr>
        <w:spacing w:after="90"/>
      </w:pPr>
      <w:r>
        <w:t xml:space="preserve">Squadron Capital Management LLC</w:t>
      </w:r>
    </w:p>
    <w:p>
      <w:pPr>
        <w:pStyle w:val="ListParagraph"/>
        <w:numPr>
          <w:ilvl w:val="0"/>
          <w:numId w:val="1"/>
        </w:numPr>
        <w:spacing w:after="90"/>
      </w:pPr>
      <w:r>
        <w:t xml:space="preserve">Citadel Advisors LLC (via Citadel CEMF Investments / Citadel Securities, Schedule 13G — passive, not activist)</w:t>
      </w:r>
    </w:p>
    <w:p>
      <w:pPr>
        <w:pStyle w:val="ListParagraph"/>
        <w:numPr>
          <w:ilvl w:val="0"/>
          <w:numId w:val="1"/>
        </w:numPr>
        <w:spacing w:after="90"/>
      </w:pPr>
      <w:r>
        <w:t xml:space="preserve">Wellington Management Group LLP</w:t>
      </w:r>
    </w:p>
    <w:p>
      <w:pPr>
        <w:pStyle w:val="ListParagraph"/>
        <w:numPr>
          <w:ilvl w:val="0"/>
          <w:numId w:val="1"/>
        </w:numPr>
        <w:spacing w:after="90"/>
      </w:pPr>
      <w:r>
        <w:t xml:space="preserve">ADAR1 Capital Management, LLC</w:t>
      </w:r>
    </w:p>
    <w:p>
      <w:pPr>
        <w:pStyle w:val="ListParagraph"/>
        <w:numPr>
          <w:ilvl w:val="0"/>
          <w:numId w:val="1"/>
        </w:numPr>
        <w:spacing w:after="90"/>
      </w:pPr>
      <w:r>
        <w:t xml:space="preserve">Alyeska Investment Group, L.P.</w:t>
      </w:r>
    </w:p>
    <w:p>
      <w:pPr>
        <w:pStyle w:val="ListParagraph"/>
        <w:numPr>
          <w:ilvl w:val="0"/>
          <w:numId w:val="1"/>
        </w:numPr>
        <w:spacing w:after="90"/>
      </w:pPr>
      <w:r>
        <w:t xml:space="preserve">Boothbay Fund Management, LLC</w:t>
      </w:r>
    </w:p>
    <w:p>
      <w:pPr>
        <w:pStyle w:val="ListParagraph"/>
        <w:numPr>
          <w:ilvl w:val="0"/>
          <w:numId w:val="1"/>
        </w:numPr>
        <w:spacing w:after="90"/>
      </w:pPr>
      <w:r>
        <w:t xml:space="preserve">Balyasny Asset Management LLC</w:t>
      </w:r>
    </w:p>
    <w:p>
      <w:pPr>
        <w:pStyle w:val="ListParagraph"/>
        <w:numPr>
          <w:ilvl w:val="0"/>
          <w:numId w:val="1"/>
        </w:numPr>
        <w:spacing w:after="90"/>
      </w:pPr>
      <w:r>
        <w:t xml:space="preserve">Carlyle Group Inc.</w:t>
      </w:r>
    </w:p>
    <w:p>
      <w:pPr>
        <w:pStyle w:val="ListParagraph"/>
        <w:numPr>
          <w:ilvl w:val="0"/>
          <w:numId w:val="1"/>
        </w:numPr>
        <w:spacing w:after="90"/>
      </w:pPr>
      <w:r>
        <w:t xml:space="preserve">Schonfeld Strategic Advisors LLC</w:t>
      </w:r>
    </w:p>
    <w:p>
      <w:pPr>
        <w:spacing w:after="160"/>
      </w:pPr>
      <w:r>
        <w:t xml:space="preserve">The presence of several large multi-strategy/quant funds (Citadel, Balyasny, Schonfeld, Boothbay) alongside long-only-style holders (Wellington) is fairly typical of a volatile, event-driven micro-cap biotech and does not, by itself, indicate a strong fundamental conviction thesis from any single holder — several of these positions are plausibly market-making, index, or basis-trade related rather than directional bets. Separately, Harbour BioMed (a China-based biotech) acquired common stock in January 2026 in connection with an expanded strategic collaboration — worth understanding further if a corporate/strategic angle matters to your thesis.</w:t>
      </w:r>
    </w:p>
    <w:p>
      <w:pPr>
        <w:pStyle w:val="Heading2"/>
        <w:spacing w:after="120" w:before="240"/>
      </w:pPr>
      <w:r>
        <w:t xml:space="preserve">5.2 Insider ownership and recent Form 4 activity</w:t>
      </w:r>
    </w:p>
    <w:p>
      <w:pPr>
        <w:spacing w:after="160"/>
      </w:pPr>
      <w:r>
        <w:t xml:space="preserve">Reported insider ownership sits at approximately 2.3% of shares outstanding. Form 4 filings reviewed over the past ~12 months show a pattern typical of a pre-commercial biotech compensation program rather than open-market conviction buying:</w:t>
      </w:r>
    </w:p>
    <w:p>
      <w:pPr>
        <w:pStyle w:val="ListParagraph"/>
        <w:numPr>
          <w:ilvl w:val="0"/>
          <w:numId w:val="1"/>
        </w:numPr>
        <w:spacing w:after="90"/>
      </w:pPr>
      <w:r>
        <w:t xml:space="preserve">CEO Javier Szwarcberg acquired 266 shares via the company's Employee Stock Purchase Plan (a routine, price-set, non-discretionary purchase mechanism) — not an open-market buy signal.</w:t>
      </w:r>
    </w:p>
    <w:p>
      <w:pPr>
        <w:pStyle w:val="ListParagraph"/>
        <w:numPr>
          <w:ilvl w:val="0"/>
          <w:numId w:val="1"/>
        </w:numPr>
        <w:spacing w:after="90"/>
      </w:pPr>
      <w:r>
        <w:t xml:space="preserve">Multiple director and officer stock-option grants at exercise prices ranging from ~$52.70 to ~$88.41 per share through late 2025 and 2026 (routine annual/new-hire equity compensation, not open-market purchases).</w:t>
      </w:r>
    </w:p>
    <w:p>
      <w:pPr>
        <w:pStyle w:val="ListParagraph"/>
        <w:numPr>
          <w:ilvl w:val="0"/>
          <w:numId w:val="1"/>
        </w:numPr>
        <w:spacing w:after="90"/>
      </w:pPr>
      <w:r>
        <w:t xml:space="preserve">New Chief Commercial Officer (Dale Hooks) and other 2026 commercial-function hires (VP Market Access, VP Commercial Operations, VP Marketing, VP Finance) received new-hire inducement RSU grants — consistent with active build-out of a launch-ready commercial organization, a incrementally positive operational signal, though again compensation-related rather than open-market buying.</w:t>
      </w:r>
    </w:p>
    <w:p>
      <w:pPr>
        <w:pStyle w:val="ListParagraph"/>
        <w:numPr>
          <w:ilvl w:val="0"/>
          <w:numId w:val="1"/>
        </w:numPr>
        <w:spacing w:after="90"/>
      </w:pPr>
      <w:r>
        <w:t xml:space="preserve">We did not identify any meaningful open-market insider purchases (Form 4 Table I "P" transactions funded with personal capital) in the filings reviewed — essentially all insider share acquisitions found were option exercises, RSU vestings, or ESPP purchases. This is a data point worth weighing: it is common at pre-commercial biotechs, but it means insider activity here should not be read as a conviction signal either way.</w:t>
      </w:r>
    </w:p>
    <w:p>
      <w:pPr>
        <w:spacing w:after="200"/>
      </w:pPr>
      <w:r>
        <w:rPr>
          <w:i/>
          <w:iCs/>
          <w:color w:val="595959"/>
          <w:sz w:val="18"/>
          <w:szCs w:val="18"/>
        </w:rPr>
        <w:t xml:space="preserve">We reviewed a sample of recent Form 4s via public aggregators (StockTitan, OpenInsider) rather than every filing since inception; a full insider-transaction pull directly from EDGAR would be a reasonable next step if insider positioning is central to your thesis.</w:t>
      </w:r>
    </w:p>
    <w:p>
      <w:pPr>
        <w:pStyle w:val="Heading1"/>
        <w:spacing w:after="160" w:before="320"/>
      </w:pPr>
      <w:r>
        <w:t xml:space="preserve">6. Where Your Biotech Contacts Could Materially Improve This Analysis</w:t>
      </w:r>
    </w:p>
    <w:p>
      <w:pPr>
        <w:spacing w:after="160"/>
      </w:pPr>
      <w:r>
        <w:t xml:space="preserve">You mentioned access to physicians, peers, and professors who could weigh in on enzyme replacement therapies generally and this program specifically. In rough order of expected impact on the valuation:</w:t>
      </w:r>
    </w:p>
    <w:p>
      <w:pPr>
        <w:pStyle w:val="ListParagraph"/>
        <w:numPr>
          <w:ilvl w:val="0"/>
          <w:numId w:val="1"/>
        </w:numPr>
        <w:spacing w:after="90"/>
      </w:pPr>
      <w:r>
        <w:t xml:space="preserve">Diagnosed MPS IIIB patient counts, by country/region (US, EU5 in particular) — the single biggest lever in the rNPV model. If a genetics/metabolic-disease KOL can point to registry data (e.g., natural history study enrollment figures, newborn screening pilot data, or patient advocacy group (Cure Sanfilippo Foundation) census figures), that would directly replace our widest-uncertainty assumption.</w:t>
      </w:r>
    </w:p>
    <w:p>
      <w:pPr>
        <w:pStyle w:val="ListParagraph"/>
        <w:numPr>
          <w:ilvl w:val="0"/>
          <w:numId w:val="1"/>
        </w:numPr>
        <w:spacing w:after="90"/>
      </w:pPr>
      <w:r>
        <w:t xml:space="preserve">Realistic payer/pricing expectations for an ICV-delivered pediatric ERT — is $400-600k/year defensible given the added surgical/device burden versus IV-delivered comparables, and how might US vs. EU payers differ in practice?</w:t>
      </w:r>
    </w:p>
    <w:p>
      <w:pPr>
        <w:pStyle w:val="ListParagraph"/>
        <w:numPr>
          <w:ilvl w:val="0"/>
          <w:numId w:val="1"/>
        </w:numPr>
        <w:spacing w:after="90"/>
      </w:pPr>
      <w:r>
        <w:t xml:space="preserve">Clinical view on the durability and generalizability of the cognitive-stabilization data (marketed most heavily in early-disease patients) — does a treating neurologist or geneticist see this as compelling enough to drive urgent diagnosis-seeking behavior, which would accelerate the patient ramp beyond our assumed curve?</w:t>
      </w:r>
    </w:p>
    <w:p>
      <w:pPr>
        <w:pStyle w:val="ListParagraph"/>
        <w:numPr>
          <w:ilvl w:val="0"/>
          <w:numId w:val="1"/>
        </w:numPr>
        <w:spacing w:after="90"/>
      </w:pPr>
      <w:r>
        <w:t xml:space="preserve">Any perspective on accelerated-approval withdrawal precedent in rare disease — how treating physicians and payers have historically responded when a confirmatory trial disappoints (relevant tail-risk calibration).</w:t>
      </w:r>
    </w:p>
    <w:p>
      <w:pPr>
        <w:pStyle w:val="ListParagraph"/>
        <w:numPr>
          <w:ilvl w:val="0"/>
          <w:numId w:val="1"/>
        </w:numPr>
        <w:spacing w:after="90"/>
      </w:pPr>
      <w:r>
        <w:t xml:space="preserve">Manufacturing/CMC view on COGS realism for a mammalian-cell-culture-derived, ICV/Ommaya-administered biologic — sanity-checking our 12-25% COGS assumption range.</w:t>
      </w:r>
    </w:p>
    <w:p>
      <w:pPr>
        <w:spacing w:after="160"/>
      </w:pPr>
      <w:r>
        <w:t xml:space="preserve">Please treat the epidemiology and pricing assumptions in the accompanying model as a starting point for that conversation, not a settled input — we have flagged them explicitly as the widest-uncertainty numbers in the file.</w:t>
      </w:r>
    </w:p>
    <w:p>
      <w:pPr>
        <w:pStyle w:val="Heading1"/>
        <w:spacing w:after="160" w:before="320"/>
      </w:pPr>
      <w:r>
        <w:t xml:space="preserve">7. Summary Valuation Read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2900"/>
        <w:gridCol w:w="3300"/>
      </w:tblGrid>
      <w:tr>
        <w:trPr>
          <w:tblHeader/>
        </w:trPr>
        <w:tc>
          <w:tcPr>
            <w:tcW w:type="dxa" w:w="3200"/>
            <w:shd w:fill="1F4E78" w:val="clear"/>
          </w:tcPr>
          <w:p>
            <w:r>
              <w:rPr>
                <w:b/>
                <w:bCs/>
                <w:color w:val="FFFFFF"/>
                <w:sz w:val="18"/>
                <w:szCs w:val="18"/>
              </w:rPr>
              <w:t xml:space="preserve">Method</w:t>
            </w:r>
          </w:p>
        </w:tc>
        <w:tc>
          <w:tcPr>
            <w:tcW w:type="dxa" w:w="2900"/>
            <w:shd w:fill="1F4E78" w:val="clear"/>
          </w:tcPr>
          <w:p>
            <w:r>
              <w:rPr>
                <w:b/>
                <w:bCs/>
                <w:color w:val="FFFFFF"/>
                <w:sz w:val="18"/>
                <w:szCs w:val="18"/>
              </w:rPr>
              <w:t xml:space="preserve">Implied price / share (base case)</w:t>
            </w:r>
          </w:p>
        </w:tc>
        <w:tc>
          <w:tcPr>
            <w:tcW w:type="dxa" w:w="3300"/>
            <w:shd w:fill="1F4E78" w:val="clear"/>
          </w:tcPr>
          <w:p>
            <w:r>
              <w:rPr>
                <w:b/>
                <w:bCs/>
                <w:color w:val="FFFFFF"/>
                <w:sz w:val="18"/>
                <w:szCs w:val="18"/>
              </w:rPr>
              <w:t xml:space="preserve">What it represents</w:t>
            </w:r>
          </w:p>
        </w:tc>
      </w:tr>
      <w:tr>
        <w:tc>
          <w:tcPr>
            <w:tcW w:type="dxa" w:w="3200"/>
          </w:tcPr>
          <w:p>
            <w:r>
              <w:rPr>
                <w:sz w:val="18"/>
                <w:szCs w:val="18"/>
              </w:rPr>
              <w:t xml:space="preserve">rNPV (risk-adjusted)</w:t>
            </w:r>
          </w:p>
        </w:tc>
        <w:tc>
          <w:tcPr>
            <w:tcW w:type="dxa" w:w="2900"/>
          </w:tcPr>
          <w:p>
            <w:r>
              <w:rPr>
                <w:sz w:val="18"/>
                <w:szCs w:val="18"/>
              </w:rPr>
              <w:t xml:space="preserve">~$19</w:t>
            </w:r>
          </w:p>
        </w:tc>
        <w:tc>
          <w:tcPr>
            <w:tcW w:type="dxa" w:w="3300"/>
          </w:tcPr>
          <w:p>
            <w:r>
              <w:rPr>
                <w:sz w:val="18"/>
                <w:szCs w:val="18"/>
              </w:rPr>
              <w:t xml:space="preserve">Probability-weighted fair value; our recommended primary reference point</w:t>
            </w:r>
          </w:p>
        </w:tc>
      </w:tr>
      <w:tr>
        <w:tc>
          <w:tcPr>
            <w:tcW w:type="dxa" w:w="3200"/>
          </w:tcPr>
          <w:p>
            <w:r>
              <w:rPr>
                <w:sz w:val="18"/>
                <w:szCs w:val="18"/>
              </w:rPr>
              <w:t xml:space="preserve">DCF (unrisked success case)</w:t>
            </w:r>
          </w:p>
        </w:tc>
        <w:tc>
          <w:tcPr>
            <w:tcW w:type="dxa" w:w="2900"/>
          </w:tcPr>
          <w:p>
            <w:r>
              <w:rPr>
                <w:sz w:val="18"/>
                <w:szCs w:val="18"/>
              </w:rPr>
              <w:t xml:space="preserve">~$29</w:t>
            </w:r>
          </w:p>
        </w:tc>
        <w:tc>
          <w:tcPr>
            <w:tcW w:type="dxa" w:w="3300"/>
          </w:tcPr>
          <w:p>
            <w:r>
              <w:rPr>
                <w:sz w:val="18"/>
                <w:szCs w:val="18"/>
              </w:rPr>
              <w:t xml:space="preserve">Ceiling case if TA-ERT succeeds exactly as modeled, with terminal value</w:t>
            </w:r>
          </w:p>
        </w:tc>
      </w:tr>
      <w:tr>
        <w:tc>
          <w:tcPr>
            <w:tcW w:type="dxa" w:w="3200"/>
          </w:tcPr>
          <w:p>
            <w:r>
              <w:rPr>
                <w:sz w:val="18"/>
                <w:szCs w:val="18"/>
              </w:rPr>
              <w:t xml:space="preserve">Relative valuation (EV/Peak-Sales, Zevra-derived)</w:t>
            </w:r>
          </w:p>
        </w:tc>
        <w:tc>
          <w:tcPr>
            <w:tcW w:type="dxa" w:w="2900"/>
          </w:tcPr>
          <w:p>
            <w:r>
              <w:rPr>
                <w:sz w:val="18"/>
                <w:szCs w:val="18"/>
              </w:rPr>
              <w:t xml:space="preserve">~$165 (base) / ~$383 (bull)</w:t>
            </w:r>
          </w:p>
        </w:tc>
        <w:tc>
          <w:tcPr>
            <w:tcW w:type="dxa" w:w="3300"/>
          </w:tcPr>
          <w:p>
            <w:r>
              <w:rPr>
                <w:sz w:val="18"/>
                <w:szCs w:val="18"/>
              </w:rPr>
              <w:t xml:space="preserve">Peer multiple applied to SPRB's own projected peak revenue -- see Section 2.2</w:t>
            </w:r>
          </w:p>
        </w:tc>
      </w:tr>
      <w:tr>
        <w:tc>
          <w:tcPr>
            <w:tcW w:type="dxa" w:w="3200"/>
          </w:tcPr>
          <w:p>
            <w:r>
              <w:rPr>
                <w:sz w:val="18"/>
                <w:szCs w:val="18"/>
              </w:rPr>
              <w:t xml:space="preserve">Blended (weighted 55% / 25% / 20%)</w:t>
            </w:r>
          </w:p>
        </w:tc>
        <w:tc>
          <w:tcPr>
            <w:tcW w:type="dxa" w:w="2900"/>
          </w:tcPr>
          <w:p>
            <w:r>
              <w:rPr>
                <w:sz w:val="18"/>
                <w:szCs w:val="18"/>
              </w:rPr>
              <w:t xml:space="preserve">~$51</w:t>
            </w:r>
          </w:p>
        </w:tc>
        <w:tc>
          <w:tcPr>
            <w:tcW w:type="dxa" w:w="3300"/>
          </w:tcPr>
          <w:p>
            <w:r>
              <w:rPr>
                <w:sz w:val="18"/>
                <w:szCs w:val="18"/>
              </w:rPr>
              <w:t xml:space="preserve">Editable blend — adjust weights in the Excel model to reflect your own view</w:t>
            </w:r>
          </w:p>
        </w:tc>
      </w:tr>
      <w:tr>
        <w:tc>
          <w:tcPr>
            <w:tcW w:type="dxa" w:w="3200"/>
          </w:tcPr>
          <w:p>
            <w:r>
              <w:rPr>
                <w:sz w:val="18"/>
                <w:szCs w:val="18"/>
              </w:rPr>
              <w:t xml:space="preserve">Current market price (reference)</w:t>
            </w:r>
          </w:p>
        </w:tc>
        <w:tc>
          <w:tcPr>
            <w:tcW w:type="dxa" w:w="2900"/>
          </w:tcPr>
          <w:p>
            <w:r>
              <w:rPr>
                <w:sz w:val="18"/>
                <w:szCs w:val="18"/>
              </w:rPr>
              <w:t xml:space="preserve">~$43-45</w:t>
            </w:r>
          </w:p>
        </w:tc>
        <w:tc>
          <w:tcPr>
            <w:tcW w:type="dxa" w:w="3300"/>
          </w:tcPr>
          <w:p>
            <w:r>
              <w:rPr>
                <w:sz w:val="18"/>
                <w:szCs w:val="18"/>
              </w:rPr>
              <w:t xml:space="preserve">Mid-Jul-2026, per TradingView; down from low-$50s in early Jul-2026 — highly volatile, re-check live</w:t>
            </w:r>
          </w:p>
        </w:tc>
      </w:tr>
      <w:tr>
        <w:tc>
          <w:tcPr>
            <w:tcW w:type="dxa" w:w="3200"/>
          </w:tcPr>
          <w:p>
            <w:r>
              <w:rPr>
                <w:sz w:val="18"/>
                <w:szCs w:val="18"/>
              </w:rPr>
              <w:t xml:space="preserve">Street consensus target (reference only)</w:t>
            </w:r>
          </w:p>
        </w:tc>
        <w:tc>
          <w:tcPr>
            <w:tcW w:type="dxa" w:w="2900"/>
          </w:tcPr>
          <w:p>
            <w:r>
              <w:rPr>
                <w:sz w:val="18"/>
                <w:szCs w:val="18"/>
              </w:rPr>
              <w:t xml:space="preserve">~$150</w:t>
            </w:r>
          </w:p>
        </w:tc>
        <w:tc>
          <w:tcPr>
            <w:tcW w:type="dxa" w:w="3300"/>
          </w:tcPr>
          <w:p>
            <w:r>
              <w:rPr>
                <w:sz w:val="18"/>
                <w:szCs w:val="18"/>
              </w:rPr>
              <w:t xml:space="preserve">Citizens, Craig-Hallum, Leerink — not independently derived here</w:t>
            </w:r>
          </w:p>
        </w:tc>
      </w:tr>
    </w:tbl>
    <w:p>
      <w:pPr>
        <w:spacing w:after="160"/>
      </w:pPr>
    </w:p>
    <w:p>
      <w:pPr>
        <w:spacing w:after="160"/>
      </w:pPr>
      <w:r>
        <w:t xml:space="preserve">All figures, weights, and underlying assumptions are fully editable in the companion Excel model (SPRB_Valuation_Model.xlsx) — including a Bear / Base / Bull scenario selector on the Cover &amp; Assumptions tab that flows through every downstream calculation.</w:t>
      </w:r>
    </w:p>
    <w:p>
      <w:pPr>
        <w:pStyle w:val="Heading1"/>
        <w:spacing w:after="160" w:before="320"/>
      </w:pPr>
      <w:r>
        <w:t xml:space="preserve">8. Appendix: Independent Statistical Review of TA-ERT Cognitive Data</w:t>
      </w:r>
    </w:p>
    <w:p>
      <w:pPr>
        <w:spacing w:after="160"/>
      </w:pPr>
      <w:r>
        <w:t xml:space="preserve">A third-party quantitative analyst (Randall Ching, dated 21-Feb-2026) produced an independent statistical reconstruction of the BSID-III cognition data behind Spruce's 2026 WORLDSymposium poster, working only from the aggregate summary statistics the sponsor published (means, standard errors, and N-at-risk by age) rather than patient-level data. We independently re-derived several of the analysis's key figures from its own reported inputs -- the reverse-calculated standard deviations, the pooled standard deviation, Cohen's d, and the Hedges' g small-sample correction at age 8.0 -- and every figure reproduced exactly. We treat this as a technically credible piece of work, not promotional noise, and summarize its findings and our own read on their implications below.</w:t>
      </w:r>
    </w:p>
    <w:p>
      <w:pPr>
        <w:pStyle w:val="Heading2"/>
        <w:spacing w:after="120" w:before="240"/>
      </w:pPr>
      <w:r>
        <w:t xml:space="preserve">8.1 What the reconstruction found</w:t>
      </w:r>
    </w:p>
    <w:p>
      <w:pPr>
        <w:pStyle w:val="ListParagraph"/>
        <w:numPr>
          <w:ilvl w:val="0"/>
          <w:numId w:val="1"/>
        </w:numPr>
        <w:spacing w:after="90"/>
      </w:pPr>
      <w:r>
        <w:t xml:space="preserve">Effect sizes are small-to-medium, not large: Hedges' g (the small-sample-corrected standardized effect size) ranges from roughly 0.13 to 0.48 across the age range studied, versus a conventional threshold of 0.8 for a 'large' effect. The statistically significant p-values the sponsor reports (as low as 0.004 at some ages) reflect a real but modest absolute separation between cohorts, amplified by the sponsor's MMRM modeling approach -- not a large, uniform clinical effect.</w:t>
      </w:r>
    </w:p>
    <w:p>
      <w:pPr>
        <w:pStyle w:val="ListParagraph"/>
        <w:numPr>
          <w:ilvl w:val="0"/>
          <w:numId w:val="1"/>
        </w:numPr>
        <w:spacing w:after="90"/>
      </w:pPr>
      <w:r>
        <w:t xml:space="preserve">The clearest signal is concentrated in a specific 18-month window, ages 7.5 to 9.0: velocity analysis (the first derivative of raw cognition scores) shows the untreated natural-history cohort entering a pronounced decline in this window while the treated cohort's decline is markedly shallower -- the strongest evidence in the dataset that TA-ERT is intercepting the disease mechanism rather than merely correlating with it.</w:t>
      </w:r>
    </w:p>
    <w:p>
      <w:pPr>
        <w:pStyle w:val="ListParagraph"/>
        <w:numPr>
          <w:ilvl w:val="0"/>
          <w:numId w:val="1"/>
        </w:numPr>
        <w:spacing w:after="90"/>
      </w:pPr>
      <w:r>
        <w:t xml:space="preserve">Data beyond age 9 is distorted by survivorship bias in the untreated (comparator) cohort, not a narrowing drug effect: the analysis shows that as the sickest untreated children drop out of testing (via floor-effect censoring), the remaining natural-history group's mean is mechanically pulled upward, creating the appearance that the treatment effect is shrinking in later years when the underlying cause is attrition in the control arm, not diminished drug efficacy.</w:t>
      </w:r>
    </w:p>
    <w:p>
      <w:pPr>
        <w:pStyle w:val="ListParagraph"/>
        <w:numPr>
          <w:ilvl w:val="0"/>
          <w:numId w:val="1"/>
        </w:numPr>
        <w:spacing w:after="90"/>
      </w:pPr>
      <w:r>
        <w:t xml:space="preserve">The analysis is self-critical about its own limits: it flags a data artifact at age 8 (an implied per-patient score mathematically above the scale's maximum), correctly attributing it to the accounting-identity method breaking down rather than claiming a biological finding, and repeatedly notes that aggregate summary statistics cannot substitute for patient-level covariate modeling -- the sponsor's MMRM analysis (adjusting for baseline developmental quotient, given the study's DQ&gt;50 enrollment criterion) is the analysis that will actually matter to the FDA, and remains a black box to outside reviewers.</w:t>
      </w:r>
    </w:p>
    <w:p>
      <w:pPr>
        <w:pStyle w:val="Heading2"/>
        <w:spacing w:after="120" w:before="240"/>
      </w:pPr>
      <w:r>
        <w:t xml:space="preserve">8.2 What this means for the thesis</w:t>
      </w:r>
    </w:p>
    <w:p>
      <w:pPr>
        <w:spacing w:after="160"/>
      </w:pPr>
      <w:r>
        <w:t xml:space="preserve">This should shift how the clinical story is framed, not necessarily the probability-of-success assumption itself. The company's own promotional language (and Martin Shkreli's public framing -- Section 2, "may live a normal life") points toward a large, uniform, disease-reversing effect. This independent reconstruction supports a narrower and more specific claim: a real, biologically plausible, small-to-medium stabilization effect concentrated in a particular developmental window. Both can be true -- a modest average effect size is still clinically meaningful in a fatal neurodegenerative disease with no approved alternative -- but the gap between the promotional framing and the reconstructed effect size is worth holding onto.</w:t>
      </w:r>
    </w:p>
    <w:p>
      <w:pPr>
        <w:spacing w:after="160"/>
      </w:pPr>
      <w:r>
        <w:t xml:space="preserve">It also sharpens, rather than invents, the confirmatory-trial risk already discussed in Sections 2.3 and 3.1. The post-approval confirmatory trial is a 5-year, placebo-controlled study in only about 14 patients. A true effect that is modest in magnitude (Hedges' g roughly 0.3-0.4) and concentrated in an 18-month age window is mechanically harder to detect with statistical significance in a trial that small, particularly if enrolled patients span a wider age range than the window where the effect is strongest. This is a specific, data-grounded reason a confirmatory-trial disappointment is a live risk -- distinct from the generic 'small trial populations' risk already flagged, and consistent with the exact failure mode (an inability to hold FDA alignment on this endpoint) that ended the molecule's original developer, Allievex, in 2023 (Section 2.3).</w:t>
      </w:r>
    </w:p>
    <w:p>
      <w:pPr>
        <w:spacing w:after="160"/>
      </w:pPr>
      <w:r>
        <w:t xml:space="preserve">Finally, it raises a possibility not previously considered in this analysis: if Spruce's own biostatisticians or the FDA converge on a similar reading -- that the clearest benefit is concentrated in a specific developmental window -- approval or reimbursement could plausibly be narrower than an all-comers MPS IIIB indication (for example, favoring early treatment before or during the 7.5-9.0 year window). That would compress the peak addressable population in a more specific, mechanistically-grounded way than the generic epidemiology uncertainty already flagged on the Cover tab of the accompanying model, and is worth raising directly with any clinical or regulatory contacts you have access to.</w:t>
      </w:r>
    </w:p>
    <w:p>
      <w:pPr>
        <w:pStyle w:val="Heading1"/>
        <w:spacing w:after="160" w:before="320"/>
      </w:pPr>
      <w:r>
        <w:t xml:space="preserve">9. Disclaimer</w:t>
      </w:r>
    </w:p>
    <w:p>
      <w:pPr>
        <w:spacing w:after="160"/>
      </w:pPr>
      <w:r>
        <w:rPr>
          <w:i/>
          <w:iCs/>
          <w:color w:val="595959"/>
          <w:sz w:val="18"/>
          <w:szCs w:val="18"/>
        </w:rPr>
        <w:t xml:space="preserve">This document and the accompanying model were prepared for internal research and educational purposes based on publicly available information as of 18-Jul-2026. They do not constitute investment, legal, or tax advice, and are not a research report intended for public distribution. Spruce Biosciences is a pre-commercial, single-asset, micro-cap biopharmaceutical company; all forward-looking figures — patient populations, pricing, probability of approval, and share counts — are estimates subject to material uncertainty and should be independently verified. Past performance and any analyst price targets cited are not indicative of future results. We are not a registered investment advisor or broker-dealer.</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r>
      <w:rPr>
        <w:color w:val="595959"/>
        <w:sz w:val="16"/>
        <w:szCs w:val="16"/>
      </w:rPr>
      <w:t xml:space="preserve">   |   Not investment advice — for internal research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Spruce Biosciences, Inc. (NASDAQ: SPRB) — Research Memo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1F4E78" w:sz="6" w:space="4"/>
      </w:pBdr>
      <w:spacing w:after="150" w:before="300"/>
    </w:pPr>
    <w:rPr>
      <w:rFonts w:ascii="Calibri" w:cs="Calibri" w:eastAsia="Calibri" w:hAnsi="Calibri"/>
      <w:b/>
      <w:bCs/>
      <w:color w:val="1F4E78"/>
      <w:sz w:val="28"/>
      <w:szCs w:val="28"/>
    </w:rPr>
  </w:style>
  <w:style w:type="paragraph" w:styleId="Heading2">
    <w:name w:val="Heading 2"/>
    <w:basedOn w:val="Normal"/>
    <w:next w:val="Normal"/>
    <w:pPr>
      <w:spacing w:after="120" w:before="240"/>
    </w:pPr>
    <w:rPr>
      <w:rFonts w:ascii="Calibri" w:cs="Calibri" w:eastAsia="Calibri" w:hAnsi="Calibri"/>
      <w:b/>
      <w:bCs/>
      <w:color w:val="1F4E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2026-07-18T08:42:33.440Z</dcterms:created>
  <dcterms:modified xsi:type="dcterms:W3CDTF">2026-07-18T08:42:33.454Z</dcterms:modified>
</cp:coreProperties>
</file>

<file path=docProps/custom.xml><?xml version="1.0" encoding="utf-8"?>
<Properties xmlns="http://schemas.openxmlformats.org/officeDocument/2006/custom-properties" xmlns:vt="http://schemas.openxmlformats.org/officeDocument/2006/docPropsVTypes"/>
</file>