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Раннє тестування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Чим раніше тестування розпочато, тим менша можливість фінансових, репутаційних і ресурсних втрат що є дуже важливим для компанії.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Коли я працювала копірайтером мені давали три дні на текст і ще його треба було відіслати редактору. І коли редактор скидав правки впритул до дедлайну якість тексту знижувалась через поспішність і мою втому.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Тестування залежить від контексту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Важливо тестувати продукти різних сфер по-різному, тому що в кожній сфері є свої вимоги, функції, ризики і мета тестування.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Наприклад, якщо я тестую палетку тіней для повік (різні способи нанесення, пігментованність), то я не зможу застосувати такі ж самі методи при тестуванні взуття.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