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высшего образования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«Южный федеральный университет»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Физический факультет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Бураков Руслан Игоревич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МОДЕЛИРОВАНИЕ ДВИЖЕНИЯ ДЕЙТЕРИЯ В КРИСТАЛЛЕ ПАЛЛАДИЯ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МАГИСТЕРСКАЯ ДИССЕРТАЦИЯ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направлению 011200 – Физика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Магистерская программа - «Физика конденсированного состояния»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Научный руководитель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доц., к.ф.-м.н. Авакян Леон Александрович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Рецензент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к.ф.-м.н. Русакова Е.Б.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защите допускаю: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проф., д. ф.-м. н. Бугаев Лусеген Арменакович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Ростов-на-Дону – 2015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7D62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F2131" w:rsidRDefault="004F2131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высокой долей вероятности увеличение выбросов углекислого газа на временном промежутке с 1970</w:t>
      </w:r>
      <w:r w:rsidR="0039102E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по 2010</w:t>
      </w:r>
      <w:r w:rsidR="0039102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% от общего количества поставленной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946E4B">
        <w:rPr>
          <w:rFonts w:ascii="Times New Roman" w:hAnsi="Times New Roman" w:cs="Times New Roman"/>
          <w:sz w:val="28"/>
          <w:szCs w:val="28"/>
        </w:rPr>
        <w:t>этим,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624849" w:rsidRDefault="0062484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370" w:rsidRPr="00E56F74" w:rsidRDefault="0022672E" w:rsidP="006248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 представлены физические свойства водорода, характеризующие его как энергоноситель, в сравнении с </w:t>
      </w:r>
      <w:r w:rsidR="00624849">
        <w:rPr>
          <w:rFonts w:ascii="Times New Roman" w:hAnsi="Times New Roman" w:cs="Times New Roman"/>
          <w:sz w:val="28"/>
          <w:szCs w:val="28"/>
        </w:rPr>
        <w:t>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502"/>
        <w:gridCol w:w="1418"/>
        <w:gridCol w:w="1417"/>
        <w:gridCol w:w="1525"/>
      </w:tblGrid>
      <w:tr w:rsidR="006A699F" w:rsidTr="00AB59FF">
        <w:tc>
          <w:tcPr>
            <w:tcW w:w="450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417" w:type="dxa"/>
            <w:vAlign w:val="center"/>
          </w:tcPr>
          <w:p w:rsidR="006A699F" w:rsidRDefault="006A699F" w:rsidP="00AB59F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525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(г</w:t>
            </w:r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418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17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25" w:type="dxa"/>
            <w:vAlign w:val="center"/>
          </w:tcPr>
          <w:p w:rsidR="006A699F" w:rsidRDefault="004C503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AB59FF">
        <w:trPr>
          <w:trHeight w:val="988"/>
        </w:trPr>
        <w:tc>
          <w:tcPr>
            <w:tcW w:w="4502" w:type="dxa"/>
            <w:vAlign w:val="center"/>
          </w:tcPr>
          <w:p w:rsidR="0000498A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417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525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 К</w:t>
            </w:r>
          </w:p>
        </w:tc>
        <w:tc>
          <w:tcPr>
            <w:tcW w:w="1418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5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418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417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525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МДж/кг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AB59FF">
        <w:trPr>
          <w:trHeight w:val="599"/>
        </w:trPr>
        <w:tc>
          <w:tcPr>
            <w:tcW w:w="4502" w:type="dxa"/>
            <w:vAlign w:val="center"/>
          </w:tcPr>
          <w:p w:rsid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(МДж/кг)</w:t>
            </w:r>
            <w:r w:rsidR="00AB59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AB59FF" w:rsidRDefault="00EC1BC2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</w:p>
          <w:p w:rsidR="006A699F" w:rsidRDefault="00C9772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417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525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 детонирующей способности</w:t>
            </w:r>
          </w:p>
          <w:p w:rsidR="00565B54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418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417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(см/с)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5" w:type="dxa"/>
            <w:vAlign w:val="center"/>
          </w:tcPr>
          <w:p w:rsidR="006A699F" w:rsidRPr="005A2D97" w:rsidRDefault="005A2D9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атомов</w:t>
      </w:r>
      <w:r w:rsidR="0033355E">
        <w:rPr>
          <w:rFonts w:ascii="Times New Roman" w:hAnsi="Times New Roman" w:cs="Times New Roman"/>
          <w:sz w:val="28"/>
          <w:szCs w:val="28"/>
        </w:rPr>
        <w:t xml:space="preserve"> (ПРФРА) </w:t>
      </w:r>
      <w:r w:rsidR="0053386A">
        <w:rPr>
          <w:rFonts w:ascii="Times New Roman" w:hAnsi="Times New Roman" w:cs="Times New Roman"/>
          <w:sz w:val="28"/>
          <w:szCs w:val="28"/>
        </w:rPr>
        <w:t>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33355E">
        <w:rPr>
          <w:rFonts w:ascii="Times New Roman" w:hAnsi="Times New Roman" w:cs="Times New Roman"/>
          <w:sz w:val="28"/>
          <w:szCs w:val="28"/>
        </w:rPr>
        <w:t xml:space="preserve">А 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>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46E4B">
        <w:rPr>
          <w:rFonts w:ascii="Times New Roman" w:hAnsi="Times New Roman" w:cs="Times New Roman"/>
          <w:sz w:val="28"/>
          <w:szCs w:val="28"/>
        </w:rPr>
        <w:t xml:space="preserve">получаются </w:t>
      </w:r>
      <w:r w:rsidR="00973E9C">
        <w:rPr>
          <w:rFonts w:ascii="Times New Roman" w:hAnsi="Times New Roman" w:cs="Times New Roman"/>
          <w:sz w:val="28"/>
          <w:szCs w:val="28"/>
        </w:rPr>
        <w:t xml:space="preserve"> сил</w:t>
      </w:r>
      <w:r w:rsidR="00946E4B">
        <w:rPr>
          <w:rFonts w:ascii="Times New Roman" w:hAnsi="Times New Roman" w:cs="Times New Roman"/>
          <w:sz w:val="28"/>
          <w:szCs w:val="28"/>
        </w:rPr>
        <w:t>ы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>, после чего 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F06AEC">
        <w:rPr>
          <w:rFonts w:ascii="Times New Roman" w:hAnsi="Times New Roman" w:cs="Times New Roman"/>
          <w:sz w:val="28"/>
          <w:szCs w:val="28"/>
        </w:rPr>
        <w:t>первопринци</w:t>
      </w:r>
      <w:r w:rsidR="00EC436C">
        <w:rPr>
          <w:rFonts w:ascii="Times New Roman" w:hAnsi="Times New Roman" w:cs="Times New Roman"/>
          <w:sz w:val="28"/>
          <w:szCs w:val="28"/>
        </w:rPr>
        <w:t xml:space="preserve">пной </w:t>
      </w:r>
      <w:r w:rsidR="00EC436C" w:rsidRPr="00EC436C">
        <w:rPr>
          <w:rFonts w:ascii="Times New Roman" w:hAnsi="Times New Roman" w:cs="Times New Roman"/>
          <w:sz w:val="28"/>
          <w:szCs w:val="28"/>
        </w:rPr>
        <w:t>(ab initio)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изменения параметра решетки гидрида палладия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Гидрид палладия существует в двух основных фазах.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>– фаза характеризуется постоянной решетк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близкой к постоянной решетки чистого палладия. При комнатной температуре соотношение между водород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ом и палладием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97280D" w:rsidRPr="0097280D" w:rsidRDefault="00227C10" w:rsidP="00972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550" cy="43148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280D" w:rsidRDefault="0097280D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Выше критической точки (на рис. 1 этому соответствует температура равная 295</w:t>
      </w:r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>) гистериз исчезает. При этом подразумевается, что остается только одна фаза.</w:t>
      </w:r>
    </w:p>
    <w:p w:rsidR="0097280D" w:rsidRDefault="00F33559" w:rsidP="009728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</w:t>
      </w:r>
      <w:r w:rsidR="0097280D">
        <w:rPr>
          <w:rFonts w:ascii="Times New Roman" w:hAnsi="Times New Roman" w:cs="Times New Roman"/>
          <w:sz w:val="28"/>
          <w:szCs w:val="28"/>
        </w:rPr>
        <w:t xml:space="preserve"> (ГЦК)</w:t>
      </w:r>
      <w:r w:rsidR="000671AA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>.</w:t>
      </w:r>
      <w:r w:rsidR="00227C10">
        <w:rPr>
          <w:rFonts w:ascii="Times New Roman" w:hAnsi="Times New Roman" w:cs="Times New Roman"/>
          <w:sz w:val="24"/>
          <w:szCs w:val="28"/>
        </w:rPr>
        <w:t xml:space="preserve"> Водород представлен меньшими сферами, палладий большими.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7280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очередь атомы водорода</w:t>
      </w:r>
      <w:r w:rsidR="0097280D">
        <w:rPr>
          <w:rFonts w:ascii="Times New Roman" w:hAnsi="Times New Roman" w:cs="Times New Roman"/>
          <w:sz w:val="28"/>
          <w:szCs w:val="28"/>
        </w:rPr>
        <w:t xml:space="preserve"> постепенно</w:t>
      </w:r>
      <w:r>
        <w:rPr>
          <w:rFonts w:ascii="Times New Roman" w:hAnsi="Times New Roman" w:cs="Times New Roman"/>
          <w:sz w:val="28"/>
          <w:szCs w:val="28"/>
        </w:rPr>
        <w:t xml:space="preserve"> занимают октаэдрические </w:t>
      </w:r>
      <w:r w:rsidR="00804AA2">
        <w:rPr>
          <w:rFonts w:ascii="Times New Roman" w:hAnsi="Times New Roman" w:cs="Times New Roman"/>
          <w:sz w:val="28"/>
          <w:szCs w:val="28"/>
        </w:rPr>
        <w:t>междоузлия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системе гидрида палладия. В дальнейшем начинают за</w:t>
      </w:r>
      <w:r w:rsidR="00D30A6A">
        <w:rPr>
          <w:rFonts w:ascii="Times New Roman" w:hAnsi="Times New Roman" w:cs="Times New Roman"/>
          <w:sz w:val="28"/>
          <w:szCs w:val="28"/>
        </w:rPr>
        <w:t>полняться</w:t>
      </w:r>
      <w:r>
        <w:rPr>
          <w:rFonts w:ascii="Times New Roman" w:hAnsi="Times New Roman" w:cs="Times New Roman"/>
          <w:sz w:val="28"/>
          <w:szCs w:val="28"/>
        </w:rPr>
        <w:t xml:space="preserve">  тетраэдрические пазы. Это является весьма необычным</w:t>
      </w:r>
      <w:r w:rsidR="00227C10">
        <w:rPr>
          <w:rFonts w:ascii="Times New Roman" w:hAnsi="Times New Roman" w:cs="Times New Roman"/>
          <w:sz w:val="28"/>
          <w:szCs w:val="28"/>
        </w:rPr>
        <w:t xml:space="preserve"> </w:t>
      </w:r>
      <w:r w:rsidR="00227C10">
        <w:rPr>
          <w:rFonts w:ascii="Times New Roman" w:hAnsi="Times New Roman" w:cs="Times New Roman"/>
          <w:sz w:val="28"/>
          <w:szCs w:val="28"/>
        </w:rPr>
        <w:lastRenderedPageBreak/>
        <w:t>явлением</w:t>
      </w:r>
      <w:r>
        <w:rPr>
          <w:rFonts w:ascii="Times New Roman" w:hAnsi="Times New Roman" w:cs="Times New Roman"/>
          <w:sz w:val="28"/>
          <w:szCs w:val="28"/>
        </w:rPr>
        <w:t xml:space="preserve">, т.к. в 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>все наоборот – вначале заполняются тетраэдрические пазы, а затем октаэдрические.</w:t>
      </w:r>
      <w:r w:rsidR="0097280D">
        <w:rPr>
          <w:rFonts w:ascii="Times New Roman" w:hAnsi="Times New Roman" w:cs="Times New Roman"/>
          <w:sz w:val="28"/>
          <w:szCs w:val="28"/>
        </w:rPr>
        <w:t xml:space="preserve"> Этот факт остается справедливым как для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 xml:space="preserve">фазы, так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>фазы.</w:t>
      </w:r>
      <w:r w:rsidR="00972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рис.1 все октаэдрические пазы</w:t>
      </w:r>
      <w:r w:rsidR="0097280D">
        <w:rPr>
          <w:rFonts w:ascii="Times New Roman" w:hAnsi="Times New Roman" w:cs="Times New Roman"/>
          <w:sz w:val="28"/>
          <w:szCs w:val="28"/>
        </w:rPr>
        <w:t xml:space="preserve"> в ГЦК решетке палладия</w:t>
      </w:r>
      <w:r>
        <w:rPr>
          <w:rFonts w:ascii="Times New Roman" w:hAnsi="Times New Roman" w:cs="Times New Roman"/>
          <w:sz w:val="28"/>
          <w:szCs w:val="28"/>
        </w:rPr>
        <w:t xml:space="preserve"> уже заняты атомами водорода. </w:t>
      </w: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Pr="00E9152A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3707F0" w:rsidRPr="003707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7F0">
        <w:rPr>
          <w:rFonts w:ascii="Times New Roman" w:hAnsi="Times New Roman" w:cs="Times New Roman"/>
          <w:b/>
          <w:sz w:val="28"/>
          <w:szCs w:val="28"/>
        </w:rPr>
        <w:t>Основы теории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функционала плотности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624849" w:rsidRDefault="00624849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A2EC0" w:rsidRDefault="00BB1FC1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Фундаментальной основой теории функционала (англ.</w:t>
      </w:r>
      <w:r w:rsidR="00C90E3E" w:rsidRPr="00C90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Хоэнберга</w:t>
      </w:r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>и Мермина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</w:t>
      </w:r>
      <w:r w:rsidR="00F624FC">
        <w:rPr>
          <w:rFonts w:ascii="Times New Roman" w:hAnsi="Times New Roman" w:cs="Times New Roman"/>
          <w:sz w:val="28"/>
          <w:szCs w:val="28"/>
        </w:rPr>
        <w:t xml:space="preserve"> Но </w:t>
      </w:r>
      <w:r w:rsidR="00FB0424">
        <w:rPr>
          <w:rFonts w:ascii="Times New Roman" w:hAnsi="Times New Roman" w:cs="Times New Roman"/>
          <w:sz w:val="28"/>
          <w:szCs w:val="28"/>
        </w:rPr>
        <w:t>в 1965</w:t>
      </w:r>
      <w:r w:rsidR="00F624FC">
        <w:rPr>
          <w:rFonts w:ascii="Times New Roman" w:hAnsi="Times New Roman" w:cs="Times New Roman"/>
          <w:sz w:val="28"/>
          <w:szCs w:val="28"/>
        </w:rPr>
        <w:t xml:space="preserve"> году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Шэм</w:t>
      </w:r>
      <w:r w:rsidR="009E1202">
        <w:rPr>
          <w:rFonts w:ascii="Times New Roman" w:hAnsi="Times New Roman" w:cs="Times New Roman"/>
          <w:sz w:val="28"/>
          <w:szCs w:val="28"/>
        </w:rPr>
        <w:t>а,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849" w:rsidRDefault="00624849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многочастичных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положены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боровский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804AA2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>и электрон-электронного взаимодействия.</w:t>
      </w:r>
    </w:p>
    <w:p w:rsidR="008969C5" w:rsidRPr="00D92F75" w:rsidRDefault="00804AA2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804AA2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804AA2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804AA2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Варьируя выражение (6) и учитывая нормировку волновых функций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804AA2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–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804AA2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образом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уравнения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 решаются путем итеративной процедуры самосогласования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Сложности с применением метода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использованием скалярной функции электронной плотности, зависящей всего </w:t>
      </w:r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самосогласования. </w:t>
      </w:r>
    </w:p>
    <w:p w:rsidR="00624849" w:rsidRDefault="00624849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>оказанных Хоэнбергом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многочастичная волновая функция для всех состояний (основного и возбужденного) также определена. Таким </w:t>
      </w:r>
      <w:r w:rsidR="0010070F">
        <w:rPr>
          <w:rFonts w:ascii="Times New Roman" w:eastAsiaTheme="minorEastAsia" w:hAnsi="Times New Roman" w:cs="Times New Roman"/>
          <w:sz w:val="28"/>
          <w:szCs w:val="28"/>
        </w:rPr>
        <w:t>образом,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Стрелочка со звездочкой обозначает теорему 1, которая таким образом замыкает круг. </w:t>
      </w:r>
    </w:p>
    <w:p w:rsidR="00D26965" w:rsidRPr="00804AA2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2. Универсальный функционал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Мермина</w:t>
      </w:r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C060C8" w:rsidRDefault="00C060C8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  <w:r w:rsidR="007D620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887DDF" w:rsidRDefault="00F845B1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ниже изложенной теории </w:t>
      </w:r>
      <w:r w:rsidR="00E85730">
        <w:rPr>
          <w:rFonts w:ascii="Times New Roman" w:eastAsiaTheme="minorEastAsia" w:hAnsi="Times New Roman" w:cs="Times New Roman"/>
          <w:sz w:val="28"/>
          <w:szCs w:val="28"/>
        </w:rPr>
        <w:t>делается следующее допущение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 xml:space="preserve"> – п</w:t>
      </w:r>
      <w:r w:rsidRPr="00887DDF">
        <w:rPr>
          <w:rFonts w:ascii="Times New Roman" w:eastAsiaTheme="minorEastAsia" w:hAnsi="Times New Roman" w:cs="Times New Roman"/>
          <w:sz w:val="28"/>
          <w:szCs w:val="28"/>
        </w:rPr>
        <w:t>редполагается, что плот</w:t>
      </w:r>
      <w:r w:rsidR="00624849" w:rsidRPr="00887DDF">
        <w:rPr>
          <w:rFonts w:ascii="Times New Roman" w:eastAsiaTheme="minorEastAsia" w:hAnsi="Times New Roman" w:cs="Times New Roman"/>
          <w:sz w:val="28"/>
          <w:szCs w:val="28"/>
        </w:rPr>
        <w:t xml:space="preserve">ность основного состояния может быть выражена через плотности основного состояния вспомогательной системы 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>невзаимодействующих электронов:</w:t>
      </w:r>
    </w:p>
    <w:p w:rsidR="00887DDF" w:rsidRPr="00887DDF" w:rsidRDefault="00887DDF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060C8" w:rsidRPr="00E85730" w:rsidRDefault="00C060C8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57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Составим функционал из трех компонент – кинетической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>, взаимодействия с внешним потенциалом ядер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и элект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рон-электронное взаимодействие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0C8" w:rsidRPr="00D26965" w:rsidRDefault="00C060C8" w:rsidP="00C060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(11)</m:t>
          </m:r>
        </m:oMath>
      </m:oMathPara>
    </w:p>
    <w:p w:rsidR="00887DDF" w:rsidRPr="00887DDF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CF4E66" w:rsidRDefault="00804AA2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(12)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преобразуем выражение (10) в следующее:</w:t>
      </w:r>
    </w:p>
    <w:p w:rsidR="00CD170C" w:rsidRP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(13)</m:t>
          </m:r>
        </m:oMath>
      </m:oMathPara>
    </w:p>
    <w:p w:rsidR="00CD170C" w:rsidRDefault="00804AA2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CD170C">
        <w:rPr>
          <w:rFonts w:ascii="Times New Roman" w:eastAsiaTheme="minorEastAsia" w:hAnsi="Times New Roman" w:cs="Times New Roman"/>
          <w:sz w:val="28"/>
          <w:szCs w:val="28"/>
        </w:rPr>
        <w:t xml:space="preserve"> – это кинетическая энергия свободных электронов</w:t>
      </w:r>
    </w:p>
    <w:p w:rsidR="00A9021E" w:rsidRPr="00A9021E" w:rsidRDefault="00804AA2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∇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(14)</m:t>
              </m:r>
            </m:e>
          </m:nary>
        </m:oMath>
      </m:oMathPara>
    </w:p>
    <w:p w:rsidR="00A9021E" w:rsidRDefault="00804AA2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A9021E"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21E">
        <w:rPr>
          <w:rFonts w:ascii="Times New Roman" w:eastAsiaTheme="minorEastAsia" w:hAnsi="Times New Roman" w:cs="Times New Roman"/>
          <w:sz w:val="28"/>
          <w:szCs w:val="28"/>
        </w:rPr>
        <w:t>энергия Хартри – отвечает за взаимодействие электронов друг с другом</w:t>
      </w:r>
    </w:p>
    <w:p w:rsidR="00A9021E" w:rsidRPr="00931C57" w:rsidRDefault="00804AA2" w:rsidP="00A9021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(15)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9021E" w:rsidRDefault="00804AA2" w:rsidP="00A902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A9021E"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9021E">
        <w:rPr>
          <w:rFonts w:ascii="Times New Roman" w:eastAsiaTheme="minorEastAsia" w:hAnsi="Times New Roman" w:cs="Times New Roman"/>
          <w:sz w:val="28"/>
          <w:szCs w:val="28"/>
        </w:rPr>
        <w:t xml:space="preserve">это обменно-корреляционный потенциал, учитывающий ошибки, которые мы допускаем, беря кинетическую энергию независимых электронов и учитывая электрон-электронное взаимодействие 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A9021E" w:rsidRPr="00A9021E" w:rsidRDefault="00804AA2" w:rsidP="00A90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(16)</m:t>
          </m:r>
        </m:oMath>
      </m:oMathPara>
    </w:p>
    <w:p w:rsidR="00E85730" w:rsidRDefault="00E85730" w:rsidP="00E857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варьируя выражение (1</w:t>
      </w:r>
      <w:r w:rsidR="00887DDF" w:rsidRPr="0088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 учетом нормировки волновых функций</w:t>
      </w:r>
      <w:r w:rsidR="004F7124">
        <w:rPr>
          <w:rFonts w:ascii="Times New Roman" w:hAnsi="Times New Roman" w:cs="Times New Roman"/>
          <w:sz w:val="28"/>
          <w:szCs w:val="28"/>
        </w:rPr>
        <w:t xml:space="preserve"> (для этого вводится множитель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7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B00888" w:rsidRPr="00E6616D" w:rsidRDefault="00804AA2" w:rsidP="00E857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(17)</m:t>
          </m:r>
        </m:oMath>
      </m:oMathPara>
    </w:p>
    <w:p w:rsidR="00E6616D" w:rsidRDefault="00E6616D" w:rsidP="00E661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00888" w:rsidRPr="00E6616D" w:rsidRDefault="00804AA2" w:rsidP="00E661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[n]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(18)</m:t>
          </m:r>
        </m:oMath>
      </m:oMathPara>
    </w:p>
    <w:p w:rsidR="00EB17F4" w:rsidRDefault="004F7124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4F7124">
        <w:rPr>
          <w:rFonts w:ascii="Times New Roman" w:hAnsi="Times New Roman" w:cs="Times New Roman"/>
          <w:sz w:val="28"/>
          <w:szCs w:val="28"/>
        </w:rPr>
        <w:t xml:space="preserve">(17) </w:t>
      </w:r>
      <w:r>
        <w:rPr>
          <w:rFonts w:ascii="Times New Roman" w:hAnsi="Times New Roman" w:cs="Times New Roman"/>
          <w:sz w:val="28"/>
          <w:szCs w:val="28"/>
        </w:rPr>
        <w:t xml:space="preserve">является уравнениями Кона—Шэма. Стоит подчеркнуть их схожесть с (7). Здесь также описаны независимые электроны, в некотором усредненном эффективном поле. Но в отличие от (7) здесь эффективное поле полностью определяется электронной плотностью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. Схема решения (17) схожа (7). Вначале берется затравочное значение электронной плотности, после чего находится эффективное поле и затем решается (17).   </w:t>
      </w:r>
      <w:r w:rsidRPr="00EB1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Дальше получаются обновленная электронная плотность, используя (10), и все повторяется до достижения сходимости, аналогично </w:t>
      </w:r>
      <w:r w:rsidR="003F1280">
        <w:rPr>
          <w:rFonts w:ascii="Times New Roman" w:eastAsiaTheme="minorEastAsia" w:hAnsi="Times New Roman" w:cs="Times New Roman"/>
          <w:sz w:val="28"/>
          <w:szCs w:val="28"/>
        </w:rPr>
        <w:t>тому,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 как это происходило в методе Хартри</w:t>
      </w:r>
      <w:r w:rsidR="00EB17F4">
        <w:rPr>
          <w:rFonts w:ascii="Times New Roman" w:hAnsi="Times New Roman" w:cs="Times New Roman"/>
          <w:sz w:val="28"/>
          <w:szCs w:val="28"/>
        </w:rPr>
        <w:t>—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Фока. </w:t>
      </w:r>
    </w:p>
    <w:p w:rsidR="00462E0E" w:rsidRDefault="00462E0E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2E0E" w:rsidRPr="00462E0E" w:rsidRDefault="00462E0E" w:rsidP="00462E0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3.5. Обменно-корреляционный потенциал.</w:t>
      </w:r>
    </w:p>
    <w:p w:rsidR="003F1280" w:rsidRPr="00804AA2" w:rsidRDefault="003F1280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выражения (17) видно, что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практическом применении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ключевую роль играет  выбор обменно-корреляционного </w:t>
      </w:r>
      <w:r w:rsidRPr="00397727">
        <w:rPr>
          <w:rFonts w:ascii="Times New Roman" w:eastAsiaTheme="minorEastAsia" w:hAnsi="Times New Roman" w:cs="Times New Roman"/>
          <w:sz w:val="28"/>
          <w:szCs w:val="28"/>
        </w:rPr>
        <w:t>потенциала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, т.к. именно он учитывает квантовый обменный вклад и вносит поправки к ошибкам, получаемым в результате использования приближенных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5AA3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обменно-корреляционный потенциал выбирается в зависимости от конкретной задачи, сам по себе обменно-корреляционный потенциал не содержит никаких эмпирических параметров.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Из-за этого факта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остается первопринципной теорией</w:t>
      </w:r>
      <w:r w:rsidR="00462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initio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F3CFA" w:rsidRPr="00804AA2" w:rsidRDefault="001F3CFA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Самым простым обменно-корреляционным потенциалом является локальная аппроксимация плотности (англ.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local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density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сокращено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90E3E" w:rsidRPr="00422034" w:rsidRDefault="00804AA2" w:rsidP="00C90E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LDA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nary>
        </m:oMath>
      </m:oMathPara>
    </w:p>
    <w:p w:rsidR="00422034" w:rsidRDefault="00422034" w:rsidP="004220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обменно-корреляционная энергия в расчете на один электрон электронного газа. Она может быть разделена на обменный вклад и корреляционный вклад:</w:t>
      </w:r>
    </w:p>
    <w:p w:rsidR="00422034" w:rsidRPr="006121F0" w:rsidRDefault="00804AA2" w:rsidP="004220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(20)</m:t>
          </m:r>
        </m:oMath>
      </m:oMathPara>
    </w:p>
    <w:p w:rsidR="006121F0" w:rsidRDefault="006121F0" w:rsidP="006121F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логичным усовершенствованием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обобщенное градиентное разложение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англ.: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generalized gradient approximation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GGA)</w:t>
      </w:r>
      <w:r>
        <w:rPr>
          <w:rFonts w:ascii="Times New Roman" w:eastAsiaTheme="minorEastAsia" w:hAnsi="Times New Roman" w:cs="Times New Roman"/>
          <w:sz w:val="28"/>
          <w:szCs w:val="28"/>
        </w:rPr>
        <w:t>. Здесь обменно-корреляционная энергия раскладывается по степеням градиента плотности:</w:t>
      </w:r>
    </w:p>
    <w:p w:rsidR="006121F0" w:rsidRPr="008B6B5D" w:rsidRDefault="00804AA2" w:rsidP="006121F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GGA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  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21)</m:t>
              </m:r>
            </m:e>
          </m:nary>
        </m:oMath>
      </m:oMathPara>
    </w:p>
    <w:p w:rsidR="008B6B5D" w:rsidRPr="008B6B5D" w:rsidRDefault="008B6B5D" w:rsidP="008B6B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GGA</w:t>
      </w:r>
      <w:r w:rsidRPr="008B6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значительно лучшие результаты,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в электронной плотности есть сильные неоднородности.  </w:t>
      </w:r>
    </w:p>
    <w:p w:rsidR="00B00888" w:rsidRPr="00EB17F4" w:rsidRDefault="00EB17F4" w:rsidP="004F7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Программы для расчета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5802" w:rsidRDefault="007D620D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рассчитать  ПРФР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2248DE">
        <w:rPr>
          <w:rFonts w:ascii="Times New Roman" w:hAnsi="Times New Roman" w:cs="Times New Roman"/>
          <w:sz w:val="28"/>
          <w:szCs w:val="28"/>
        </w:rPr>
        <w:t>пакет</w:t>
      </w:r>
      <w:r w:rsid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6C5802">
        <w:rPr>
          <w:rFonts w:ascii="Times New Roman" w:hAnsi="Times New Roman" w:cs="Times New Roman"/>
          <w:sz w:val="28"/>
          <w:szCs w:val="28"/>
        </w:rPr>
        <w:t xml:space="preserve"> для</w:t>
      </w:r>
      <w:r w:rsidR="006C5802" w:rsidRP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</w:rPr>
        <w:t>квантово-химических расчетов</w:t>
      </w:r>
      <w:r w:rsidR="00EE335F">
        <w:rPr>
          <w:rFonts w:ascii="Times New Roman" w:hAnsi="Times New Roman" w:cs="Times New Roman"/>
          <w:sz w:val="28"/>
          <w:szCs w:val="28"/>
        </w:rPr>
        <w:t xml:space="preserve">, который основан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248DE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>Программа поддерживает множество конфигураций для оптимизации геометрии, проведения моделирования молекулярной динамики, расчета возбужденных состояний и т.д</w:t>
      </w:r>
      <w:r w:rsidR="00C814FB">
        <w:rPr>
          <w:rFonts w:ascii="Times New Roman" w:hAnsi="Times New Roman" w:cs="Times New Roman"/>
          <w:sz w:val="28"/>
          <w:szCs w:val="28"/>
        </w:rPr>
        <w:t xml:space="preserve"> (подробнее </w:t>
      </w:r>
      <w:r w:rsidR="00C814FB" w:rsidRPr="00C814FB">
        <w:rPr>
          <w:rFonts w:ascii="Times New Roman" w:hAnsi="Times New Roman" w:cs="Times New Roman"/>
          <w:sz w:val="28"/>
          <w:szCs w:val="28"/>
        </w:rPr>
        <w:t>[16]</w:t>
      </w:r>
      <w:r w:rsidR="00C814FB">
        <w:rPr>
          <w:rFonts w:ascii="Times New Roman" w:hAnsi="Times New Roman" w:cs="Times New Roman"/>
          <w:sz w:val="28"/>
          <w:szCs w:val="28"/>
        </w:rPr>
        <w:t>)</w:t>
      </w:r>
      <w:r w:rsidR="00EE335F">
        <w:rPr>
          <w:rFonts w:ascii="Times New Roman" w:hAnsi="Times New Roman" w:cs="Times New Roman"/>
          <w:sz w:val="28"/>
          <w:szCs w:val="28"/>
        </w:rPr>
        <w:t xml:space="preserve">. Имеет достаточно развитые возможности по распараллеливанию вычислений как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 </w:t>
      </w:r>
      <w:r w:rsidR="00EE335F">
        <w:rPr>
          <w:rFonts w:ascii="Times New Roman" w:hAnsi="Times New Roman" w:cs="Times New Roman"/>
          <w:sz w:val="28"/>
          <w:szCs w:val="28"/>
        </w:rPr>
        <w:t xml:space="preserve">кластерах, так и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 xml:space="preserve">Исходный код является открытым, снабжен тестовыми примерами и распространяется по лицензии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(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6C5802" w:rsidRPr="006C5802">
        <w:rPr>
          <w:rFonts w:ascii="Times New Roman" w:hAnsi="Times New Roman" w:cs="Times New Roman"/>
          <w:sz w:val="28"/>
          <w:szCs w:val="28"/>
        </w:rPr>
        <w:t>).</w:t>
      </w:r>
    </w:p>
    <w:p w:rsidR="002D0A56" w:rsidRDefault="002D0A56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анализа различных результатов</w:t>
      </w:r>
      <w:r w:rsidR="00C814FB">
        <w:rPr>
          <w:rFonts w:ascii="Times New Roman" w:hAnsi="Times New Roman" w:cs="Times New Roman"/>
          <w:sz w:val="28"/>
          <w:szCs w:val="28"/>
        </w:rPr>
        <w:t xml:space="preserve"> из выходных файлов </w:t>
      </w:r>
      <w:r w:rsidR="00C814FB">
        <w:rPr>
          <w:rFonts w:ascii="Times New Roman" w:hAnsi="Times New Roman" w:cs="Times New Roman"/>
          <w:sz w:val="28"/>
          <w:szCs w:val="28"/>
          <w:lang w:val="en-US"/>
        </w:rPr>
        <w:t>ABINIT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специальная утилита. Ее исходный код прилагается в приложении 1.</w:t>
      </w:r>
    </w:p>
    <w:p w:rsidR="002D0A56" w:rsidRDefault="00C814FB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обработать результаты молекулярной динамики, полученные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CA0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вычислить</w:t>
      </w:r>
      <w:r w:rsidR="002D0A56">
        <w:rPr>
          <w:rFonts w:ascii="Times New Roman" w:hAnsi="Times New Roman" w:cs="Times New Roman"/>
          <w:sz w:val="28"/>
          <w:szCs w:val="28"/>
        </w:rPr>
        <w:t xml:space="preserve"> ПРФР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специальный скрипт, исходный код которого находится в приложении 2.  </w:t>
      </w:r>
      <w:r w:rsidR="002D0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20D" w:rsidRPr="00EE335F" w:rsidRDefault="00EE335F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Анализ изменения параметра решетки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в зависимости</w:t>
      </w:r>
      <w:r w:rsidRPr="00C814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 концентрации водорода</w:t>
      </w:r>
      <w:r w:rsidRPr="00C814FB">
        <w:rPr>
          <w:rFonts w:ascii="Times New Roman" w:hAnsi="Times New Roman" w:cs="Times New Roman"/>
          <w:b/>
          <w:sz w:val="28"/>
          <w:szCs w:val="28"/>
        </w:rPr>
        <w:t>.</w:t>
      </w:r>
    </w:p>
    <w:p w:rsidR="00FE5AFA" w:rsidRDefault="008554B1" w:rsidP="00F63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часть работы проводилась по нескольким причинам. В первую очередь, чтобы получить представление о том насколько оправданно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 xml:space="preserve">. Полученные параметры сравнивались с экспериментальными значениями для того, чтобы оценить точность </w:t>
      </w:r>
      <w:r w:rsidR="00F63775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>. Во вторых,</w:t>
      </w:r>
      <w:r w:rsidR="007A68F3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>оптимизированной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 xml:space="preserve">структуры гидрида палладия использовались как входные параметры для моделирования молекулярной динамики. В третьих, на основе  этого этапа работы, происходил выбор обменно-корреляционного потенциала для дальнейших расчетов. </w:t>
      </w:r>
      <w:r w:rsidR="00FE5AFA">
        <w:rPr>
          <w:rFonts w:ascii="Times New Roman" w:hAnsi="Times New Roman" w:cs="Times New Roman"/>
          <w:sz w:val="28"/>
          <w:szCs w:val="28"/>
        </w:rPr>
        <w:t>Ниже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DE0EED" w:rsidRPr="000D3440">
        <w:rPr>
          <w:rFonts w:ascii="Times New Roman" w:hAnsi="Times New Roman" w:cs="Times New Roman"/>
          <w:sz w:val="28"/>
          <w:szCs w:val="28"/>
        </w:rPr>
        <w:t xml:space="preserve"> </w:t>
      </w:r>
      <w:r w:rsidR="00DE0EE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CD2460" w:rsidRPr="000D3440">
        <w:rPr>
          <w:rFonts w:ascii="Times New Roman" w:hAnsi="Times New Roman" w:cs="Times New Roman"/>
          <w:sz w:val="28"/>
          <w:szCs w:val="28"/>
        </w:rPr>
        <w:t>2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FE5AFA">
        <w:rPr>
          <w:rFonts w:ascii="Times New Roman" w:hAnsi="Times New Roman" w:cs="Times New Roman"/>
          <w:sz w:val="28"/>
          <w:szCs w:val="28"/>
        </w:rPr>
        <w:t xml:space="preserve"> представлены полученные результаты</w:t>
      </w:r>
      <w:r w:rsidR="00CD2460">
        <w:rPr>
          <w:rFonts w:ascii="Times New Roman" w:hAnsi="Times New Roman" w:cs="Times New Roman"/>
          <w:sz w:val="28"/>
          <w:szCs w:val="28"/>
        </w:rPr>
        <w:t xml:space="preserve"> для гидрида палладия</w:t>
      </w:r>
      <w:r w:rsidR="00FE5AF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2268"/>
        <w:gridCol w:w="1624"/>
        <w:gridCol w:w="1743"/>
      </w:tblGrid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DE0EE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0E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vAlign w:val="center"/>
          </w:tcPr>
          <w:p w:rsidR="00DE0EED" w:rsidRPr="0088290D" w:rsidRDefault="0088290D" w:rsidP="0088290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L, Å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E0EED" w:rsidRPr="000D3440" w:rsidRDefault="00804AA2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Å</m:t>
                </m:r>
              </m:oMath>
            </m:oMathPara>
          </w:p>
        </w:tc>
        <w:tc>
          <w:tcPr>
            <w:tcW w:w="1624" w:type="dxa"/>
            <w:vAlign w:val="center"/>
          </w:tcPr>
          <w:p w:rsidR="00DE0EED" w:rsidRPr="0088290D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P, Бар.</m:t>
                </m:r>
              </m:oMath>
            </m:oMathPara>
          </w:p>
        </w:tc>
        <w:tc>
          <w:tcPr>
            <w:tcW w:w="1743" w:type="dxa"/>
            <w:vAlign w:val="center"/>
          </w:tcPr>
          <w:p w:rsidR="00DE0EED" w:rsidRDefault="00B81CF1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xc</m:t>
                </m:r>
              </m:oMath>
            </m:oMathPara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268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24"/>
                <w:sz w:val="24"/>
                <w:szCs w:val="24"/>
              </w:rPr>
              <w:t>3.</w:t>
            </w:r>
            <w:r w:rsidR="007936D5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 [18]</w:t>
            </w:r>
          </w:p>
        </w:tc>
        <w:tc>
          <w:tcPr>
            <w:tcW w:w="1624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F814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3.953</w:t>
            </w:r>
          </w:p>
        </w:tc>
        <w:tc>
          <w:tcPr>
            <w:tcW w:w="2268" w:type="dxa"/>
            <w:vAlign w:val="center"/>
          </w:tcPr>
          <w:p w:rsidR="00DE0EED" w:rsidRDefault="00370EF8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EF8">
              <w:rPr>
                <w:rFonts w:ascii="Times New Roman" w:hAnsi="Times New Roman" w:cs="Times New Roman"/>
                <w:sz w:val="28"/>
                <w:szCs w:val="28"/>
              </w:rPr>
              <w:t>4.071</w:t>
            </w:r>
          </w:p>
        </w:tc>
        <w:tc>
          <w:tcPr>
            <w:tcW w:w="2268" w:type="dxa"/>
            <w:vAlign w:val="center"/>
          </w:tcPr>
          <w:p w:rsidR="00DE0EED" w:rsidRPr="00370EF8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4.04</w:t>
            </w:r>
          </w:p>
        </w:tc>
        <w:tc>
          <w:tcPr>
            <w:tcW w:w="1624" w:type="dxa"/>
            <w:vAlign w:val="center"/>
          </w:tcPr>
          <w:p w:rsidR="00DE0EED" w:rsidRPr="00095AF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370EF8" w:rsidTr="0088290D">
        <w:trPr>
          <w:trHeight w:val="851"/>
        </w:trPr>
        <w:tc>
          <w:tcPr>
            <w:tcW w:w="1668" w:type="dxa"/>
            <w:vAlign w:val="center"/>
          </w:tcPr>
          <w:p w:rsidR="00370EF8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095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AF0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4.05</w:t>
            </w:r>
          </w:p>
        </w:tc>
        <w:tc>
          <w:tcPr>
            <w:tcW w:w="1624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DE0EED" w:rsidRP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CD2460" w:rsidTr="0088290D">
        <w:trPr>
          <w:trHeight w:val="851"/>
        </w:trPr>
        <w:tc>
          <w:tcPr>
            <w:tcW w:w="16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43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</w:tbl>
    <w:p w:rsidR="00C814FB" w:rsidRDefault="00CD2460" w:rsidP="000D3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CD2460">
        <w:rPr>
          <w:rFonts w:ascii="Times New Roman" w:hAnsi="Times New Roman" w:cs="Times New Roman"/>
          <w:sz w:val="24"/>
          <w:szCs w:val="28"/>
        </w:rPr>
        <w:t xml:space="preserve">Таб. 2. </w:t>
      </w:r>
      <w:r>
        <w:rPr>
          <w:rFonts w:ascii="Times New Roman" w:hAnsi="Times New Roman" w:cs="Times New Roman"/>
          <w:sz w:val="24"/>
          <w:szCs w:val="28"/>
        </w:rPr>
        <w:t xml:space="preserve">Здесь </w:t>
      </w:r>
      <w:r>
        <w:rPr>
          <w:rFonts w:ascii="Times New Roman" w:hAnsi="Times New Roman" w:cs="Times New Roman"/>
          <w:i/>
          <w:sz w:val="24"/>
          <w:szCs w:val="28"/>
        </w:rPr>
        <w:t xml:space="preserve">х </w:t>
      </w:r>
      <w:r>
        <w:rPr>
          <w:rFonts w:ascii="Times New Roman" w:hAnsi="Times New Roman" w:cs="Times New Roman"/>
          <w:sz w:val="24"/>
          <w:szCs w:val="28"/>
        </w:rPr>
        <w:t xml:space="preserve">– концентрация водорода,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рассчитанная постоянная решетки,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внешнее </w:t>
      </w:r>
      <w:r>
        <w:rPr>
          <w:rFonts w:ascii="Times New Roman" w:hAnsi="Times New Roman" w:cs="Times New Roman"/>
          <w:sz w:val="24"/>
          <w:szCs w:val="28"/>
        </w:rPr>
        <w:t>давление при котором производился расчет</w:t>
      </w:r>
      <w:r w:rsidR="00CB4A28">
        <w:rPr>
          <w:rFonts w:ascii="Times New Roman" w:hAnsi="Times New Roman" w:cs="Times New Roman"/>
          <w:sz w:val="24"/>
          <w:szCs w:val="28"/>
        </w:rPr>
        <w:t xml:space="preserve">, </w:t>
      </w:r>
      <w:r w:rsidR="00CB4A28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="00CB4A28" w:rsidRPr="00CB4A28">
        <w:rPr>
          <w:rFonts w:ascii="Times New Roman" w:hAnsi="Times New Roman" w:cs="Times New Roman"/>
          <w:i/>
          <w:sz w:val="24"/>
          <w:szCs w:val="28"/>
        </w:rPr>
        <w:t>*--</w:t>
      </w:r>
      <w:r w:rsidR="00CB4A28">
        <w:rPr>
          <w:rFonts w:ascii="Times New Roman" w:hAnsi="Times New Roman" w:cs="Times New Roman"/>
          <w:sz w:val="24"/>
          <w:szCs w:val="28"/>
        </w:rPr>
        <w:t xml:space="preserve"> ближайшее найденное экспериментальное 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(если не указано другого, то данные из </w:t>
      </w:r>
      <w:r w:rsidR="00CB4A28" w:rsidRPr="00CB4A28">
        <w:rPr>
          <w:rFonts w:ascii="Times New Roman" w:hAnsi="Times New Roman" w:cs="Times New Roman"/>
          <w:sz w:val="24"/>
          <w:szCs w:val="28"/>
        </w:rPr>
        <w:t>[</w:t>
      </w:r>
      <w:r w:rsidR="00CB4A28" w:rsidRPr="000D3440">
        <w:rPr>
          <w:rFonts w:ascii="Times New Roman" w:hAnsi="Times New Roman" w:cs="Times New Roman"/>
          <w:sz w:val="24"/>
          <w:szCs w:val="28"/>
        </w:rPr>
        <w:t>6</w:t>
      </w:r>
      <w:r w:rsidR="00CB4A28" w:rsidRPr="00CB4A28">
        <w:rPr>
          <w:rFonts w:ascii="Times New Roman" w:hAnsi="Times New Roman" w:cs="Times New Roman"/>
          <w:sz w:val="24"/>
          <w:szCs w:val="28"/>
        </w:rPr>
        <w:t>]</w:t>
      </w:r>
      <w:r w:rsidR="00CB4A28">
        <w:rPr>
          <w:rFonts w:ascii="Times New Roman" w:hAnsi="Times New Roman" w:cs="Times New Roman"/>
          <w:sz w:val="24"/>
          <w:szCs w:val="28"/>
        </w:rPr>
        <w:t>)</w:t>
      </w:r>
      <w:r w:rsidR="000D3440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xc</m:t>
        </m:r>
      </m:oMath>
      <w:r w:rsidR="000D344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D3440" w:rsidRPr="000D3440">
        <w:rPr>
          <w:rFonts w:ascii="Times New Roman" w:eastAsiaTheme="minorEastAsia" w:hAnsi="Times New Roman" w:cs="Times New Roman"/>
          <w:sz w:val="24"/>
          <w:szCs w:val="28"/>
        </w:rPr>
        <w:t xml:space="preserve"> тип обменно-корреляционного потенциала</w:t>
      </w:r>
      <w:r w:rsidR="000D3440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0D3440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метода оптимизации структуры использовался а</w:t>
      </w:r>
      <w:r w:rsidRPr="000D3440">
        <w:rPr>
          <w:rFonts w:ascii="Times New Roman" w:hAnsi="Times New Roman" w:cs="Times New Roman"/>
          <w:sz w:val="28"/>
          <w:szCs w:val="28"/>
        </w:rPr>
        <w:t>лгоритм Бройдена — Флетчера — Гольдфарба — Шанно (BFGS) (англ.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D3440">
        <w:rPr>
          <w:rFonts w:ascii="Times New Roman" w:hAnsi="Times New Roman" w:cs="Times New Roman"/>
          <w:sz w:val="28"/>
          <w:szCs w:val="28"/>
        </w:rPr>
        <w:t xml:space="preserve"> Broyden — Fletch</w:t>
      </w:r>
      <w:r>
        <w:rPr>
          <w:rFonts w:ascii="Times New Roman" w:hAnsi="Times New Roman" w:cs="Times New Roman"/>
          <w:sz w:val="28"/>
          <w:szCs w:val="28"/>
        </w:rPr>
        <w:t>er — Goldfarb — Shanno</w:t>
      </w:r>
      <w:r w:rsidRPr="000D34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3440" w:rsidRPr="00B81CF1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 из таблицы 1 относительная погрешность</w:t>
      </w:r>
      <w:r w:rsidR="00B81CF1">
        <w:rPr>
          <w:rFonts w:ascii="Times New Roman" w:hAnsi="Times New Roman" w:cs="Times New Roman"/>
          <w:sz w:val="28"/>
          <w:szCs w:val="28"/>
        </w:rPr>
        <w:t xml:space="preserve"> расчета параметра решетки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2%</w:t>
      </w:r>
      <w:r w:rsidR="00B81CF1">
        <w:rPr>
          <w:rFonts w:ascii="Times New Roman" w:hAnsi="Times New Roman" w:cs="Times New Roman"/>
          <w:sz w:val="28"/>
          <w:szCs w:val="28"/>
        </w:rPr>
        <w:t xml:space="preserve">. Также, при использовании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="00B81CF1">
        <w:rPr>
          <w:rFonts w:ascii="Times New Roman" w:hAnsi="Times New Roman" w:cs="Times New Roman"/>
          <w:sz w:val="28"/>
          <w:szCs w:val="28"/>
        </w:rPr>
        <w:t>, все попытки вычисления параметра решетки, с концентрацией водорода от 0.5 и выше, окончились неудачей. В связи, с чем было решено</w:t>
      </w:r>
      <w:r w:rsidR="00A33BDF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B81CF1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GGA</w:t>
      </w:r>
      <w:r w:rsidR="00B81CF1"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="00B81CF1">
        <w:rPr>
          <w:rFonts w:ascii="Times New Roman" w:hAnsi="Times New Roman" w:cs="Times New Roman"/>
          <w:sz w:val="28"/>
          <w:szCs w:val="28"/>
        </w:rPr>
        <w:t xml:space="preserve">потенциал для моделирования молекулярной динамики. </w:t>
      </w: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F93D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B94C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A87EDA">
        <w:rPr>
          <w:rFonts w:ascii="Times New Roman" w:hAnsi="Times New Roman" w:cs="Times New Roman"/>
          <w:b/>
          <w:sz w:val="28"/>
          <w:szCs w:val="28"/>
        </w:rPr>
        <w:t>Результаты расчета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94C66" w:rsidRDefault="00B94C66" w:rsidP="00B94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моделирования молекулярной динамики использовалась Ланжевенова молекулярная динамика. Выбранный шаг равнялся </w:t>
      </w:r>
      <w:r w:rsidR="008B4C9C">
        <w:rPr>
          <w:rFonts w:ascii="Times New Roman" w:hAnsi="Times New Roman" w:cs="Times New Roman"/>
          <w:sz w:val="28"/>
          <w:szCs w:val="28"/>
        </w:rPr>
        <w:t>1 фемтосекунде. Температура термостата была установлена на 300</w:t>
      </w:r>
      <w:r w:rsidR="008B4C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4C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614" w:rsidRDefault="008E6614" w:rsidP="00B94C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трех концентраций </w:t>
      </w:r>
      <m:oMath>
        <m: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0.5</w:t>
      </w:r>
      <w:r w:rsidR="005045C0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>, 0.75, 1.0</w:t>
      </w:r>
      <w:r w:rsidR="005045C0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E6614">
        <w:rPr>
          <w:rFonts w:ascii="Times New Roman" w:eastAsiaTheme="minorEastAsia" w:hAnsi="Times New Roman" w:cs="Times New Roman"/>
          <w:sz w:val="28"/>
          <w:szCs w:val="28"/>
        </w:rPr>
        <w:t>были посчитаны</w:t>
      </w:r>
      <w:r w:rsidR="002C505E">
        <w:rPr>
          <w:rFonts w:ascii="Times New Roman" w:eastAsiaTheme="minorEastAsia" w:hAnsi="Times New Roman" w:cs="Times New Roman"/>
          <w:sz w:val="28"/>
          <w:szCs w:val="28"/>
        </w:rPr>
        <w:t>, с помощью программы, описанной в приложении 2</w:t>
      </w:r>
      <w:r w:rsidR="00AB576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парные радиальные функции распределения 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>атомов водорода</w:t>
      </w:r>
      <w:r w:rsidR="002C505E">
        <w:rPr>
          <w:rFonts w:ascii="Times New Roman" w:eastAsiaTheme="minorEastAsia" w:hAnsi="Times New Roman" w:cs="Times New Roman"/>
          <w:sz w:val="28"/>
          <w:szCs w:val="28"/>
        </w:rPr>
        <w:t xml:space="preserve"> на основе моделирования молекулярной динамики произведенного в программе </w:t>
      </w:r>
      <w:r w:rsidR="002C505E">
        <w:rPr>
          <w:rFonts w:ascii="Times New Roman" w:eastAsiaTheme="minorEastAsia" w:hAnsi="Times New Roman" w:cs="Times New Roman"/>
          <w:sz w:val="28"/>
          <w:szCs w:val="28"/>
          <w:lang w:val="en-US"/>
        </w:rPr>
        <w:t>ABINIT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4763" w:rsidRPr="00F347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 xml:space="preserve"> Полученные результаты 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>были</w:t>
      </w:r>
      <w:r w:rsidR="006C15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 xml:space="preserve">аппроксимированы с помощью распределения Гаусса, чтобы получить </w:t>
      </w:r>
      <w:r w:rsidR="00601138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601138" w:rsidRPr="00601138">
        <w:rPr>
          <w:rFonts w:ascii="Times New Roman" w:eastAsiaTheme="minorEastAsia" w:hAnsi="Times New Roman" w:cs="Times New Roman"/>
          <w:sz w:val="28"/>
          <w:szCs w:val="28"/>
        </w:rPr>
        <w:t>реднеквадратическое отклонение</w:t>
      </w:r>
      <w:r w:rsidR="002222A5">
        <w:rPr>
          <w:rFonts w:ascii="Times New Roman" w:eastAsiaTheme="minorEastAsia" w:hAnsi="Times New Roman" w:cs="Times New Roman"/>
          <w:sz w:val="28"/>
          <w:szCs w:val="28"/>
        </w:rPr>
        <w:t xml:space="preserve"> и среднее значение. </w:t>
      </w:r>
      <w:r w:rsidR="006C15BF">
        <w:rPr>
          <w:rFonts w:ascii="Times New Roman" w:eastAsiaTheme="minorEastAsia" w:hAnsi="Times New Roman" w:cs="Times New Roman"/>
          <w:sz w:val="28"/>
          <w:szCs w:val="28"/>
        </w:rPr>
        <w:t xml:space="preserve">Также используя данную аппроксимацию, возможно, получить приблизительную вероятность того, что атомы водорода сблизятся на </w:t>
      </w:r>
      <w:r w:rsidR="009F1C4A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меньшее чем, например, расстояние между атомами водорода в молекуле водорода (около 0.74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 w:rsidR="009F1C4A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0267A" w:rsidRPr="00F34763" w:rsidRDefault="00F34763" w:rsidP="00601138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результаты: </w:t>
      </w:r>
    </w:p>
    <w:p w:rsidR="00C0267A" w:rsidRDefault="00F34763" w:rsidP="006011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7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2B6123" wp14:editId="493A3EA0">
            <wp:extent cx="5940425" cy="3106630"/>
            <wp:effectExtent l="0" t="0" r="3175" b="0"/>
            <wp:docPr id="1026" name="Picture 2" descr="C:\Users\Nastya\Desktop\моделирование движения водорода в кристалле палладия2\моделирование движения водорода в кристалле Pd\Pd_H2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astya\Desktop\моделирование движения водорода в кристалле палладия2\моделирование движения водорода в кристалле Pd\Pd_H2_g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Pr="00F34763" w:rsidRDefault="00F34763" w:rsidP="0060113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Рис.4.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0.5</w:t>
      </w:r>
      <w:r w:rsidR="005045C0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E1F0D" w:rsidP="00CE1F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D3CB8C" wp14:editId="5F348084">
            <wp:extent cx="5940425" cy="3106630"/>
            <wp:effectExtent l="0" t="0" r="3175" b="0"/>
            <wp:docPr id="2050" name="Picture 2" descr="C:\Users\Nastya\Desktop\моделирование движения водорода в кристалле палладия2\моделирование движения водорода в кристалле Pd\PdH3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Nastya\Desktop\моделирование движения водорода в кристалле палладия2\моделирование движения водорода в кристалле Pd\PdH3_g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Default="00CE1F0D" w:rsidP="00B11B5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E1F0D">
        <w:rPr>
          <w:rFonts w:ascii="Times New Roman" w:hAnsi="Times New Roman" w:cs="Times New Roman"/>
          <w:sz w:val="24"/>
          <w:szCs w:val="28"/>
        </w:rPr>
        <w:t>Рис.5.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0.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7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CE1F0D" w:rsidRDefault="00CE1F0D" w:rsidP="00B11B5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E1F0D" w:rsidRPr="00CE1F0D" w:rsidRDefault="00CE1F0D" w:rsidP="00CE1F0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E1F0D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282D324" wp14:editId="6FEAC851">
            <wp:extent cx="5940425" cy="3087623"/>
            <wp:effectExtent l="0" t="0" r="3175" b="0"/>
            <wp:docPr id="3074" name="Picture 2" descr="C:\Users\Nastya\Desktop\моделирование движения водорода в кристалле палладия2\моделирование движения водорода в кристалле Pd\Pd_H4_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Nastya\Desktop\моделирование движения водорода в кристалле палладия2\моделирование движения водорода в кристалле Pd\Pd_H4_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0267A" w:rsidRPr="00CE1F0D" w:rsidRDefault="00CE1F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F34763">
        <w:rPr>
          <w:rFonts w:ascii="Times New Roman" w:hAnsi="Times New Roman" w:cs="Times New Roman"/>
          <w:sz w:val="24"/>
          <w:szCs w:val="24"/>
        </w:rPr>
        <w:t>ПРФРА (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34763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="005045C0">
        <w:rPr>
          <w:rFonts w:ascii="Times New Roman" w:eastAsiaTheme="minorEastAsia" w:hAnsi="Times New Roman" w:cs="Times New Roman"/>
          <w:i/>
          <w:sz w:val="24"/>
          <w:szCs w:val="24"/>
        </w:rPr>
        <w:t>.00</w:t>
      </w:r>
      <w:r w:rsidRPr="00A87EDA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A87EDA" w:rsidP="00A87ED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всех трех случаях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A87E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среднее расстояние в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A87E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w:r w:rsidR="00820233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820233" w:rsidRPr="00820233">
        <w:rPr>
          <w:rFonts w:ascii="Times New Roman" w:eastAsiaTheme="minorEastAsia" w:hAnsi="Times New Roman" w:cs="Times New Roman"/>
          <w:sz w:val="28"/>
          <w:szCs w:val="28"/>
        </w:rPr>
        <w:t xml:space="preserve">реднеквадратическое отклонение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</w:rPr>
          <m:t>Å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45C0">
        <w:rPr>
          <w:rFonts w:ascii="Times New Roman" w:eastAsiaTheme="minorEastAsia" w:hAnsi="Times New Roman" w:cs="Times New Roman"/>
          <w:sz w:val="28"/>
          <w:szCs w:val="28"/>
        </w:rPr>
        <w:t xml:space="preserve"> В таблице 3 показана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 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5045C0">
        <w:rPr>
          <w:rFonts w:ascii="Times New Roman" w:eastAsiaTheme="minorEastAsia" w:hAnsi="Times New Roman" w:cs="Times New Roman"/>
          <w:sz w:val="28"/>
          <w:szCs w:val="28"/>
        </w:rPr>
        <w:t xml:space="preserve"> от концентрации.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концентрация</w:t>
            </w:r>
          </w:p>
        </w:tc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045C0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среднее расстояние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5045C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Å</w:t>
            </w:r>
          </w:p>
        </w:tc>
        <w:tc>
          <w:tcPr>
            <w:tcW w:w="3191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σ,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Å</m:t>
                </m:r>
              </m:oMath>
            </m:oMathPara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2.92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0.30</w:t>
            </w:r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5045C0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2.91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0.27</w:t>
            </w:r>
          </w:p>
        </w:tc>
      </w:tr>
      <w:tr w:rsidR="005045C0" w:rsidTr="005045C0">
        <w:trPr>
          <w:trHeight w:val="851"/>
        </w:trPr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3190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2.90</w:t>
            </w:r>
          </w:p>
        </w:tc>
        <w:tc>
          <w:tcPr>
            <w:tcW w:w="3191" w:type="dxa"/>
            <w:vAlign w:val="center"/>
          </w:tcPr>
          <w:p w:rsidR="005045C0" w:rsidRDefault="00001DDC" w:rsidP="005045C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0.23</w:t>
            </w:r>
          </w:p>
        </w:tc>
      </w:tr>
    </w:tbl>
    <w:p w:rsidR="005045C0" w:rsidRDefault="005045C0" w:rsidP="00A87ED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7EDA" w:rsidRPr="00A87EDA" w:rsidRDefault="00A87EDA" w:rsidP="00A87ED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Pr="00CD2460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D4C" w:rsidRPr="00CD2460" w:rsidRDefault="00EA6D4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EE3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7F2B" w:rsidRPr="00B81CF1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</w:t>
      </w:r>
      <w:r w:rsidRPr="00B81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="00EE335F" w:rsidRPr="00B81CF1">
        <w:rPr>
          <w:rFonts w:ascii="Times New Roman" w:hAnsi="Times New Roman" w:cs="Times New Roman"/>
          <w:b/>
          <w:sz w:val="28"/>
          <w:szCs w:val="28"/>
        </w:rPr>
        <w:t>.</w:t>
      </w:r>
    </w:p>
    <w:p w:rsidR="00E13A22" w:rsidRPr="00804AA2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2E04E6" w:rsidRPr="00804AA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804AA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Climate Change 2014 Synthesis Report.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. Annu Rev Energy Environ 1999;24:227–79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Manoj Pudukudy, Zahira Yaakob.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672E" w:rsidRPr="00804AA2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Dresselhaus, and Michelle V.Buchanan.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Physics Today.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p. 41.</w:t>
      </w:r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Burtron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Applied Catalysis A: General 310 (2006) 1-15. p.6.</w:t>
      </w:r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9. P. Hohnberg, W. Kohn. Phys. Rev. A, 136, B864(1964).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10. D. Mermin,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D.R. Hartree, Proc. Cambridge Philos. Soc. 24, 89(1928).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V. Fock,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</w:p>
    <w:p w:rsidR="00F33559" w:rsidRPr="00804AA2" w:rsidRDefault="00367017" w:rsidP="00C81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67017">
        <w:rPr>
          <w:rFonts w:ascii="Times New Roman" w:hAnsi="Times New Roman" w:cs="Times New Roman"/>
          <w:sz w:val="28"/>
          <w:szCs w:val="28"/>
        </w:rPr>
        <w:t>Введение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017">
        <w:rPr>
          <w:rFonts w:ascii="Times New Roman" w:hAnsi="Times New Roman" w:cs="Times New Roman"/>
          <w:sz w:val="28"/>
          <w:szCs w:val="28"/>
        </w:rPr>
        <w:t>в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017">
        <w:rPr>
          <w:rFonts w:ascii="Times New Roman" w:hAnsi="Times New Roman" w:cs="Times New Roman"/>
          <w:sz w:val="28"/>
          <w:szCs w:val="28"/>
        </w:rPr>
        <w:t>теорию</w:t>
      </w: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017">
        <w:rPr>
          <w:rFonts w:ascii="Times New Roman" w:hAnsi="Times New Roman" w:cs="Times New Roman"/>
          <w:sz w:val="28"/>
          <w:szCs w:val="28"/>
        </w:rPr>
        <w:t>полупроводников</w:t>
      </w:r>
      <w:r w:rsidR="002A69B6"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814FB" w:rsidRPr="00804AA2" w:rsidRDefault="00C814F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AA2"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936D5" w:rsidRPr="00804A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7936D5" w:rsidRPr="00804A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7936D5" w:rsidRPr="00804AA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7936D5" w:rsidRPr="00804AA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7936D5" w:rsidRPr="00804A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F5026" w:rsidRPr="003F5026" w:rsidRDefault="003F5026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3F5026">
        <w:rPr>
          <w:rFonts w:ascii="Times New Roman" w:hAnsi="Times New Roman" w:cs="Times New Roman"/>
          <w:sz w:val="28"/>
          <w:szCs w:val="28"/>
          <w:lang w:val="en-US"/>
        </w:rPr>
        <w:t>www.chemistry.wustl.edu/files/chemistry/imce/metal_struct_data.pdf</w:t>
      </w: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7FA2" w:rsidRPr="00804AA2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Pr="00804AA2" w:rsidRDefault="003C2CE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2CE9" w:rsidRDefault="003C2CE9" w:rsidP="003C2C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CE9">
        <w:rPr>
          <w:rFonts w:ascii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3C2CE9" w:rsidRPr="003C2CE9" w:rsidRDefault="003C2CE9" w:rsidP="003C2C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C2CE9" w:rsidRPr="003C2CE9" w:rsidSect="00973E9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A2" w:rsidRDefault="00804AA2" w:rsidP="00973E9C">
      <w:pPr>
        <w:spacing w:after="0" w:line="240" w:lineRule="auto"/>
      </w:pPr>
      <w:r>
        <w:separator/>
      </w:r>
    </w:p>
  </w:endnote>
  <w:endnote w:type="continuationSeparator" w:id="0">
    <w:p w:rsidR="00804AA2" w:rsidRDefault="00804AA2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804AA2" w:rsidRDefault="00804AA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647">
          <w:rPr>
            <w:noProof/>
          </w:rPr>
          <w:t>30</w:t>
        </w:r>
        <w:r>
          <w:fldChar w:fldCharType="end"/>
        </w:r>
      </w:p>
    </w:sdtContent>
  </w:sdt>
  <w:p w:rsidR="00804AA2" w:rsidRDefault="00804AA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A2" w:rsidRDefault="00804AA2" w:rsidP="00973E9C">
      <w:pPr>
        <w:spacing w:after="0" w:line="240" w:lineRule="auto"/>
      </w:pPr>
      <w:r>
        <w:separator/>
      </w:r>
    </w:p>
  </w:footnote>
  <w:footnote w:type="continuationSeparator" w:id="0">
    <w:p w:rsidR="00804AA2" w:rsidRDefault="00804AA2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1DDC"/>
    <w:rsid w:val="0000498A"/>
    <w:rsid w:val="0000522B"/>
    <w:rsid w:val="00041D65"/>
    <w:rsid w:val="000671AA"/>
    <w:rsid w:val="00095AF0"/>
    <w:rsid w:val="000B68E2"/>
    <w:rsid w:val="000B6A94"/>
    <w:rsid w:val="000C47F7"/>
    <w:rsid w:val="000D3440"/>
    <w:rsid w:val="000D4734"/>
    <w:rsid w:val="000D6BCC"/>
    <w:rsid w:val="000E58D8"/>
    <w:rsid w:val="0010070F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A561C"/>
    <w:rsid w:val="001C072E"/>
    <w:rsid w:val="001C2ED5"/>
    <w:rsid w:val="001D28FA"/>
    <w:rsid w:val="001D7370"/>
    <w:rsid w:val="001F0564"/>
    <w:rsid w:val="001F3CFA"/>
    <w:rsid w:val="00202FB4"/>
    <w:rsid w:val="0020585D"/>
    <w:rsid w:val="002222A5"/>
    <w:rsid w:val="00222737"/>
    <w:rsid w:val="002248DE"/>
    <w:rsid w:val="0022672E"/>
    <w:rsid w:val="00227C10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C505E"/>
    <w:rsid w:val="002D0A56"/>
    <w:rsid w:val="002E04E6"/>
    <w:rsid w:val="002E14CF"/>
    <w:rsid w:val="002F0229"/>
    <w:rsid w:val="00324538"/>
    <w:rsid w:val="00332574"/>
    <w:rsid w:val="0033355E"/>
    <w:rsid w:val="00352E2A"/>
    <w:rsid w:val="003577F4"/>
    <w:rsid w:val="00357B42"/>
    <w:rsid w:val="003663B8"/>
    <w:rsid w:val="00367017"/>
    <w:rsid w:val="003707F0"/>
    <w:rsid w:val="00370EF8"/>
    <w:rsid w:val="0039102E"/>
    <w:rsid w:val="003924EF"/>
    <w:rsid w:val="00392C9F"/>
    <w:rsid w:val="00397727"/>
    <w:rsid w:val="0039797C"/>
    <w:rsid w:val="003A340D"/>
    <w:rsid w:val="003A737B"/>
    <w:rsid w:val="003B1A05"/>
    <w:rsid w:val="003B5781"/>
    <w:rsid w:val="003C2CE9"/>
    <w:rsid w:val="003C4179"/>
    <w:rsid w:val="003C5FC2"/>
    <w:rsid w:val="003D4F10"/>
    <w:rsid w:val="003D7856"/>
    <w:rsid w:val="003D79E5"/>
    <w:rsid w:val="003E553C"/>
    <w:rsid w:val="003F1280"/>
    <w:rsid w:val="003F5026"/>
    <w:rsid w:val="00400482"/>
    <w:rsid w:val="00414A85"/>
    <w:rsid w:val="00421D0C"/>
    <w:rsid w:val="00422034"/>
    <w:rsid w:val="00425D3A"/>
    <w:rsid w:val="004535DA"/>
    <w:rsid w:val="00462E0E"/>
    <w:rsid w:val="00472CE7"/>
    <w:rsid w:val="0049166D"/>
    <w:rsid w:val="00492B34"/>
    <w:rsid w:val="00494E53"/>
    <w:rsid w:val="00496348"/>
    <w:rsid w:val="004A29EA"/>
    <w:rsid w:val="004A5643"/>
    <w:rsid w:val="004A746D"/>
    <w:rsid w:val="004C5037"/>
    <w:rsid w:val="004F2131"/>
    <w:rsid w:val="004F7124"/>
    <w:rsid w:val="005045C0"/>
    <w:rsid w:val="005115A2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01138"/>
    <w:rsid w:val="006121F0"/>
    <w:rsid w:val="00624849"/>
    <w:rsid w:val="0062593D"/>
    <w:rsid w:val="00635B55"/>
    <w:rsid w:val="006418F6"/>
    <w:rsid w:val="0064700F"/>
    <w:rsid w:val="00660F87"/>
    <w:rsid w:val="00675F55"/>
    <w:rsid w:val="0068760E"/>
    <w:rsid w:val="006A699F"/>
    <w:rsid w:val="006C144B"/>
    <w:rsid w:val="006C15BF"/>
    <w:rsid w:val="006C1FA0"/>
    <w:rsid w:val="006C5802"/>
    <w:rsid w:val="006E4D94"/>
    <w:rsid w:val="006F57C8"/>
    <w:rsid w:val="00703FE1"/>
    <w:rsid w:val="007108DC"/>
    <w:rsid w:val="007148C9"/>
    <w:rsid w:val="00721E90"/>
    <w:rsid w:val="00724666"/>
    <w:rsid w:val="00782850"/>
    <w:rsid w:val="00783AB8"/>
    <w:rsid w:val="0078578B"/>
    <w:rsid w:val="007936D5"/>
    <w:rsid w:val="007A68F3"/>
    <w:rsid w:val="007B762F"/>
    <w:rsid w:val="007B77FA"/>
    <w:rsid w:val="007C03B5"/>
    <w:rsid w:val="007D620D"/>
    <w:rsid w:val="007E30BC"/>
    <w:rsid w:val="007E3A93"/>
    <w:rsid w:val="007F7661"/>
    <w:rsid w:val="00804AA2"/>
    <w:rsid w:val="00815AA3"/>
    <w:rsid w:val="00820233"/>
    <w:rsid w:val="00821A76"/>
    <w:rsid w:val="0083566E"/>
    <w:rsid w:val="008554B1"/>
    <w:rsid w:val="008657C4"/>
    <w:rsid w:val="00866700"/>
    <w:rsid w:val="0087383A"/>
    <w:rsid w:val="0088290D"/>
    <w:rsid w:val="00886986"/>
    <w:rsid w:val="00886D08"/>
    <w:rsid w:val="00887DDF"/>
    <w:rsid w:val="00891F2D"/>
    <w:rsid w:val="008969C5"/>
    <w:rsid w:val="008A0363"/>
    <w:rsid w:val="008A4D53"/>
    <w:rsid w:val="008B1A0E"/>
    <w:rsid w:val="008B1DDC"/>
    <w:rsid w:val="008B2023"/>
    <w:rsid w:val="008B4C9C"/>
    <w:rsid w:val="008B6B5D"/>
    <w:rsid w:val="008C5881"/>
    <w:rsid w:val="008C683F"/>
    <w:rsid w:val="008E5341"/>
    <w:rsid w:val="008E6614"/>
    <w:rsid w:val="009207B0"/>
    <w:rsid w:val="0092127A"/>
    <w:rsid w:val="009239C7"/>
    <w:rsid w:val="00924EF0"/>
    <w:rsid w:val="00931C57"/>
    <w:rsid w:val="0094471B"/>
    <w:rsid w:val="00946E4B"/>
    <w:rsid w:val="0097280D"/>
    <w:rsid w:val="00973E9C"/>
    <w:rsid w:val="00984752"/>
    <w:rsid w:val="009E1202"/>
    <w:rsid w:val="009E71CE"/>
    <w:rsid w:val="009F1C4A"/>
    <w:rsid w:val="009F702A"/>
    <w:rsid w:val="00A24912"/>
    <w:rsid w:val="00A2534C"/>
    <w:rsid w:val="00A33BDF"/>
    <w:rsid w:val="00A400B3"/>
    <w:rsid w:val="00A7106B"/>
    <w:rsid w:val="00A71239"/>
    <w:rsid w:val="00A71250"/>
    <w:rsid w:val="00A747E2"/>
    <w:rsid w:val="00A87EDA"/>
    <w:rsid w:val="00A9021E"/>
    <w:rsid w:val="00A92B4D"/>
    <w:rsid w:val="00AA01E0"/>
    <w:rsid w:val="00AB5761"/>
    <w:rsid w:val="00AB59FF"/>
    <w:rsid w:val="00AB7C7E"/>
    <w:rsid w:val="00AC66AC"/>
    <w:rsid w:val="00AD6647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81CF1"/>
    <w:rsid w:val="00B94C66"/>
    <w:rsid w:val="00BB1FC1"/>
    <w:rsid w:val="00BB55F4"/>
    <w:rsid w:val="00C0267A"/>
    <w:rsid w:val="00C026BF"/>
    <w:rsid w:val="00C049EA"/>
    <w:rsid w:val="00C060C8"/>
    <w:rsid w:val="00C22E94"/>
    <w:rsid w:val="00C33653"/>
    <w:rsid w:val="00C424E9"/>
    <w:rsid w:val="00C52444"/>
    <w:rsid w:val="00C52995"/>
    <w:rsid w:val="00C56BBF"/>
    <w:rsid w:val="00C73C1B"/>
    <w:rsid w:val="00C76A36"/>
    <w:rsid w:val="00C814FB"/>
    <w:rsid w:val="00C90E3E"/>
    <w:rsid w:val="00C9772F"/>
    <w:rsid w:val="00CA0FDB"/>
    <w:rsid w:val="00CA1595"/>
    <w:rsid w:val="00CB4A28"/>
    <w:rsid w:val="00CD170C"/>
    <w:rsid w:val="00CD1971"/>
    <w:rsid w:val="00CD2460"/>
    <w:rsid w:val="00CE1F0D"/>
    <w:rsid w:val="00CE63E6"/>
    <w:rsid w:val="00CF4E66"/>
    <w:rsid w:val="00D15649"/>
    <w:rsid w:val="00D200F9"/>
    <w:rsid w:val="00D24BFF"/>
    <w:rsid w:val="00D26965"/>
    <w:rsid w:val="00D30A6A"/>
    <w:rsid w:val="00D54E44"/>
    <w:rsid w:val="00D80529"/>
    <w:rsid w:val="00D81F2D"/>
    <w:rsid w:val="00D92F75"/>
    <w:rsid w:val="00DA4221"/>
    <w:rsid w:val="00DB48B1"/>
    <w:rsid w:val="00DC2B51"/>
    <w:rsid w:val="00DC5F45"/>
    <w:rsid w:val="00DE0EED"/>
    <w:rsid w:val="00E13A22"/>
    <w:rsid w:val="00E2042C"/>
    <w:rsid w:val="00E20F84"/>
    <w:rsid w:val="00E23D66"/>
    <w:rsid w:val="00E23F55"/>
    <w:rsid w:val="00E261A4"/>
    <w:rsid w:val="00E351D9"/>
    <w:rsid w:val="00E35253"/>
    <w:rsid w:val="00E375CE"/>
    <w:rsid w:val="00E43C1B"/>
    <w:rsid w:val="00E56F74"/>
    <w:rsid w:val="00E6616D"/>
    <w:rsid w:val="00E733B2"/>
    <w:rsid w:val="00E85730"/>
    <w:rsid w:val="00E91334"/>
    <w:rsid w:val="00E9152A"/>
    <w:rsid w:val="00E97B36"/>
    <w:rsid w:val="00E97FC2"/>
    <w:rsid w:val="00EA2441"/>
    <w:rsid w:val="00EA6D4C"/>
    <w:rsid w:val="00EB17F4"/>
    <w:rsid w:val="00EC1BC2"/>
    <w:rsid w:val="00EC436C"/>
    <w:rsid w:val="00EE137C"/>
    <w:rsid w:val="00EE14C8"/>
    <w:rsid w:val="00EE1E44"/>
    <w:rsid w:val="00EE335F"/>
    <w:rsid w:val="00EF1422"/>
    <w:rsid w:val="00EF5FC1"/>
    <w:rsid w:val="00EF767C"/>
    <w:rsid w:val="00F06AEC"/>
    <w:rsid w:val="00F33559"/>
    <w:rsid w:val="00F34763"/>
    <w:rsid w:val="00F5385D"/>
    <w:rsid w:val="00F624FC"/>
    <w:rsid w:val="00F63775"/>
    <w:rsid w:val="00F81454"/>
    <w:rsid w:val="00F83DF9"/>
    <w:rsid w:val="00F845B1"/>
    <w:rsid w:val="00F93DDE"/>
    <w:rsid w:val="00FB0424"/>
    <w:rsid w:val="00FB3FB1"/>
    <w:rsid w:val="00FB5237"/>
    <w:rsid w:val="00FE44CE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531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F24C8-7FCD-48CC-9483-68D11657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14463</TotalTime>
  <Pages>30</Pages>
  <Words>4202</Words>
  <Characters>23953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186</cp:revision>
  <dcterms:created xsi:type="dcterms:W3CDTF">2015-06-04T04:30:00Z</dcterms:created>
  <dcterms:modified xsi:type="dcterms:W3CDTF">2015-06-15T21:35:00Z</dcterms:modified>
</cp:coreProperties>
</file>