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M1：3D 轻量几何模型导师交付报告</w:t>
      </w:r>
    </w:p>
    <w:p>
      <w:r>
        <w:t xml:space="preserve">日期：2026-08-31</w:t>
      </w:r>
    </w:p>
    <w:p>
      <w:r>
        <w:t xml:space="preserve">仓库：kudoumoon/3D-light-model</w:t>
      </w:r>
    </w:p>
    <w:p>
      <w:r>
        <w:t xml:space="preserve">本报告基于仓库当前代码、文档和已归档实验结果整理。写作保留证据边界：M1 已形成可交付的几何模块原型和实验链路，但还不能把 proxy 结果写成完整下游端到端结论。</w:t>
      </w:r>
    </w:p>
    <w:p>
      <w:pPr>
        <w:pStyle w:val="Heading1"/>
      </w:pPr>
      <w:r>
        <w:t xml:space="preserve">M1:3D 轻量几何模型</w:t>
      </w:r>
    </w:p>
    <w:p>
      <w:r>
        <w:t xml:space="preserve">M1 给后续重投影模块提供低延迟、可筛选的 3D 信息。输入是单帧 RGB，输出包括 point map、depth、valid mask、normal、intrinsics，以及给定运动条件下的 warp confidence。下游可以使用 point map 做 camera transform 和 forward splatting，再用 warp confidence 判断哪些区域适合复用，哪些区域应交给 DiT/refiner 重新生成。当前交付物包括 v7 基础几何 checkpoint 和 v10 冻结几何后的 motion confidence checkpoint。</w:t>
      </w:r>
    </w:p>
    <w:p>
      <w:pPr>
        <w:pStyle w:val="Heading1"/>
      </w:pPr>
      <w:r>
        <w:t xml:space="preserve">技术路线:</w:t>
      </w:r>
    </w:p>
    <w:p>
      <w:r>
        <w:t xml:space="preserve">路线为 MoGe-3 离线 teacher、轻量 CNN student、Target-View Occupancy Distillation（TVOD）和 motion-conditioned warp confidence。MoGe-3 只导出 geometry.npz，不进入在线路径。student 不只拟合 source-view point map，还通过 projection loss 和 occupancy loss 学习 target-view coverage。v10 冻结 v7 几何，只训练 38,273 个 motion head 参数，避免 confidence 训练破坏几何 coverage。</w:t>
      </w:r>
    </w:p>
    <w:p>
      <w:pPr>
        <w:pStyle w:val="Heading1"/>
      </w:pPr>
      <w:r>
        <w:t xml:space="preserve">可行性实验结果：</w:t>
      </w:r>
    </w:p>
    <w:p>
      <w:r>
        <w:t xml:space="preserve">MoGe-3 teacher 延迟为 25.263 ms。M1-v7 geometry-only 为 7.594 ms，相对 teacher 为 3.33x speedup。M1-v10 single-motion confidence retest 为 10.558 ms，仍有 2.39x speedup。v10 的 AUC_global 为 0.9525，ECE 为 0.0221；threshold=0.8 时保留 74.89% 像素，projected-valid rate 为 95.97%。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模型/路径</w:t>
            </w:r>
          </w:p>
        </w:tc>
        <w:tc>
          <w:tcPr>
            <w:tcW w:w="2400" w:type="dxa"/>
          </w:tcPr>
          <w:p>
            <w:r>
              <w:t xml:space="preserve">latency</w:t>
            </w:r>
          </w:p>
        </w:tc>
        <w:tc>
          <w:tcPr>
            <w:tcW w:w="2400" w:type="dxa"/>
          </w:tcPr>
          <w:p>
            <w:r>
              <w:t xml:space="preserve">speedup</w:t>
            </w:r>
          </w:p>
        </w:tc>
        <w:tc>
          <w:tcPr>
            <w:tcW w:w="2400" w:type="dxa"/>
          </w:tcPr>
          <w:p>
            <w:r>
              <w:t xml:space="preserve">备注</w:t>
            </w:r>
          </w:p>
        </w:tc>
      </w:tr>
      <w:tr>
        <w:tc>
          <w:tcPr>
            <w:tcW w:w="2400" w:type="dxa"/>
          </w:tcPr>
          <w:p>
            <w:r>
              <w:t xml:space="preserve">MoGe-3 teacher</w:t>
            </w:r>
          </w:p>
        </w:tc>
        <w:tc>
          <w:tcPr>
            <w:tcW w:w="2400" w:type="dxa"/>
          </w:tcPr>
          <w:p>
            <w:r>
              <w:t xml:space="preserve">25.263 ms</w:t>
            </w:r>
          </w:p>
        </w:tc>
        <w:tc>
          <w:tcPr>
            <w:tcW w:w="2400" w:type="dxa"/>
          </w:tcPr>
          <w:p>
            <w:r>
              <w:t xml:space="preserve">1.00x</w:t>
            </w:r>
          </w:p>
        </w:tc>
        <w:tc>
          <w:tcPr>
            <w:tcW w:w="2400" w:type="dxa"/>
          </w:tcPr>
          <w:p>
            <w:r>
              <w:t xml:space="preserve">离线 teacher</w:t>
            </w:r>
          </w:p>
        </w:tc>
      </w:tr>
      <w:tr>
        <w:tc>
          <w:tcPr>
            <w:tcW w:w="2400" w:type="dxa"/>
          </w:tcPr>
          <w:p>
            <w:r>
              <w:t xml:space="preserve">M1-v7 geometry-only</w:t>
            </w:r>
          </w:p>
        </w:tc>
        <w:tc>
          <w:tcPr>
            <w:tcW w:w="2400" w:type="dxa"/>
          </w:tcPr>
          <w:p>
            <w:r>
              <w:t xml:space="preserve">7.594 ms</w:t>
            </w:r>
          </w:p>
        </w:tc>
        <w:tc>
          <w:tcPr>
            <w:tcW w:w="2400" w:type="dxa"/>
          </w:tcPr>
          <w:p>
            <w:r>
              <w:t xml:space="preserve">3.33x</w:t>
            </w:r>
          </w:p>
        </w:tc>
        <w:tc>
          <w:tcPr>
            <w:tcW w:w="2400" w:type="dxa"/>
          </w:tcPr>
          <w:p>
            <w:r>
              <w:t xml:space="preserve">主几何模型</w:t>
            </w:r>
          </w:p>
        </w:tc>
      </w:tr>
      <w:tr>
        <w:tc>
          <w:tcPr>
            <w:tcW w:w="2400" w:type="dxa"/>
          </w:tcPr>
          <w:p>
            <w:r>
              <w:t xml:space="preserve">M1-v10 confidence retest</w:t>
            </w:r>
          </w:p>
        </w:tc>
        <w:tc>
          <w:tcPr>
            <w:tcW w:w="2400" w:type="dxa"/>
          </w:tcPr>
          <w:p>
            <w:r>
              <w:t xml:space="preserve">10.558 ms</w:t>
            </w:r>
          </w:p>
        </w:tc>
        <w:tc>
          <w:tcPr>
            <w:tcW w:w="2400" w:type="dxa"/>
          </w:tcPr>
          <w:p>
            <w:r>
              <w:t xml:space="preserve">2.39x</w:t>
            </w:r>
          </w:p>
        </w:tc>
        <w:tc>
          <w:tcPr>
            <w:tcW w:w="2400" w:type="dxa"/>
          </w:tcPr>
          <w:p>
            <w:r>
              <w:t xml:space="preserve">含 motion confidence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模型</w:t>
            </w:r>
          </w:p>
        </w:tc>
        <w:tc>
          <w:tcPr>
            <w:tcW w:w="2400" w:type="dxa"/>
          </w:tcPr>
          <w:p>
            <w:r>
              <w:t xml:space="preserve">point</w:t>
            </w:r>
          </w:p>
        </w:tc>
        <w:tc>
          <w:tcPr>
            <w:tcW w:w="2400" w:type="dxa"/>
          </w:tcPr>
          <w:p>
            <w:r>
              <w:t xml:space="preserve">projection</w:t>
            </w:r>
          </w:p>
        </w:tc>
        <w:tc>
          <w:tcPr>
            <w:tcW w:w="2400" w:type="dxa"/>
          </w:tcPr>
          <w:p>
            <w:r>
              <w:t xml:space="preserve">coverage gap mean</w:t>
            </w:r>
          </w:p>
        </w:tc>
        <w:tc>
          <w:tcPr>
            <w:tcW w:w="2400" w:type="dxa"/>
          </w:tcPr>
          <w:p>
            <w:r>
              <w:t xml:space="preserve">AUC</w:t>
            </w:r>
          </w:p>
        </w:tc>
        <w:tc>
          <w:tcPr>
            <w:tcW w:w="2400" w:type="dxa"/>
          </w:tcPr>
          <w:p>
            <w:r>
              <w:t xml:space="preserve">ECE</w:t>
            </w:r>
          </w:p>
        </w:tc>
      </w:tr>
      <w:tr>
        <w:tc>
          <w:tcPr>
            <w:tcW w:w="2400" w:type="dxa"/>
          </w:tcPr>
          <w:p>
            <w:r>
              <w:t xml:space="preserve">v7 TVOD</w:t>
            </w:r>
          </w:p>
        </w:tc>
        <w:tc>
          <w:tcPr>
            <w:tcW w:w="2400" w:type="dxa"/>
          </w:tcPr>
          <w:p>
            <w:r>
              <w:t xml:space="preserve">0.00528</w:t>
            </w:r>
          </w:p>
        </w:tc>
        <w:tc>
          <w:tcPr>
            <w:tcW w:w="2400" w:type="dxa"/>
          </w:tcPr>
          <w:p>
            <w:r>
              <w:t xml:space="preserve">0.01042</w:t>
            </w:r>
          </w:p>
        </w:tc>
        <w:tc>
          <w:tcPr>
            <w:tcW w:w="2400" w:type="dxa"/>
          </w:tcPr>
          <w:p>
            <w:r>
              <w:t xml:space="preserve">-0.05765</w:t>
            </w:r>
          </w:p>
        </w:tc>
        <w:tc>
          <w:tcPr>
            <w:tcW w:w="2400" w:type="dxa"/>
          </w:tcPr>
          <w:p>
            <w:r>
              <w:t xml:space="preserve">0.8139</w:t>
            </w:r>
          </w:p>
        </w:tc>
        <w:tc>
          <w:tcPr>
            <w:tcW w:w="2400" w:type="dxa"/>
          </w:tcPr>
          <w:p>
            <w:r>
              <w:t xml:space="preserve">0.0624</w:t>
            </w:r>
          </w:p>
        </w:tc>
      </w:tr>
      <w:tr>
        <w:tc>
          <w:tcPr>
            <w:tcW w:w="2400" w:type="dxa"/>
          </w:tcPr>
          <w:p>
            <w:r>
              <w:t xml:space="preserve">v10 frozen-geometry confidence</w:t>
            </w:r>
          </w:p>
        </w:tc>
        <w:tc>
          <w:tcPr>
            <w:tcW w:w="2400" w:type="dxa"/>
          </w:tcPr>
          <w:p>
            <w:r>
              <w:t xml:space="preserve">0.00528</w:t>
            </w:r>
          </w:p>
        </w:tc>
        <w:tc>
          <w:tcPr>
            <w:tcW w:w="2400" w:type="dxa"/>
          </w:tcPr>
          <w:p>
            <w:r>
              <w:t xml:space="preserve">0.01054</w:t>
            </w:r>
          </w:p>
        </w:tc>
        <w:tc>
          <w:tcPr>
            <w:tcW w:w="2400" w:type="dxa"/>
          </w:tcPr>
          <w:p>
            <w:r>
              <w:t xml:space="preserve">-0.05765</w:t>
            </w:r>
          </w:p>
        </w:tc>
        <w:tc>
          <w:tcPr>
            <w:tcW w:w="2400" w:type="dxa"/>
          </w:tcPr>
          <w:p>
            <w:r>
              <w:t xml:space="preserve">0.9525</w:t>
            </w:r>
          </w:p>
        </w:tc>
        <w:tc>
          <w:tcPr>
            <w:tcW w:w="2400" w:type="dxa"/>
          </w:tcPr>
          <w:p>
            <w:r>
              <w:t xml:space="preserve">0.0221</w:t>
            </w:r>
          </w:p>
        </w:tc>
      </w:tr>
    </w:tbl>
    <w:p>
      <w:pPr>
        <w:pStyle w:val="Heading2"/>
      </w:pPr>
      <w:r>
        <w:t xml:space="preserve">m1_method_route.png</w:t>
      </w:r>
    </w:p>
    <w:p>
      <w:r>
        <w:drawing>
          <wp:inline distT="0" distB="0" distL="0" distR="0">
            <wp:extent cx="5486400" cy="1536192"/>
            <wp:docPr id="1" name="m1_method_rout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1_method_route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m1_metric_comparison.png</w:t>
      </w:r>
    </w:p>
    <w:p>
      <w:r>
        <w:drawing>
          <wp:inline distT="0" distB="0" distL="0" distR="0">
            <wp:extent cx="5486400" cy="1463040"/>
            <wp:docPr id="2" name="m1_metric_comparis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1_metric_comparison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m1_confidence_threshold_curve.png</w:t>
      </w:r>
    </w:p>
    <w:p>
      <w:r>
        <w:drawing>
          <wp:inline distT="0" distB="0" distL="0" distR="0">
            <wp:extent cx="5486400" cy="3657599"/>
            <wp:docPr id="3" name="m1_confidence_threshold_curv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1_confidence_threshold_curv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m1_latency_tradeoff.png</w:t>
      </w:r>
    </w:p>
    <w:p>
      <w:r>
        <w:drawing>
          <wp:inline distT="0" distB="0" distL="0" distR="0">
            <wp:extent cx="5486400" cy="3657599"/>
            <wp:docPr id="4" name="m1_latency_tradeof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1_latency_tradeoff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m1_v10_coverage_by_scene.png</w:t>
      </w:r>
    </w:p>
    <w:p>
      <w:r>
        <w:drawing>
          <wp:inline distT="0" distB="0" distL="0" distR="0">
            <wp:extent cx="5486400" cy="3151562"/>
            <wp:docPr id="5" name="m1_v10_coverage_by_scen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1_v10_coverage_by_scene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泛化性：适用场景</w:t>
      </w:r>
    </w:p>
    <w:p>
      <w:r>
        <w:t xml:space="preserve">当前训练数据来自 Matrix-Game-2/3 视频，多 crop 抽帧，共 1880 个 teacher frames，validation 为 375 个样本。这个规模支持游戏/合成视频域内蒸馏，但不足以证明真实世界泛化。现有跨域 demo 覆盖 GTA、Temple Run、Universal 三类示例，共 5 个样本，只能作为 smoke test。适用场景包括游戏、驾驶、街景、跑酷类连续视频，中小视角变化，以及需要 active token/tile routing 的生成系统。不应过度声称适用大 baseline、新视角、强非刚体、透明/反光物体、快速遮挡切换和复杂真实动态数据集。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scene</w:t>
            </w:r>
          </w:p>
        </w:tc>
        <w:tc>
          <w:tcPr>
            <w:tcW w:w="2400" w:type="dxa"/>
          </w:tcPr>
          <w:p>
            <w:r>
              <w:t xml:space="preserve">samples</w:t>
            </w:r>
          </w:p>
        </w:tc>
        <w:tc>
          <w:tcPr>
            <w:tcW w:w="2400" w:type="dxa"/>
          </w:tcPr>
          <w:p>
            <w:r>
              <w:t xml:space="preserve">loss</w:t>
            </w:r>
          </w:p>
        </w:tc>
        <w:tc>
          <w:tcPr>
            <w:tcW w:w="2400" w:type="dxa"/>
          </w:tcPr>
          <w:p>
            <w:r>
              <w:t xml:space="preserve">point</w:t>
            </w:r>
          </w:p>
        </w:tc>
        <w:tc>
          <w:tcPr>
            <w:tcW w:w="2400" w:type="dxa"/>
          </w:tcPr>
          <w:p>
            <w:r>
              <w:t xml:space="preserve">projection</w:t>
            </w:r>
          </w:p>
        </w:tc>
        <w:tc>
          <w:tcPr>
            <w:tcW w:w="2400" w:type="dxa"/>
          </w:tcPr>
          <w:p>
            <w:r>
              <w:t xml:space="preserve">median inference</w:t>
            </w:r>
          </w:p>
        </w:tc>
      </w:tr>
      <w:tr>
        <w:tc>
          <w:tcPr>
            <w:tcW w:w="2400" w:type="dxa"/>
          </w:tcPr>
          <w:p>
            <w:r>
              <w:t xml:space="preserve">gta_drive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0.6161</w:t>
            </w:r>
          </w:p>
        </w:tc>
        <w:tc>
          <w:tcPr>
            <w:tcW w:w="2400" w:type="dxa"/>
          </w:tcPr>
          <w:p>
            <w:r>
              <w:t xml:space="preserve">0.4618</w:t>
            </w:r>
          </w:p>
        </w:tc>
        <w:tc>
          <w:tcPr>
            <w:tcW w:w="2400" w:type="dxa"/>
          </w:tcPr>
          <w:p>
            <w:r>
              <w:t xml:space="preserve">0.0329</w:t>
            </w:r>
          </w:p>
        </w:tc>
        <w:tc>
          <w:tcPr>
            <w:tcW w:w="2400" w:type="dxa"/>
          </w:tcPr>
          <w:p>
            <w:r>
              <w:t xml:space="preserve">2.034 ms</w:t>
            </w:r>
          </w:p>
        </w:tc>
      </w:tr>
      <w:tr>
        <w:tc>
          <w:tcPr>
            <w:tcW w:w="2400" w:type="dxa"/>
          </w:tcPr>
          <w:p>
            <w:r>
              <w:t xml:space="preserve">temple_run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0.1903</w:t>
            </w:r>
          </w:p>
        </w:tc>
        <w:tc>
          <w:tcPr>
            <w:tcW w:w="2400" w:type="dxa"/>
          </w:tcPr>
          <w:p>
            <w:r>
              <w:t xml:space="preserve">0.0667</w:t>
            </w:r>
          </w:p>
        </w:tc>
        <w:tc>
          <w:tcPr>
            <w:tcW w:w="2400" w:type="dxa"/>
          </w:tcPr>
          <w:p>
            <w:r>
              <w:t xml:space="preserve">0.0268</w:t>
            </w:r>
          </w:p>
        </w:tc>
        <w:tc>
          <w:tcPr>
            <w:tcW w:w="2400" w:type="dxa"/>
          </w:tcPr>
          <w:p>
            <w:r>
              <w:t xml:space="preserve">2.235 ms</w:t>
            </w:r>
          </w:p>
        </w:tc>
      </w:tr>
      <w:tr>
        <w:tc>
          <w:tcPr>
            <w:tcW w:w="2400" w:type="dxa"/>
          </w:tcPr>
          <w:p>
            <w:r>
              <w:t xml:space="preserve">universal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0.3128</w:t>
            </w:r>
          </w:p>
        </w:tc>
        <w:tc>
          <w:tcPr>
            <w:tcW w:w="2400" w:type="dxa"/>
          </w:tcPr>
          <w:p>
            <w:r>
              <w:t xml:space="preserve">0.1913</w:t>
            </w:r>
          </w:p>
        </w:tc>
        <w:tc>
          <w:tcPr>
            <w:tcW w:w="2400" w:type="dxa"/>
          </w:tcPr>
          <w:p>
            <w:r>
              <w:t xml:space="preserve">0.0242</w:t>
            </w:r>
          </w:p>
        </w:tc>
        <w:tc>
          <w:tcPr>
            <w:tcW w:w="2400" w:type="dxa"/>
          </w:tcPr>
          <w:p>
            <w:r>
              <w:t xml:space="preserve">2.037 ms</w:t>
            </w:r>
          </w:p>
        </w:tc>
      </w:tr>
    </w:tbl>
    <w:p>
      <w:pPr>
        <w:pStyle w:val="Heading1"/>
      </w:pPr>
      <w:r>
        <w:t xml:space="preserve">速度收益比:</w:t>
      </w:r>
    </w:p>
    <w:p>
      <w:r>
        <w:t xml:space="preserve">几何模块自身收益为 v7 3.33x，v10 2.39x。下游 active-DiT proxy 在 RTX 4060 Laptop GPU 上运行，tokens=4096，不是完整 Matrix-Game 端到端。active ratio 为 0.50/0.25 时，median latency 分别为 24.284 ms 和 12.877 ms，对应 1.96x 和 3.69x。高运动片段的 closed-loop proxy 显示 safe tile 可以把 estimated active ratio 降到 0.224–0.557，对应最近邻 speedup 为 1.96x–3.69x。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active ratio</w:t>
            </w:r>
          </w:p>
        </w:tc>
        <w:tc>
          <w:tcPr>
            <w:tcW w:w="2400" w:type="dxa"/>
          </w:tcPr>
          <w:p>
            <w:r>
              <w:t xml:space="preserve">median latency</w:t>
            </w:r>
          </w:p>
        </w:tc>
        <w:tc>
          <w:tcPr>
            <w:tcW w:w="2400" w:type="dxa"/>
          </w:tcPr>
          <w:p>
            <w:r>
              <w:t xml:space="preserve">speedup vs full</w:t>
            </w:r>
          </w:p>
        </w:tc>
      </w:tr>
      <w:tr>
        <w:tc>
          <w:tcPr>
            <w:tcW w:w="2400" w:type="dxa"/>
          </w:tcPr>
          <w:p>
            <w:r>
              <w:t xml:space="preserve">1.000</w:t>
            </w:r>
          </w:p>
        </w:tc>
        <w:tc>
          <w:tcPr>
            <w:tcW w:w="2400" w:type="dxa"/>
          </w:tcPr>
          <w:p>
            <w:r>
              <w:t xml:space="preserve">47.536 ms</w:t>
            </w:r>
          </w:p>
        </w:tc>
        <w:tc>
          <w:tcPr>
            <w:tcW w:w="2400" w:type="dxa"/>
          </w:tcPr>
          <w:p>
            <w:r>
              <w:t xml:space="preserve">1.00x</w:t>
            </w:r>
          </w:p>
        </w:tc>
      </w:tr>
      <w:tr>
        <w:tc>
          <w:tcPr>
            <w:tcW w:w="2400" w:type="dxa"/>
          </w:tcPr>
          <w:p>
            <w:r>
              <w:t xml:space="preserve">0.750</w:t>
            </w:r>
          </w:p>
        </w:tc>
        <w:tc>
          <w:tcPr>
            <w:tcW w:w="2400" w:type="dxa"/>
          </w:tcPr>
          <w:p>
            <w:r>
              <w:t xml:space="preserve">36.001 ms</w:t>
            </w:r>
          </w:p>
        </w:tc>
        <w:tc>
          <w:tcPr>
            <w:tcW w:w="2400" w:type="dxa"/>
          </w:tcPr>
          <w:p>
            <w:r>
              <w:t xml:space="preserve">1.32x</w:t>
            </w:r>
          </w:p>
        </w:tc>
      </w:tr>
      <w:tr>
        <w:tc>
          <w:tcPr>
            <w:tcW w:w="2400" w:type="dxa"/>
          </w:tcPr>
          <w:p>
            <w:r>
              <w:t xml:space="preserve">0.500</w:t>
            </w:r>
          </w:p>
        </w:tc>
        <w:tc>
          <w:tcPr>
            <w:tcW w:w="2400" w:type="dxa"/>
          </w:tcPr>
          <w:p>
            <w:r>
              <w:t xml:space="preserve">24.284 ms</w:t>
            </w:r>
          </w:p>
        </w:tc>
        <w:tc>
          <w:tcPr>
            <w:tcW w:w="2400" w:type="dxa"/>
          </w:tcPr>
          <w:p>
            <w:r>
              <w:t xml:space="preserve">1.96x</w:t>
            </w:r>
          </w:p>
        </w:tc>
      </w:tr>
      <w:tr>
        <w:tc>
          <w:tcPr>
            <w:tcW w:w="2400" w:type="dxa"/>
          </w:tcPr>
          <w:p>
            <w:r>
              <w:t xml:space="preserve">0.250</w:t>
            </w:r>
          </w:p>
        </w:tc>
        <w:tc>
          <w:tcPr>
            <w:tcW w:w="2400" w:type="dxa"/>
          </w:tcPr>
          <w:p>
            <w:r>
              <w:t xml:space="preserve">12.877 ms</w:t>
            </w:r>
          </w:p>
        </w:tc>
        <w:tc>
          <w:tcPr>
            <w:tcW w:w="2400" w:type="dxa"/>
          </w:tcPr>
          <w:p>
            <w:r>
              <w:t xml:space="preserve">3.69x</w:t>
            </w:r>
          </w:p>
        </w:tc>
      </w:tr>
      <w:tr>
        <w:tc>
          <w:tcPr>
            <w:tcW w:w="2400" w:type="dxa"/>
          </w:tcPr>
          <w:p>
            <w:r>
              <w:t xml:space="preserve">0.125</w:t>
            </w:r>
          </w:p>
        </w:tc>
        <w:tc>
          <w:tcPr>
            <w:tcW w:w="2400" w:type="dxa"/>
          </w:tcPr>
          <w:p>
            <w:r>
              <w:t xml:space="preserve">11.351 ms</w:t>
            </w:r>
          </w:p>
        </w:tc>
        <w:tc>
          <w:tcPr>
            <w:tcW w:w="2400" w:type="dxa"/>
          </w:tcPr>
          <w:p>
            <w:r>
              <w:t xml:space="preserve">4.19x</w:t>
            </w:r>
          </w:p>
        </w:tc>
      </w:tr>
    </w:tbl>
    <w:p>
      <w:pPr>
        <w:pStyle w:val="Heading1"/>
      </w:pPr>
      <w:r>
        <w:t xml:space="preserve">不足,遇到的问题：：</w:t>
      </w:r>
    </w:p>
    <w:p>
      <w:r>
        <w:t xml:space="preserve">主要不足包括跨域验证不足、hard-case coverage gap 仍明显、下游闭环仍是 proxy、v10 confidence head 带来额外延迟。最差 coverage gap 为 -0.20012，主要集中在 game2_mid_left 和 game3_left。</w:t>
      </w:r>
    </w:p>
    <w:p>
      <w:pPr>
        <w:pStyle w:val="Heading1"/>
      </w:pPr>
      <w:r>
        <w:t xml:space="preserve">可能会被喷的点:</w:t>
      </w:r>
    </w:p>
    <w:p>
      <w:r>
        <w:t xml:space="preserve">可能质疑包括：只是 MoGe-3 蒸馏、copy baseline 强、泛化样本少、速度收益不是端到端、单目几何尺度不稳定。报告中的回应是把贡献限定为 projection/occupancy/motion-conditioned confidence，并明确需要补跨域和 gated-DiT 端到端实验。</w:t>
      </w:r>
    </w:p>
    <w:p>
      <w:pPr>
        <w:pStyle w:val="Heading1"/>
      </w:pPr>
      <w:r>
        <w:t xml:space="preserve">创新性：</w:t>
      </w:r>
    </w:p>
    <w:p>
      <w:r>
        <w:t xml:space="preserve">建议把创新写成三点：重投影导向几何蒸馏、motion-conditioned warp confidence、hard-case coverage repair。前两点已有较完整证据；第三点已接入训练设计，但需要 v11 消融后再决定是否作为正式主贡献。</w:t>
      </w:r>
    </w:p>
    <w:p>
      <w:pPr>
        <w:pStyle w:val="Heading1"/>
      </w:pPr>
      <w:r>
        <w:t xml:space="preserve">method 正文：</w:t>
      </w:r>
    </w:p>
    <w:p>
      <w:r>
        <w:t xml:space="preserve">给定源图像 I_s 和目标相机运动 a，M1 预测源视角几何 G_s 与运动条件重投影置信度 C_a。G_s 包括 camera-space point map P_s、深度 D_s、有效掩码 M_s、法向 N_s 和相机内参 K。C_a 表示每个 source pixel 在运动 a 下能否安全进入 target view。下游模块使用 P_s 做刚体变换和 forward splatting，并用 C_a 决定区域复用或重新生成。</w:t>
      </w:r>
    </w:p>
    <w:p/>
    <w:p>
      <w:r>
        <w:t xml:space="preserve">我们使用 MoGe-3 作为离线几何教师。teacher 为训练帧导出 geometry.npz，保存 RGB、point map、depth、valid mask、normal 和 intrinsics。在线推理阶段不调用 MoGe-3，因此 teacher 的推理时间只作为上界 baseline 和蒸馏参照。</w:t>
      </w:r>
    </w:p>
    <w:p/>
    <w:p>
      <w:r>
        <w:t xml:space="preserve">学生模型采用轻量 CNN encoder-decoder。基础训练使用 point smooth L1、mask BCE、normal cosine 和 depth-gradient loss。为服务重投影，训练中采样虚拟相机运动，把 teacher/student point map 投影到同一目标视角，并加入 projection loss 与 target-view occupancy distillation。TVOD 使学生学习目标视角覆盖行为，而不是只学习源视角几何。</w:t>
      </w:r>
    </w:p>
    <w:p/>
    <w:p>
      <w:r>
        <w:t xml:space="preserve">M1-v10 在 v7 几何基础上训练 motion-conditioned confidence。训练时冻结几何主干，只更新 motion head。给定目标运动 a，head 输出 C_a，并用 teacher projected-valid mask 进行 BCE 监督。该设计把几何坐标预测和下游可复用性判断分开，降低 joint fine-tuning 破坏 coverage 的风险。</w:t>
      </w:r>
    </w:p>
    <w:p/>
    <w:p>
      <w:r>
        <w:t xml:space="preserve">hard-case 变体加入 coverage-deficit loss 和 depth-edge-aware point loss。前者只惩罚 student coverage 小于 teacher coverage 的区域，后者提高深度不连续区域的 point loss 权重。这两个目标针对 target-view holes、遮挡边界和薄结构。正式论文中需要报告它们对 worst-case coverage gap、point/projection loss 和 latency 的影响。</w:t>
      </w:r>
    </w:p>
    <w:p>
      <w:pPr>
        <w:pStyle w:val="Heading1"/>
      </w:pPr>
      <w:r>
        <w:t xml:space="preserve">实验图与证据索引</w:t>
      </w:r>
    </w:p>
    <w:p>
      <w:r>
        <w:t xml:space="preserve">完整 Markdown 报告包含所有图、表和证据路径。SVG 图包括 m1_cross_domain_demo_validation.svg、m1_hardcase_coverage_gap.svg、m1_closed_loop_proxy_speedup.svg。</w:t>
      </w:r>
    </w:p>
    <w:p>
      <w:pPr>
        <w:pStyle w:val="Heading1"/>
      </w:pPr>
      <w:r>
        <w:t xml:space="preserve">给导师看的最终口径</w:t>
      </w:r>
    </w:p>
    <w:p>
      <w:r>
        <w:t xml:space="preserve">M1 当前可以作为论文中的 3D 信息模块交付。它提供低延迟 point map 和 motion-conditioned warp confidence，能支撑后续重投影模块做区域复用和 active token routing。已有实验证明，基础几何路径相对 MoGe-3 teacher 有 3.33x speedup；加入 motion confidence 后仍有 2.39x speedup；v10 在不破坏 coverage 的前提下把 confidence AUC 提升到 0.9525，ECE 降到 0.0221。正式论文还需要补更大规模跨域验证和下游端到端收益。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宋体"/>
      <w:sz w:val="21"/>
    </w:rPr>
  </w:style>
  <w:style w:type="paragraph" w:styleId="Title">
    <w:name w:val="Title"/>
    <w:rPr>
      <w:b/>
      <w:rFonts w:ascii="Calibri" w:eastAsia="黑体"/>
      <w:sz w:val="36"/>
    </w:rPr>
  </w:style>
  <w:style w:type="paragraph" w:styleId="Heading1">
    <w:name w:val="heading 1"/>
    <w:rPr>
      <w:b/>
      <w:rFonts w:ascii="Calibri" w:eastAsia="黑体"/>
      <w:sz w:val="28"/>
    </w:rPr>
  </w:style>
  <w:style w:type="paragraph" w:styleId="Heading2">
    <w:name w:val="heading 2"/>
    <w:rPr>
      <w:b/>
      <w:rFonts w:ascii="Calibri" w:eastAsia="黑体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Style" Type="http://schemas.openxmlformats.org/officeDocument/2006/relationships/styles" Target="styles.xml"/></Relationships>
</file>