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0"/>
        </w:rPr>
        <w:t>Developer Attrition-Risk Analytics</w:t>
      </w:r>
    </w:p>
    <w:p>
      <w:pPr>
        <w:jc w:val="center"/>
      </w:pPr>
      <w:r>
        <w:rPr>
          <w:rFonts w:ascii="Arial" w:hAnsi="Arial"/>
          <w:i/>
          <w:sz w:val="26"/>
        </w:rPr>
        <w:t>A Multivariate Analysis of Job-Seeking Behavior Among Professional Developers (2019 Stack Overflow Developer Survey)</w:t>
      </w:r>
    </w:p>
    <w:p>
      <w:pPr>
        <w:jc w:val="center"/>
      </w:pPr>
      <w:r>
        <w:rPr>
          <w:rFonts w:ascii="Arial" w:hAnsi="Arial"/>
          <w:sz w:val="20"/>
        </w:rPr>
        <w:t>HR People Analytics Report | October 2026</w:t>
      </w:r>
    </w:p>
    <w:p/>
    <w:p>
      <w:pPr>
        <w:pStyle w:val="Heading1"/>
      </w:pPr>
      <w:r>
        <w:rPr>
          <w:rFonts w:ascii="Arial" w:hAnsi="Arial"/>
          <w:color w:val="000000"/>
          <w:sz w:val="28"/>
        </w:rPr>
        <w:t>1. Introduction &amp; Motivation</w:t>
      </w:r>
    </w:p>
    <w:p>
      <w:r>
        <w:rPr>
          <w:rFonts w:ascii="Arial" w:hAnsi="Arial"/>
          <w:b w:val="0"/>
          <w:i w:val="0"/>
          <w:sz w:val="22"/>
        </w:rPr>
        <w:t>Developer turnover is one of the costliest and least predictable forms of attrition in the technology sector: replacing a mid-level engineer typically costs 50-200% of annual salary once recruiting, onboarding, and lost productivity are counted. Because resignation decisions build up over months, HR teams need early, data-driven signals of who is at risk of leaving - not just exit-interview hindsight. This report uses the Stack Overflow Annual Developer Survey, a large, standardized, cross-company survey of working developers, as a proxy for a company-wide engagement/exit-risk survey, and asks three questions a retention team would ask of its own population:</w:t>
      </w:r>
    </w:p>
    <w:p>
      <w:pPr>
        <w:pStyle w:val="ListBullet"/>
      </w:pPr>
      <w:r>
        <w:rPr>
          <w:rFonts w:ascii="Arial" w:hAnsi="Arial"/>
          <w:sz w:val="22"/>
        </w:rPr>
        <w:t>Do developer profiles (pay, experience, satisfaction, workload) differ between those who are job-seeking and those who are not, and does that difference vary by country?</w:t>
      </w:r>
    </w:p>
    <w:p>
      <w:pPr>
        <w:pStyle w:val="ListBullet"/>
      </w:pPr>
      <w:r>
        <w:rPr>
          <w:rFonts w:ascii="Arial" w:hAnsi="Arial"/>
          <w:sz w:val="22"/>
        </w:rPr>
        <w:t>Which measurable factors drive job-seeking behavior, in effect sizes an HR partner can act on?</w:t>
      </w:r>
    </w:p>
    <w:p>
      <w:pPr>
        <w:pStyle w:val="ListBullet"/>
      </w:pPr>
      <w:r>
        <w:rPr>
          <w:rFonts w:ascii="Arial" w:hAnsi="Arial"/>
          <w:sz w:val="22"/>
        </w:rPr>
        <w:t>Can the developer population be segmented into a small number of actionable talent profiles for targeted retention strategy?</w:t>
      </w:r>
    </w:p>
    <w:p>
      <w:pPr>
        <w:pStyle w:val="Heading1"/>
      </w:pPr>
      <w:r>
        <w:rPr>
          <w:rFonts w:ascii="Arial" w:hAnsi="Arial"/>
          <w:color w:val="000000"/>
          <w:sz w:val="28"/>
        </w:rPr>
        <w:t>2. Data &amp; Variables</w:t>
      </w:r>
    </w:p>
    <w:p>
      <w:r>
        <w:rPr>
          <w:rFonts w:ascii="Arial" w:hAnsi="Arial"/>
          <w:b w:val="0"/>
          <w:i w:val="0"/>
          <w:sz w:val="22"/>
        </w:rPr>
        <w:t>Source: Stack Overflow Developer Survey 2019 public results (https://survey.stackoverflow.co/, archived under the StackExchange/Survey GitHub repository, ODbL 1.0 licence), 88,883 raw responses. The 2019 wave was selected for its stable schema and large N.</w:t>
      </w:r>
    </w:p>
    <w:p>
      <w:pPr>
        <w:pStyle w:val="Heading2"/>
      </w:pPr>
      <w:r>
        <w:rPr>
          <w:rFonts w:ascii="Arial" w:hAnsi="Arial"/>
          <w:color w:val="000000"/>
          <w:sz w:val="24"/>
        </w:rPr>
        <w:t>2.1 Filtering and sample construction</w:t>
      </w:r>
    </w:p>
    <w:p>
      <w:r>
        <w:rPr>
          <w:rFonts w:ascii="Arial" w:hAnsi="Arial"/>
          <w:b w:val="0"/>
          <w:i w:val="0"/>
          <w:sz w:val="22"/>
        </w:rPr>
        <w:t>The raw file was filtered to MainBranch = "I am a developer by profession" and Employment = "Employed full-time" (55,405 respondents), then restricted to the five largest countries by respondent count - United States, India, United Kingdom, Germany, Canada (29,851 respondents). After deriving the analysis variables, rows with any missing value on an analysis variable were dropped (complete-case analysis: 29,851 -&gt; 17,847, a 40.2% drop driven mainly by CodeRevHrs (23.4% missing - many respondents are not asked or do not do code review) and ConvertedComp (19.4% missing - compensation questions are routinely skipped)). A reproducible random subsample of N = 8,000 was then drawn (seed = 42) for computational tractability, matching the brief's target of n ~ 5,000-10,000.</w:t>
      </w:r>
    </w:p>
    <w:p>
      <w:pPr>
        <w:pStyle w:val="Heading2"/>
      </w:pPr>
      <w:r>
        <w:rPr>
          <w:rFonts w:ascii="Arial" w:hAnsi="Arial"/>
          <w:color w:val="000000"/>
          <w:sz w:val="24"/>
        </w:rPr>
        <w:t>2.2 Variable treatment</w:t>
      </w:r>
    </w:p>
    <w:p>
      <w:r>
        <w:rPr>
          <w:rFonts w:ascii="Arial" w:hAnsi="Arial"/>
          <w:b w:val="0"/>
          <w:i w:val="0"/>
          <w:sz w:val="22"/>
        </w:rPr>
        <w:t>ConvertedComp (USD/year, adjusted by Stack Overflow) was floored at &gt;0, capped at the 99th percentile to tame currency-conversion and self-report outliers, and log-transformed (logComp) to correct its strong right skew. YearsCodePro and CodeRevHrs were parsed from free-text buckets ("Less than 1 year"-&gt;0.5, "More than 50 years"-&gt;51); CodeRevHrs was capped at its 99th percentile (20.0 h/week). WorkWeekHrs was capped at 100 h/week per the brief and non-positive values treated as missing. Age was restricted to a plausible working-adult range [16, 75]. JobSat (5-point Likert: Very dissatisfied ... Very satisfied) was coded 1-5, justified because the response categories are equally spaced verbal anchors, a standard treatment for ordinal survey items in parametric models.</w:t>
      </w:r>
    </w:p>
    <w:p>
      <w:r>
        <w:rPr>
          <w:rFonts w:ascii="Arial" w:hAnsi="Arial"/>
          <w:b w:val="0"/>
          <w:i w:val="0"/>
          <w:sz w:val="22"/>
        </w:rPr>
        <w:t>Outcome (JobSeek): the source item has three levels. We coded "I am actively looking for a job" and "I'm not actively looking, but I am open to new opportunities" as job-seeking risk = 1 (both represent real flight risk from an HR standpoint - passive candidates convert easily when approached), and "I am not interested in new job opportunities" as 0. This mapping is the single most consequential data decision in the report and is stated here explicitly so results can be re-derived under an alternative (stricter) mapping if desired.</w:t>
      </w:r>
    </w:p>
    <w:p>
      <w:r>
        <w:rPr>
          <w:rFonts w:ascii="Arial" w:hAnsi="Arial"/>
          <w:b w:val="0"/>
          <w:i w:val="0"/>
          <w:sz w:val="22"/>
        </w:rPr>
        <w:t>Factors used for grouping/profiling: Country, EdLevel, Hobbyist, OrgSize.</w:t>
      </w:r>
    </w:p>
    <w:p>
      <w:pPr>
        <w:pStyle w:val="Heading2"/>
      </w:pPr>
      <w:r>
        <w:rPr>
          <w:rFonts w:ascii="Arial" w:hAnsi="Arial"/>
          <w:color w:val="000000"/>
          <w:sz w:val="24"/>
        </w:rPr>
        <w:t>2.3 Missingness and final sample</w:t>
      </w:r>
    </w:p>
    <w:p>
      <w:pPr>
        <w:jc w:val="center"/>
      </w:pPr>
      <w:r>
        <w:rPr>
          <w:rFonts w:ascii="Arial" w:hAnsi="Arial"/>
          <w:b/>
          <w:sz w:val="20"/>
        </w:rPr>
        <w:t>Table 1. Missingness (%) on the filtered, pre-cleaning sample (N=29,851), analysis variables</w:t>
      </w:r>
    </w:p>
    <w:tbl>
      <w:tblPr>
        <w:tblStyle w:val="LightGrid-Accent1"/>
        <w:tblW w:type="auto" w:w="0"/>
        <w:tblLook w:firstColumn="1" w:firstRow="1" w:lastColumn="0" w:lastRow="0" w:noHBand="0" w:noVBand="1" w:val="04A0"/>
      </w:tblPr>
      <w:tblGrid>
        <w:gridCol w:w="4824"/>
        <w:gridCol w:w="4824"/>
      </w:tblGrid>
      <w:tr>
        <w:tc>
          <w:tcPr>
            <w:tcW w:type="dxa" w:w="4824"/>
          </w:tcPr>
          <w:p>
            <w:r>
              <w:rPr>
                <w:rFonts w:ascii="Arial" w:hAnsi="Arial"/>
                <w:b/>
                <w:sz w:val="18"/>
              </w:rPr>
              <w:t>variable</w:t>
            </w:r>
          </w:p>
        </w:tc>
        <w:tc>
          <w:tcPr>
            <w:tcW w:type="dxa" w:w="4824"/>
          </w:tcPr>
          <w:p>
            <w:r>
              <w:rPr>
                <w:rFonts w:ascii="Arial" w:hAnsi="Arial"/>
                <w:b/>
                <w:sz w:val="18"/>
              </w:rPr>
              <w:t>% missing</w:t>
            </w:r>
          </w:p>
        </w:tc>
      </w:tr>
      <w:tr>
        <w:tc>
          <w:tcPr>
            <w:tcW w:type="dxa" w:w="4824"/>
          </w:tcPr>
          <w:p>
            <w:r>
              <w:rPr>
                <w:rFonts w:ascii="Arial" w:hAnsi="Arial"/>
                <w:sz w:val="18"/>
              </w:rPr>
              <w:t>CodeRevHrs</w:t>
            </w:r>
          </w:p>
        </w:tc>
        <w:tc>
          <w:tcPr>
            <w:tcW w:type="dxa" w:w="4824"/>
          </w:tcPr>
          <w:p>
            <w:r>
              <w:rPr>
                <w:rFonts w:ascii="Arial" w:hAnsi="Arial"/>
                <w:sz w:val="18"/>
              </w:rPr>
              <w:t>23.41</w:t>
            </w:r>
          </w:p>
        </w:tc>
      </w:tr>
      <w:tr>
        <w:tc>
          <w:tcPr>
            <w:tcW w:type="dxa" w:w="4824"/>
          </w:tcPr>
          <w:p>
            <w:r>
              <w:rPr>
                <w:rFonts w:ascii="Arial" w:hAnsi="Arial"/>
                <w:sz w:val="18"/>
              </w:rPr>
              <w:t>ConvertedComp</w:t>
            </w:r>
          </w:p>
        </w:tc>
        <w:tc>
          <w:tcPr>
            <w:tcW w:type="dxa" w:w="4824"/>
          </w:tcPr>
          <w:p>
            <w:r>
              <w:rPr>
                <w:rFonts w:ascii="Arial" w:hAnsi="Arial"/>
                <w:sz w:val="18"/>
              </w:rPr>
              <w:t>19.42</w:t>
            </w:r>
          </w:p>
        </w:tc>
      </w:tr>
      <w:tr>
        <w:tc>
          <w:tcPr>
            <w:tcW w:type="dxa" w:w="4824"/>
          </w:tcPr>
          <w:p>
            <w:r>
              <w:rPr>
                <w:rFonts w:ascii="Arial" w:hAnsi="Arial"/>
                <w:sz w:val="18"/>
              </w:rPr>
              <w:t>Age</w:t>
            </w:r>
          </w:p>
        </w:tc>
        <w:tc>
          <w:tcPr>
            <w:tcW w:type="dxa" w:w="4824"/>
          </w:tcPr>
          <w:p>
            <w:r>
              <w:rPr>
                <w:rFonts w:ascii="Arial" w:hAnsi="Arial"/>
                <w:sz w:val="18"/>
              </w:rPr>
              <w:t>9.81</w:t>
            </w:r>
          </w:p>
        </w:tc>
      </w:tr>
      <w:tr>
        <w:tc>
          <w:tcPr>
            <w:tcW w:type="dxa" w:w="4824"/>
          </w:tcPr>
          <w:p>
            <w:r>
              <w:rPr>
                <w:rFonts w:ascii="Arial" w:hAnsi="Arial"/>
                <w:sz w:val="18"/>
              </w:rPr>
              <w:t>WorkWeekHrs</w:t>
            </w:r>
          </w:p>
        </w:tc>
        <w:tc>
          <w:tcPr>
            <w:tcW w:type="dxa" w:w="4824"/>
          </w:tcPr>
          <w:p>
            <w:r>
              <w:rPr>
                <w:rFonts w:ascii="Arial" w:hAnsi="Arial"/>
                <w:sz w:val="18"/>
              </w:rPr>
              <w:t>8.35</w:t>
            </w:r>
          </w:p>
        </w:tc>
      </w:tr>
      <w:tr>
        <w:tc>
          <w:tcPr>
            <w:tcW w:type="dxa" w:w="4824"/>
          </w:tcPr>
          <w:p>
            <w:r>
              <w:rPr>
                <w:rFonts w:ascii="Arial" w:hAnsi="Arial"/>
                <w:sz w:val="18"/>
              </w:rPr>
              <w:t>OrgSize</w:t>
            </w:r>
          </w:p>
        </w:tc>
        <w:tc>
          <w:tcPr>
            <w:tcW w:type="dxa" w:w="4824"/>
          </w:tcPr>
          <w:p>
            <w:r>
              <w:rPr>
                <w:rFonts w:ascii="Arial" w:hAnsi="Arial"/>
                <w:sz w:val="18"/>
              </w:rPr>
              <w:t>2.76</w:t>
            </w:r>
          </w:p>
        </w:tc>
      </w:tr>
      <w:tr>
        <w:tc>
          <w:tcPr>
            <w:tcW w:type="dxa" w:w="4824"/>
          </w:tcPr>
          <w:p>
            <w:r>
              <w:rPr>
                <w:rFonts w:ascii="Arial" w:hAnsi="Arial"/>
                <w:sz w:val="18"/>
              </w:rPr>
              <w:t>EdLevel</w:t>
            </w:r>
          </w:p>
        </w:tc>
        <w:tc>
          <w:tcPr>
            <w:tcW w:type="dxa" w:w="4824"/>
          </w:tcPr>
          <w:p>
            <w:r>
              <w:rPr>
                <w:rFonts w:ascii="Arial" w:hAnsi="Arial"/>
                <w:sz w:val="18"/>
              </w:rPr>
              <w:t>1.75</w:t>
            </w:r>
          </w:p>
        </w:tc>
      </w:tr>
      <w:tr>
        <w:tc>
          <w:tcPr>
            <w:tcW w:type="dxa" w:w="4824"/>
          </w:tcPr>
          <w:p>
            <w:r>
              <w:rPr>
                <w:rFonts w:ascii="Arial" w:hAnsi="Arial"/>
                <w:sz w:val="18"/>
              </w:rPr>
              <w:t>YearsCodePro</w:t>
            </w:r>
          </w:p>
        </w:tc>
        <w:tc>
          <w:tcPr>
            <w:tcW w:type="dxa" w:w="4824"/>
          </w:tcPr>
          <w:p>
            <w:r>
              <w:rPr>
                <w:rFonts w:ascii="Arial" w:hAnsi="Arial"/>
                <w:sz w:val="18"/>
              </w:rPr>
              <w:t>0.8</w:t>
            </w:r>
          </w:p>
        </w:tc>
      </w:tr>
      <w:tr>
        <w:tc>
          <w:tcPr>
            <w:tcW w:type="dxa" w:w="4824"/>
          </w:tcPr>
          <w:p>
            <w:r>
              <w:rPr>
                <w:rFonts w:ascii="Arial" w:hAnsi="Arial"/>
                <w:sz w:val="18"/>
              </w:rPr>
              <w:t>JobSat</w:t>
            </w:r>
          </w:p>
        </w:tc>
        <w:tc>
          <w:tcPr>
            <w:tcW w:type="dxa" w:w="4824"/>
          </w:tcPr>
          <w:p>
            <w:r>
              <w:rPr>
                <w:rFonts w:ascii="Arial" w:hAnsi="Arial"/>
                <w:sz w:val="18"/>
              </w:rPr>
              <w:t>0.43</w:t>
            </w:r>
          </w:p>
        </w:tc>
      </w:tr>
      <w:tr>
        <w:tc>
          <w:tcPr>
            <w:tcW w:type="dxa" w:w="4824"/>
          </w:tcPr>
          <w:p>
            <w:r>
              <w:rPr>
                <w:rFonts w:ascii="Arial" w:hAnsi="Arial"/>
                <w:sz w:val="18"/>
              </w:rPr>
              <w:t>JobSeek</w:t>
            </w:r>
          </w:p>
        </w:tc>
        <w:tc>
          <w:tcPr>
            <w:tcW w:type="dxa" w:w="4824"/>
          </w:tcPr>
          <w:p>
            <w:r>
              <w:rPr>
                <w:rFonts w:ascii="Arial" w:hAnsi="Arial"/>
                <w:sz w:val="18"/>
              </w:rPr>
              <w:t>0.0</w:t>
            </w:r>
          </w:p>
        </w:tc>
      </w:tr>
      <w:tr>
        <w:tc>
          <w:tcPr>
            <w:tcW w:type="dxa" w:w="4824"/>
          </w:tcPr>
          <w:p>
            <w:r>
              <w:rPr>
                <w:rFonts w:ascii="Arial" w:hAnsi="Arial"/>
                <w:sz w:val="18"/>
              </w:rPr>
              <w:t>Hobbyist</w:t>
            </w:r>
          </w:p>
        </w:tc>
        <w:tc>
          <w:tcPr>
            <w:tcW w:type="dxa" w:w="4824"/>
          </w:tcPr>
          <w:p>
            <w:r>
              <w:rPr>
                <w:rFonts w:ascii="Arial" w:hAnsi="Arial"/>
                <w:sz w:val="18"/>
              </w:rPr>
              <w:t>0.0</w:t>
            </w:r>
          </w:p>
        </w:tc>
      </w:tr>
    </w:tbl>
    <w:p>
      <w:r>
        <w:rPr>
          <w:rFonts w:ascii="Arial" w:hAnsi="Arial"/>
          <w:b w:val="0"/>
          <w:i w:val="0"/>
          <w:sz w:val="22"/>
        </w:rPr>
        <w:t>Final analysis sample: N = 8,000. Class distribution of the outcome: 67.6% job-seeking (actively looking or open), 32.4% not interested. Country composition: United States 4,250 (53.1%), India 1,122 (14.0%), United Kingdom 1,053 (13.2%), Germany 979 (12.2%), Canada 596 (7.5%).</w:t>
      </w:r>
    </w:p>
    <w:p>
      <w:pPr>
        <w:pStyle w:val="Heading1"/>
      </w:pPr>
      <w:r>
        <w:rPr>
          <w:rFonts w:ascii="Arial" w:hAnsi="Arial"/>
          <w:color w:val="000000"/>
          <w:sz w:val="28"/>
        </w:rPr>
        <w:t>3. Exploratory Analysis</w:t>
      </w:r>
    </w:p>
    <w:p>
      <w:r>
        <w:rPr>
          <w:rFonts w:ascii="Arial" w:hAnsi="Arial"/>
          <w:b w:val="0"/>
          <w:i w:val="0"/>
          <w:sz w:val="22"/>
        </w:rPr>
        <w:t>Table 1 summarizes the five numeric variables used in the MANOVA/PCA blocks (plus CodeRevHrs) by job-seeking status. Job-seekers report markedly lower job satisfaction (3.51 vs 4.48 on the 5-point scale), somewhat lower pay (median ~$73k vs ~$105k implied by mean logComp) and fewer years of professional experience, consistent with early/mid-career dissatisfaction being the dominant visible signal.</w:t>
      </w:r>
    </w:p>
    <w:p>
      <w:pPr>
        <w:jc w:val="center"/>
      </w:pPr>
      <w:r>
        <w:rPr>
          <w:rFonts w:ascii="Arial" w:hAnsi="Arial"/>
          <w:b/>
          <w:sz w:val="20"/>
        </w:rPr>
        <w:t>Table 2. Descriptive means of numeric variables by job-seeking status (N=8,000)</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rFonts w:ascii="Arial" w:hAnsi="Arial"/>
                <w:b/>
                <w:sz w:val="18"/>
              </w:rPr>
            </w:r>
          </w:p>
        </w:tc>
        <w:tc>
          <w:tcPr>
            <w:tcW w:type="dxa" w:w="3216"/>
          </w:tcPr>
          <w:p>
            <w:r>
              <w:rPr>
                <w:rFonts w:ascii="Arial" w:hAnsi="Arial"/>
                <w:b/>
                <w:sz w:val="18"/>
              </w:rPr>
              <w:t>Mean (Not interested)</w:t>
            </w:r>
          </w:p>
        </w:tc>
        <w:tc>
          <w:tcPr>
            <w:tcW w:type="dxa" w:w="3216"/>
          </w:tcPr>
          <w:p>
            <w:r>
              <w:rPr>
                <w:rFonts w:ascii="Arial" w:hAnsi="Arial"/>
                <w:b/>
                <w:sz w:val="18"/>
              </w:rPr>
              <w:t>Mean (Seeking/Open)</w:t>
            </w:r>
          </w:p>
        </w:tc>
      </w:tr>
      <w:tr>
        <w:tc>
          <w:tcPr>
            <w:tcW w:type="dxa" w:w="3216"/>
          </w:tcPr>
          <w:p>
            <w:r>
              <w:rPr>
                <w:rFonts w:ascii="Arial" w:hAnsi="Arial"/>
                <w:sz w:val="18"/>
              </w:rPr>
              <w:t>logComp</w:t>
            </w:r>
          </w:p>
        </w:tc>
        <w:tc>
          <w:tcPr>
            <w:tcW w:type="dxa" w:w="3216"/>
          </w:tcPr>
          <w:p>
            <w:r>
              <w:rPr>
                <w:rFonts w:ascii="Arial" w:hAnsi="Arial"/>
                <w:sz w:val="18"/>
              </w:rPr>
              <w:t>11.56</w:t>
            </w:r>
          </w:p>
        </w:tc>
        <w:tc>
          <w:tcPr>
            <w:tcW w:type="dxa" w:w="3216"/>
          </w:tcPr>
          <w:p>
            <w:r>
              <w:rPr>
                <w:rFonts w:ascii="Arial" w:hAnsi="Arial"/>
                <w:sz w:val="18"/>
              </w:rPr>
              <w:t>11.2</w:t>
            </w:r>
          </w:p>
        </w:tc>
      </w:tr>
      <w:tr>
        <w:tc>
          <w:tcPr>
            <w:tcW w:type="dxa" w:w="3216"/>
          </w:tcPr>
          <w:p>
            <w:r>
              <w:rPr>
                <w:rFonts w:ascii="Arial" w:hAnsi="Arial"/>
                <w:sz w:val="18"/>
              </w:rPr>
              <w:t>YearsCodePro</w:t>
            </w:r>
          </w:p>
        </w:tc>
        <w:tc>
          <w:tcPr>
            <w:tcW w:type="dxa" w:w="3216"/>
          </w:tcPr>
          <w:p>
            <w:r>
              <w:rPr>
                <w:rFonts w:ascii="Arial" w:hAnsi="Arial"/>
                <w:sz w:val="18"/>
              </w:rPr>
              <w:t>9.0</w:t>
            </w:r>
          </w:p>
        </w:tc>
        <w:tc>
          <w:tcPr>
            <w:tcW w:type="dxa" w:w="3216"/>
          </w:tcPr>
          <w:p>
            <w:r>
              <w:rPr>
                <w:rFonts w:ascii="Arial" w:hAnsi="Arial"/>
                <w:sz w:val="18"/>
              </w:rPr>
              <w:t>8.29</w:t>
            </w:r>
          </w:p>
        </w:tc>
      </w:tr>
      <w:tr>
        <w:tc>
          <w:tcPr>
            <w:tcW w:type="dxa" w:w="3216"/>
          </w:tcPr>
          <w:p>
            <w:r>
              <w:rPr>
                <w:rFonts w:ascii="Arial" w:hAnsi="Arial"/>
                <w:sz w:val="18"/>
              </w:rPr>
              <w:t>WorkWeekHrs</w:t>
            </w:r>
          </w:p>
        </w:tc>
        <w:tc>
          <w:tcPr>
            <w:tcW w:type="dxa" w:w="3216"/>
          </w:tcPr>
          <w:p>
            <w:r>
              <w:rPr>
                <w:rFonts w:ascii="Arial" w:hAnsi="Arial"/>
                <w:sz w:val="18"/>
              </w:rPr>
              <w:t>41.59</w:t>
            </w:r>
          </w:p>
        </w:tc>
        <w:tc>
          <w:tcPr>
            <w:tcW w:type="dxa" w:w="3216"/>
          </w:tcPr>
          <w:p>
            <w:r>
              <w:rPr>
                <w:rFonts w:ascii="Arial" w:hAnsi="Arial"/>
                <w:sz w:val="18"/>
              </w:rPr>
              <w:t>41.36</w:t>
            </w:r>
          </w:p>
        </w:tc>
      </w:tr>
      <w:tr>
        <w:tc>
          <w:tcPr>
            <w:tcW w:type="dxa" w:w="3216"/>
          </w:tcPr>
          <w:p>
            <w:r>
              <w:rPr>
                <w:rFonts w:ascii="Arial" w:hAnsi="Arial"/>
                <w:sz w:val="18"/>
              </w:rPr>
              <w:t>Age</w:t>
            </w:r>
          </w:p>
        </w:tc>
        <w:tc>
          <w:tcPr>
            <w:tcW w:type="dxa" w:w="3216"/>
          </w:tcPr>
          <w:p>
            <w:r>
              <w:rPr>
                <w:rFonts w:ascii="Arial" w:hAnsi="Arial"/>
                <w:sz w:val="18"/>
              </w:rPr>
              <w:t>32.17</w:t>
            </w:r>
          </w:p>
        </w:tc>
        <w:tc>
          <w:tcPr>
            <w:tcW w:type="dxa" w:w="3216"/>
          </w:tcPr>
          <w:p>
            <w:r>
              <w:rPr>
                <w:rFonts w:ascii="Arial" w:hAnsi="Arial"/>
                <w:sz w:val="18"/>
              </w:rPr>
              <w:t>31.69</w:t>
            </w:r>
          </w:p>
        </w:tc>
      </w:tr>
      <w:tr>
        <w:tc>
          <w:tcPr>
            <w:tcW w:type="dxa" w:w="3216"/>
          </w:tcPr>
          <w:p>
            <w:r>
              <w:rPr>
                <w:rFonts w:ascii="Arial" w:hAnsi="Arial"/>
                <w:sz w:val="18"/>
              </w:rPr>
              <w:t>JobSat_num</w:t>
            </w:r>
          </w:p>
        </w:tc>
        <w:tc>
          <w:tcPr>
            <w:tcW w:type="dxa" w:w="3216"/>
          </w:tcPr>
          <w:p>
            <w:r>
              <w:rPr>
                <w:rFonts w:ascii="Arial" w:hAnsi="Arial"/>
                <w:sz w:val="18"/>
              </w:rPr>
              <w:t>4.48</w:t>
            </w:r>
          </w:p>
        </w:tc>
        <w:tc>
          <w:tcPr>
            <w:tcW w:type="dxa" w:w="3216"/>
          </w:tcPr>
          <w:p>
            <w:r>
              <w:rPr>
                <w:rFonts w:ascii="Arial" w:hAnsi="Arial"/>
                <w:sz w:val="18"/>
              </w:rPr>
              <w:t>3.51</w:t>
            </w:r>
          </w:p>
        </w:tc>
      </w:tr>
      <w:tr>
        <w:tc>
          <w:tcPr>
            <w:tcW w:type="dxa" w:w="3216"/>
          </w:tcPr>
          <w:p>
            <w:r>
              <w:rPr>
                <w:rFonts w:ascii="Arial" w:hAnsi="Arial"/>
                <w:sz w:val="18"/>
              </w:rPr>
              <w:t>CodeRevHrs</w:t>
            </w:r>
          </w:p>
        </w:tc>
        <w:tc>
          <w:tcPr>
            <w:tcW w:type="dxa" w:w="3216"/>
          </w:tcPr>
          <w:p>
            <w:r>
              <w:rPr>
                <w:rFonts w:ascii="Arial" w:hAnsi="Arial"/>
                <w:sz w:val="18"/>
              </w:rPr>
              <w:t>4.35</w:t>
            </w:r>
          </w:p>
        </w:tc>
        <w:tc>
          <w:tcPr>
            <w:tcW w:type="dxa" w:w="3216"/>
          </w:tcPr>
          <w:p>
            <w:r>
              <w:rPr>
                <w:rFonts w:ascii="Arial" w:hAnsi="Arial"/>
                <w:sz w:val="18"/>
              </w:rPr>
              <w:t>4.71</w:t>
            </w:r>
          </w:p>
        </w:tc>
      </w:tr>
    </w:tbl>
    <w:p>
      <w:r>
        <w:rPr>
          <w:rFonts w:ascii="Arial" w:hAnsi="Arial"/>
          <w:b w:val="0"/>
          <w:i w:val="0"/>
          <w:sz w:val="22"/>
        </w:rPr>
        <w:t>Table 1b (correlation matrix) motivates the PCA in Section 5: YearsCodePro and Age are very strongly correlated (r=0.86), as expected (career tenure tracks age), while logComp correlates moderately with both (r~0.26-0.27). JobSat and CodeRevHrs are nearly orthogonal to the seniority/earnings block, suggesting at least two to three independent dimensions in the data.</w:t>
      </w:r>
    </w:p>
    <w:p>
      <w:pPr>
        <w:jc w:val="center"/>
      </w:pPr>
      <w:r>
        <w:rPr>
          <w:rFonts w:ascii="Arial" w:hAnsi="Arial"/>
          <w:b/>
          <w:sz w:val="20"/>
        </w:rPr>
        <w:t>Table 3. Correlation matrix of the numeric block (N=8,000)</w:t>
      </w:r>
    </w:p>
    <w:tbl>
      <w:tblPr>
        <w:tblStyle w:val="LightGrid-Accent1"/>
        <w:tblW w:type="auto" w:w="0"/>
        <w:tblLook w:firstColumn="1" w:firstRow="1" w:lastColumn="0" w:lastRow="0" w:noHBand="0" w:noVBand="1" w:val="04A0"/>
      </w:tblPr>
      <w:tblGrid>
        <w:gridCol w:w="1378"/>
        <w:gridCol w:w="1378"/>
        <w:gridCol w:w="1378"/>
        <w:gridCol w:w="1378"/>
        <w:gridCol w:w="1378"/>
        <w:gridCol w:w="1378"/>
        <w:gridCol w:w="1378"/>
      </w:tblGrid>
      <w:tr>
        <w:tc>
          <w:tcPr>
            <w:tcW w:type="dxa" w:w="1378"/>
          </w:tcPr>
          <w:p>
            <w:r>
              <w:rPr>
                <w:rFonts w:ascii="Arial" w:hAnsi="Arial"/>
                <w:b/>
                <w:sz w:val="18"/>
              </w:rPr>
            </w:r>
          </w:p>
        </w:tc>
        <w:tc>
          <w:tcPr>
            <w:tcW w:type="dxa" w:w="1378"/>
          </w:tcPr>
          <w:p>
            <w:r>
              <w:rPr>
                <w:rFonts w:ascii="Arial" w:hAnsi="Arial"/>
                <w:b/>
                <w:sz w:val="18"/>
              </w:rPr>
              <w:t>logComp</w:t>
            </w:r>
          </w:p>
        </w:tc>
        <w:tc>
          <w:tcPr>
            <w:tcW w:type="dxa" w:w="1378"/>
          </w:tcPr>
          <w:p>
            <w:r>
              <w:rPr>
                <w:rFonts w:ascii="Arial" w:hAnsi="Arial"/>
                <w:b/>
                <w:sz w:val="18"/>
              </w:rPr>
              <w:t>YearsCodePro</w:t>
            </w:r>
          </w:p>
        </w:tc>
        <w:tc>
          <w:tcPr>
            <w:tcW w:type="dxa" w:w="1378"/>
          </w:tcPr>
          <w:p>
            <w:r>
              <w:rPr>
                <w:rFonts w:ascii="Arial" w:hAnsi="Arial"/>
                <w:b/>
                <w:sz w:val="18"/>
              </w:rPr>
              <w:t>WorkWeekHrs</w:t>
            </w:r>
          </w:p>
        </w:tc>
        <w:tc>
          <w:tcPr>
            <w:tcW w:type="dxa" w:w="1378"/>
          </w:tcPr>
          <w:p>
            <w:r>
              <w:rPr>
                <w:rFonts w:ascii="Arial" w:hAnsi="Arial"/>
                <w:b/>
                <w:sz w:val="18"/>
              </w:rPr>
              <w:t>Age</w:t>
            </w:r>
          </w:p>
        </w:tc>
        <w:tc>
          <w:tcPr>
            <w:tcW w:type="dxa" w:w="1378"/>
          </w:tcPr>
          <w:p>
            <w:r>
              <w:rPr>
                <w:rFonts w:ascii="Arial" w:hAnsi="Arial"/>
                <w:b/>
                <w:sz w:val="18"/>
              </w:rPr>
              <w:t>JobSat_num</w:t>
            </w:r>
          </w:p>
        </w:tc>
        <w:tc>
          <w:tcPr>
            <w:tcW w:type="dxa" w:w="1378"/>
          </w:tcPr>
          <w:p>
            <w:r>
              <w:rPr>
                <w:rFonts w:ascii="Arial" w:hAnsi="Arial"/>
                <w:b/>
                <w:sz w:val="18"/>
              </w:rPr>
              <w:t>CodeRevHrs</w:t>
            </w:r>
          </w:p>
        </w:tc>
      </w:tr>
      <w:tr>
        <w:tc>
          <w:tcPr>
            <w:tcW w:type="dxa" w:w="1378"/>
          </w:tcPr>
          <w:p>
            <w:r>
              <w:rPr>
                <w:rFonts w:ascii="Arial" w:hAnsi="Arial"/>
                <w:sz w:val="18"/>
              </w:rPr>
              <w:t>logComp</w:t>
            </w:r>
          </w:p>
        </w:tc>
        <w:tc>
          <w:tcPr>
            <w:tcW w:type="dxa" w:w="1378"/>
          </w:tcPr>
          <w:p>
            <w:r>
              <w:rPr>
                <w:rFonts w:ascii="Arial" w:hAnsi="Arial"/>
                <w:sz w:val="18"/>
              </w:rPr>
              <w:t>1.0</w:t>
            </w:r>
          </w:p>
        </w:tc>
        <w:tc>
          <w:tcPr>
            <w:tcW w:type="dxa" w:w="1378"/>
          </w:tcPr>
          <w:p>
            <w:r>
              <w:rPr>
                <w:rFonts w:ascii="Arial" w:hAnsi="Arial"/>
                <w:sz w:val="18"/>
              </w:rPr>
              <w:t>0.261</w:t>
            </w:r>
          </w:p>
        </w:tc>
        <w:tc>
          <w:tcPr>
            <w:tcW w:type="dxa" w:w="1378"/>
          </w:tcPr>
          <w:p>
            <w:r>
              <w:rPr>
                <w:rFonts w:ascii="Arial" w:hAnsi="Arial"/>
                <w:sz w:val="18"/>
              </w:rPr>
              <w:t>0.075</w:t>
            </w:r>
          </w:p>
        </w:tc>
        <w:tc>
          <w:tcPr>
            <w:tcW w:type="dxa" w:w="1378"/>
          </w:tcPr>
          <w:p>
            <w:r>
              <w:rPr>
                <w:rFonts w:ascii="Arial" w:hAnsi="Arial"/>
                <w:sz w:val="18"/>
              </w:rPr>
              <w:t>0.273</w:t>
            </w:r>
          </w:p>
        </w:tc>
        <w:tc>
          <w:tcPr>
            <w:tcW w:type="dxa" w:w="1378"/>
          </w:tcPr>
          <w:p>
            <w:r>
              <w:rPr>
                <w:rFonts w:ascii="Arial" w:hAnsi="Arial"/>
                <w:sz w:val="18"/>
              </w:rPr>
              <w:t>0.109</w:t>
            </w:r>
          </w:p>
        </w:tc>
        <w:tc>
          <w:tcPr>
            <w:tcW w:type="dxa" w:w="1378"/>
          </w:tcPr>
          <w:p>
            <w:r>
              <w:rPr>
                <w:rFonts w:ascii="Arial" w:hAnsi="Arial"/>
                <w:sz w:val="18"/>
              </w:rPr>
              <w:t>-0.114</w:t>
            </w:r>
          </w:p>
        </w:tc>
      </w:tr>
      <w:tr>
        <w:tc>
          <w:tcPr>
            <w:tcW w:type="dxa" w:w="1378"/>
          </w:tcPr>
          <w:p>
            <w:r>
              <w:rPr>
                <w:rFonts w:ascii="Arial" w:hAnsi="Arial"/>
                <w:sz w:val="18"/>
              </w:rPr>
              <w:t>YearsCodePro</w:t>
            </w:r>
          </w:p>
        </w:tc>
        <w:tc>
          <w:tcPr>
            <w:tcW w:type="dxa" w:w="1378"/>
          </w:tcPr>
          <w:p>
            <w:r>
              <w:rPr>
                <w:rFonts w:ascii="Arial" w:hAnsi="Arial"/>
                <w:sz w:val="18"/>
              </w:rPr>
              <w:t>0.261</w:t>
            </w:r>
          </w:p>
        </w:tc>
        <w:tc>
          <w:tcPr>
            <w:tcW w:type="dxa" w:w="1378"/>
          </w:tcPr>
          <w:p>
            <w:r>
              <w:rPr>
                <w:rFonts w:ascii="Arial" w:hAnsi="Arial"/>
                <w:sz w:val="18"/>
              </w:rPr>
              <w:t>1.0</w:t>
            </w:r>
          </w:p>
        </w:tc>
        <w:tc>
          <w:tcPr>
            <w:tcW w:type="dxa" w:w="1378"/>
          </w:tcPr>
          <w:p>
            <w:r>
              <w:rPr>
                <w:rFonts w:ascii="Arial" w:hAnsi="Arial"/>
                <w:sz w:val="18"/>
              </w:rPr>
              <w:t>0.08</w:t>
            </w:r>
          </w:p>
        </w:tc>
        <w:tc>
          <w:tcPr>
            <w:tcW w:type="dxa" w:w="1378"/>
          </w:tcPr>
          <w:p>
            <w:r>
              <w:rPr>
                <w:rFonts w:ascii="Arial" w:hAnsi="Arial"/>
                <w:sz w:val="18"/>
              </w:rPr>
              <w:t>0.859</w:t>
            </w:r>
          </w:p>
        </w:tc>
        <w:tc>
          <w:tcPr>
            <w:tcW w:type="dxa" w:w="1378"/>
          </w:tcPr>
          <w:p>
            <w:r>
              <w:rPr>
                <w:rFonts w:ascii="Arial" w:hAnsi="Arial"/>
                <w:sz w:val="18"/>
              </w:rPr>
              <w:t>0.003</w:t>
            </w:r>
          </w:p>
        </w:tc>
        <w:tc>
          <w:tcPr>
            <w:tcW w:type="dxa" w:w="1378"/>
          </w:tcPr>
          <w:p>
            <w:r>
              <w:rPr>
                <w:rFonts w:ascii="Arial" w:hAnsi="Arial"/>
                <w:sz w:val="18"/>
              </w:rPr>
              <w:t>0.01</w:t>
            </w:r>
          </w:p>
        </w:tc>
      </w:tr>
      <w:tr>
        <w:tc>
          <w:tcPr>
            <w:tcW w:type="dxa" w:w="1378"/>
          </w:tcPr>
          <w:p>
            <w:r>
              <w:rPr>
                <w:rFonts w:ascii="Arial" w:hAnsi="Arial"/>
                <w:sz w:val="18"/>
              </w:rPr>
              <w:t>WorkWeekHrs</w:t>
            </w:r>
          </w:p>
        </w:tc>
        <w:tc>
          <w:tcPr>
            <w:tcW w:type="dxa" w:w="1378"/>
          </w:tcPr>
          <w:p>
            <w:r>
              <w:rPr>
                <w:rFonts w:ascii="Arial" w:hAnsi="Arial"/>
                <w:sz w:val="18"/>
              </w:rPr>
              <w:t>0.075</w:t>
            </w:r>
          </w:p>
        </w:tc>
        <w:tc>
          <w:tcPr>
            <w:tcW w:type="dxa" w:w="1378"/>
          </w:tcPr>
          <w:p>
            <w:r>
              <w:rPr>
                <w:rFonts w:ascii="Arial" w:hAnsi="Arial"/>
                <w:sz w:val="18"/>
              </w:rPr>
              <w:t>0.08</w:t>
            </w:r>
          </w:p>
        </w:tc>
        <w:tc>
          <w:tcPr>
            <w:tcW w:type="dxa" w:w="1378"/>
          </w:tcPr>
          <w:p>
            <w:r>
              <w:rPr>
                <w:rFonts w:ascii="Arial" w:hAnsi="Arial"/>
                <w:sz w:val="18"/>
              </w:rPr>
              <w:t>1.0</w:t>
            </w:r>
          </w:p>
        </w:tc>
        <w:tc>
          <w:tcPr>
            <w:tcW w:type="dxa" w:w="1378"/>
          </w:tcPr>
          <w:p>
            <w:r>
              <w:rPr>
                <w:rFonts w:ascii="Arial" w:hAnsi="Arial"/>
                <w:sz w:val="18"/>
              </w:rPr>
              <w:t>0.069</w:t>
            </w:r>
          </w:p>
        </w:tc>
        <w:tc>
          <w:tcPr>
            <w:tcW w:type="dxa" w:w="1378"/>
          </w:tcPr>
          <w:p>
            <w:r>
              <w:rPr>
                <w:rFonts w:ascii="Arial" w:hAnsi="Arial"/>
                <w:sz w:val="18"/>
              </w:rPr>
              <w:t>-0.006</w:t>
            </w:r>
          </w:p>
        </w:tc>
        <w:tc>
          <w:tcPr>
            <w:tcW w:type="dxa" w:w="1378"/>
          </w:tcPr>
          <w:p>
            <w:r>
              <w:rPr>
                <w:rFonts w:ascii="Arial" w:hAnsi="Arial"/>
                <w:sz w:val="18"/>
              </w:rPr>
              <w:t>0.113</w:t>
            </w:r>
          </w:p>
        </w:tc>
      </w:tr>
      <w:tr>
        <w:tc>
          <w:tcPr>
            <w:tcW w:type="dxa" w:w="1378"/>
          </w:tcPr>
          <w:p>
            <w:r>
              <w:rPr>
                <w:rFonts w:ascii="Arial" w:hAnsi="Arial"/>
                <w:sz w:val="18"/>
              </w:rPr>
              <w:t>Age</w:t>
            </w:r>
          </w:p>
        </w:tc>
        <w:tc>
          <w:tcPr>
            <w:tcW w:type="dxa" w:w="1378"/>
          </w:tcPr>
          <w:p>
            <w:r>
              <w:rPr>
                <w:rFonts w:ascii="Arial" w:hAnsi="Arial"/>
                <w:sz w:val="18"/>
              </w:rPr>
              <w:t>0.273</w:t>
            </w:r>
          </w:p>
        </w:tc>
        <w:tc>
          <w:tcPr>
            <w:tcW w:type="dxa" w:w="1378"/>
          </w:tcPr>
          <w:p>
            <w:r>
              <w:rPr>
                <w:rFonts w:ascii="Arial" w:hAnsi="Arial"/>
                <w:sz w:val="18"/>
              </w:rPr>
              <w:t>0.859</w:t>
            </w:r>
          </w:p>
        </w:tc>
        <w:tc>
          <w:tcPr>
            <w:tcW w:type="dxa" w:w="1378"/>
          </w:tcPr>
          <w:p>
            <w:r>
              <w:rPr>
                <w:rFonts w:ascii="Arial" w:hAnsi="Arial"/>
                <w:sz w:val="18"/>
              </w:rPr>
              <w:t>0.069</w:t>
            </w:r>
          </w:p>
        </w:tc>
        <w:tc>
          <w:tcPr>
            <w:tcW w:type="dxa" w:w="1378"/>
          </w:tcPr>
          <w:p>
            <w:r>
              <w:rPr>
                <w:rFonts w:ascii="Arial" w:hAnsi="Arial"/>
                <w:sz w:val="18"/>
              </w:rPr>
              <w:t>1.0</w:t>
            </w:r>
          </w:p>
        </w:tc>
        <w:tc>
          <w:tcPr>
            <w:tcW w:type="dxa" w:w="1378"/>
          </w:tcPr>
          <w:p>
            <w:r>
              <w:rPr>
                <w:rFonts w:ascii="Arial" w:hAnsi="Arial"/>
                <w:sz w:val="18"/>
              </w:rPr>
              <w:t>-0.002</w:t>
            </w:r>
          </w:p>
        </w:tc>
        <w:tc>
          <w:tcPr>
            <w:tcW w:type="dxa" w:w="1378"/>
          </w:tcPr>
          <w:p>
            <w:r>
              <w:rPr>
                <w:rFonts w:ascii="Arial" w:hAnsi="Arial"/>
                <w:sz w:val="18"/>
              </w:rPr>
              <w:t>-0.017</w:t>
            </w:r>
          </w:p>
        </w:tc>
      </w:tr>
      <w:tr>
        <w:tc>
          <w:tcPr>
            <w:tcW w:type="dxa" w:w="1378"/>
          </w:tcPr>
          <w:p>
            <w:r>
              <w:rPr>
                <w:rFonts w:ascii="Arial" w:hAnsi="Arial"/>
                <w:sz w:val="18"/>
              </w:rPr>
              <w:t>JobSat_num</w:t>
            </w:r>
          </w:p>
        </w:tc>
        <w:tc>
          <w:tcPr>
            <w:tcW w:type="dxa" w:w="1378"/>
          </w:tcPr>
          <w:p>
            <w:r>
              <w:rPr>
                <w:rFonts w:ascii="Arial" w:hAnsi="Arial"/>
                <w:sz w:val="18"/>
              </w:rPr>
              <w:t>0.109</w:t>
            </w:r>
          </w:p>
        </w:tc>
        <w:tc>
          <w:tcPr>
            <w:tcW w:type="dxa" w:w="1378"/>
          </w:tcPr>
          <w:p>
            <w:r>
              <w:rPr>
                <w:rFonts w:ascii="Arial" w:hAnsi="Arial"/>
                <w:sz w:val="18"/>
              </w:rPr>
              <w:t>0.003</w:t>
            </w:r>
          </w:p>
        </w:tc>
        <w:tc>
          <w:tcPr>
            <w:tcW w:type="dxa" w:w="1378"/>
          </w:tcPr>
          <w:p>
            <w:r>
              <w:rPr>
                <w:rFonts w:ascii="Arial" w:hAnsi="Arial"/>
                <w:sz w:val="18"/>
              </w:rPr>
              <w:t>-0.006</w:t>
            </w:r>
          </w:p>
        </w:tc>
        <w:tc>
          <w:tcPr>
            <w:tcW w:type="dxa" w:w="1378"/>
          </w:tcPr>
          <w:p>
            <w:r>
              <w:rPr>
                <w:rFonts w:ascii="Arial" w:hAnsi="Arial"/>
                <w:sz w:val="18"/>
              </w:rPr>
              <w:t>-0.002</w:t>
            </w:r>
          </w:p>
        </w:tc>
        <w:tc>
          <w:tcPr>
            <w:tcW w:type="dxa" w:w="1378"/>
          </w:tcPr>
          <w:p>
            <w:r>
              <w:rPr>
                <w:rFonts w:ascii="Arial" w:hAnsi="Arial"/>
                <w:sz w:val="18"/>
              </w:rPr>
              <w:t>1.0</w:t>
            </w:r>
          </w:p>
        </w:tc>
        <w:tc>
          <w:tcPr>
            <w:tcW w:type="dxa" w:w="1378"/>
          </w:tcPr>
          <w:p>
            <w:r>
              <w:rPr>
                <w:rFonts w:ascii="Arial" w:hAnsi="Arial"/>
                <w:sz w:val="18"/>
              </w:rPr>
              <w:t>-0.023</w:t>
            </w:r>
          </w:p>
        </w:tc>
      </w:tr>
      <w:tr>
        <w:tc>
          <w:tcPr>
            <w:tcW w:type="dxa" w:w="1378"/>
          </w:tcPr>
          <w:p>
            <w:r>
              <w:rPr>
                <w:rFonts w:ascii="Arial" w:hAnsi="Arial"/>
                <w:sz w:val="18"/>
              </w:rPr>
              <w:t>CodeRevHrs</w:t>
            </w:r>
          </w:p>
        </w:tc>
        <w:tc>
          <w:tcPr>
            <w:tcW w:type="dxa" w:w="1378"/>
          </w:tcPr>
          <w:p>
            <w:r>
              <w:rPr>
                <w:rFonts w:ascii="Arial" w:hAnsi="Arial"/>
                <w:sz w:val="18"/>
              </w:rPr>
              <w:t>-0.114</w:t>
            </w:r>
          </w:p>
        </w:tc>
        <w:tc>
          <w:tcPr>
            <w:tcW w:type="dxa" w:w="1378"/>
          </w:tcPr>
          <w:p>
            <w:r>
              <w:rPr>
                <w:rFonts w:ascii="Arial" w:hAnsi="Arial"/>
                <w:sz w:val="18"/>
              </w:rPr>
              <w:t>0.01</w:t>
            </w:r>
          </w:p>
        </w:tc>
        <w:tc>
          <w:tcPr>
            <w:tcW w:type="dxa" w:w="1378"/>
          </w:tcPr>
          <w:p>
            <w:r>
              <w:rPr>
                <w:rFonts w:ascii="Arial" w:hAnsi="Arial"/>
                <w:sz w:val="18"/>
              </w:rPr>
              <w:t>0.113</w:t>
            </w:r>
          </w:p>
        </w:tc>
        <w:tc>
          <w:tcPr>
            <w:tcW w:type="dxa" w:w="1378"/>
          </w:tcPr>
          <w:p>
            <w:r>
              <w:rPr>
                <w:rFonts w:ascii="Arial" w:hAnsi="Arial"/>
                <w:sz w:val="18"/>
              </w:rPr>
              <w:t>-0.017</w:t>
            </w:r>
          </w:p>
        </w:tc>
        <w:tc>
          <w:tcPr>
            <w:tcW w:type="dxa" w:w="1378"/>
          </w:tcPr>
          <w:p>
            <w:r>
              <w:rPr>
                <w:rFonts w:ascii="Arial" w:hAnsi="Arial"/>
                <w:sz w:val="18"/>
              </w:rPr>
              <w:t>-0.023</w:t>
            </w:r>
          </w:p>
        </w:tc>
        <w:tc>
          <w:tcPr>
            <w:tcW w:type="dxa" w:w="1378"/>
          </w:tcPr>
          <w:p>
            <w:r>
              <w:rPr>
                <w:rFonts w:ascii="Arial" w:hAnsi="Arial"/>
                <w:sz w:val="18"/>
              </w:rPr>
              <w:t>1.0</w:t>
            </w:r>
          </w:p>
        </w:tc>
      </w:tr>
    </w:tbl>
    <w:p>
      <w:pPr>
        <w:pStyle w:val="Heading1"/>
      </w:pPr>
      <w:r>
        <w:rPr>
          <w:rFonts w:ascii="Arial" w:hAnsi="Arial"/>
          <w:color w:val="000000"/>
          <w:sz w:val="28"/>
        </w:rPr>
        <w:t>4. MANOVA Results</w:t>
      </w:r>
    </w:p>
    <w:p>
      <w:pPr>
        <w:pStyle w:val="Heading2"/>
      </w:pPr>
      <w:r>
        <w:rPr>
          <w:rFonts w:ascii="Arial" w:hAnsi="Arial"/>
          <w:color w:val="000000"/>
          <w:sz w:val="24"/>
        </w:rPr>
        <w:t>4.1 One-way MANOVA: DVs ~ JobSeek</w:t>
      </w:r>
    </w:p>
    <w:p>
      <w:r>
        <w:rPr>
          <w:rFonts w:ascii="Arial" w:hAnsi="Arial"/>
          <w:b w:val="0"/>
          <w:i w:val="0"/>
          <w:sz w:val="22"/>
        </w:rPr>
        <w:t>DVs = [logComp, YearsCodePro, WorkWeekHrs, Age, JobSat]; factor = JobSeek (seeking/open vs. not interested).</w:t>
      </w:r>
    </w:p>
    <w:p>
      <w:pPr>
        <w:jc w:val="center"/>
      </w:pPr>
      <w:r>
        <w:rPr>
          <w:rFonts w:ascii="Arial" w:hAnsi="Arial"/>
          <w:b/>
          <w:sz w:val="20"/>
        </w:rPr>
        <w:t>Table 4. One-way MANOVA: JobSeek effect on the 5-variable profile</w:t>
      </w:r>
    </w:p>
    <w:tbl>
      <w:tblPr>
        <w:tblStyle w:val="LightGrid-Accent1"/>
        <w:tblW w:type="auto" w:w="0"/>
        <w:tblLook w:firstColumn="1" w:firstRow="1" w:lastColumn="0" w:lastRow="0" w:noHBand="0" w:noVBand="1" w:val="04A0"/>
      </w:tblPr>
      <w:tblGrid>
        <w:gridCol w:w="1608"/>
        <w:gridCol w:w="1608"/>
        <w:gridCol w:w="1608"/>
        <w:gridCol w:w="1608"/>
        <w:gridCol w:w="1608"/>
        <w:gridCol w:w="1608"/>
      </w:tblGrid>
      <w:tr>
        <w:tc>
          <w:tcPr>
            <w:tcW w:type="dxa" w:w="1608"/>
          </w:tcPr>
          <w:p>
            <w:r>
              <w:rPr>
                <w:rFonts w:ascii="Arial" w:hAnsi="Arial"/>
                <w:b/>
                <w:sz w:val="18"/>
              </w:rPr>
              <w:t>Statistic</w:t>
            </w:r>
          </w:p>
        </w:tc>
        <w:tc>
          <w:tcPr>
            <w:tcW w:type="dxa" w:w="1608"/>
          </w:tcPr>
          <w:p>
            <w:r>
              <w:rPr>
                <w:rFonts w:ascii="Arial" w:hAnsi="Arial"/>
                <w:b/>
                <w:sz w:val="18"/>
              </w:rPr>
              <w:t>Value</w:t>
            </w:r>
          </w:p>
        </w:tc>
        <w:tc>
          <w:tcPr>
            <w:tcW w:type="dxa" w:w="1608"/>
          </w:tcPr>
          <w:p>
            <w:r>
              <w:rPr>
                <w:rFonts w:ascii="Arial" w:hAnsi="Arial"/>
                <w:b/>
                <w:sz w:val="18"/>
              </w:rPr>
              <w:t>F</w:t>
            </w:r>
          </w:p>
        </w:tc>
        <w:tc>
          <w:tcPr>
            <w:tcW w:type="dxa" w:w="1608"/>
          </w:tcPr>
          <w:p>
            <w:r>
              <w:rPr>
                <w:rFonts w:ascii="Arial" w:hAnsi="Arial"/>
                <w:b/>
                <w:sz w:val="18"/>
              </w:rPr>
              <w:t>Num DF</w:t>
            </w:r>
          </w:p>
        </w:tc>
        <w:tc>
          <w:tcPr>
            <w:tcW w:type="dxa" w:w="1608"/>
          </w:tcPr>
          <w:p>
            <w:r>
              <w:rPr>
                <w:rFonts w:ascii="Arial" w:hAnsi="Arial"/>
                <w:b/>
                <w:sz w:val="18"/>
              </w:rPr>
              <w:t>Den DF</w:t>
            </w:r>
          </w:p>
        </w:tc>
        <w:tc>
          <w:tcPr>
            <w:tcW w:type="dxa" w:w="1608"/>
          </w:tcPr>
          <w:p>
            <w:r>
              <w:rPr>
                <w:rFonts w:ascii="Arial" w:hAnsi="Arial"/>
                <w:b/>
                <w:sz w:val="18"/>
              </w:rPr>
              <w:t>p</w:t>
            </w:r>
          </w:p>
        </w:tc>
      </w:tr>
      <w:tr>
        <w:tc>
          <w:tcPr>
            <w:tcW w:type="dxa" w:w="1608"/>
          </w:tcPr>
          <w:p>
            <w:r>
              <w:rPr>
                <w:rFonts w:ascii="Arial" w:hAnsi="Arial"/>
                <w:sz w:val="18"/>
              </w:rPr>
              <w:t>Wilks' Lambda</w:t>
            </w:r>
          </w:p>
        </w:tc>
        <w:tc>
          <w:tcPr>
            <w:tcW w:type="dxa" w:w="1608"/>
          </w:tcPr>
          <w:p>
            <w:r>
              <w:rPr>
                <w:rFonts w:ascii="Arial" w:hAnsi="Arial"/>
                <w:sz w:val="18"/>
              </w:rPr>
              <w:t>0.8562</w:t>
            </w:r>
          </w:p>
        </w:tc>
        <w:tc>
          <w:tcPr>
            <w:tcW w:type="dxa" w:w="1608"/>
          </w:tcPr>
          <w:p>
            <w:r>
              <w:rPr>
                <w:rFonts w:ascii="Arial" w:hAnsi="Arial"/>
                <w:sz w:val="18"/>
              </w:rPr>
              <w:t>268.49</w:t>
            </w:r>
          </w:p>
        </w:tc>
        <w:tc>
          <w:tcPr>
            <w:tcW w:type="dxa" w:w="1608"/>
          </w:tcPr>
          <w:p>
            <w:r>
              <w:rPr>
                <w:rFonts w:ascii="Arial" w:hAnsi="Arial"/>
                <w:sz w:val="18"/>
              </w:rPr>
              <w:t>5</w:t>
            </w:r>
          </w:p>
        </w:tc>
        <w:tc>
          <w:tcPr>
            <w:tcW w:type="dxa" w:w="1608"/>
          </w:tcPr>
          <w:p>
            <w:r>
              <w:rPr>
                <w:rFonts w:ascii="Arial" w:hAnsi="Arial"/>
                <w:sz w:val="18"/>
              </w:rPr>
              <w:t>7994</w:t>
            </w:r>
          </w:p>
        </w:tc>
        <w:tc>
          <w:tcPr>
            <w:tcW w:type="dxa" w:w="1608"/>
          </w:tcPr>
          <w:p>
            <w:r>
              <w:rPr>
                <w:rFonts w:ascii="Arial" w:hAnsi="Arial"/>
                <w:sz w:val="18"/>
              </w:rPr>
              <w:t>&lt;.0001</w:t>
            </w:r>
          </w:p>
        </w:tc>
      </w:tr>
      <w:tr>
        <w:tc>
          <w:tcPr>
            <w:tcW w:type="dxa" w:w="1608"/>
          </w:tcPr>
          <w:p>
            <w:r>
              <w:rPr>
                <w:rFonts w:ascii="Arial" w:hAnsi="Arial"/>
                <w:sz w:val="18"/>
              </w:rPr>
              <w:t>Pillai's Trace</w:t>
            </w:r>
          </w:p>
        </w:tc>
        <w:tc>
          <w:tcPr>
            <w:tcW w:type="dxa" w:w="1608"/>
          </w:tcPr>
          <w:p>
            <w:r>
              <w:rPr>
                <w:rFonts w:ascii="Arial" w:hAnsi="Arial"/>
                <w:sz w:val="18"/>
              </w:rPr>
              <w:t>0.1438</w:t>
            </w:r>
          </w:p>
        </w:tc>
        <w:tc>
          <w:tcPr>
            <w:tcW w:type="dxa" w:w="1608"/>
          </w:tcPr>
          <w:p>
            <w:r>
              <w:rPr>
                <w:rFonts w:ascii="Arial" w:hAnsi="Arial"/>
                <w:sz w:val="18"/>
              </w:rPr>
              <w:t>268.49</w:t>
            </w:r>
          </w:p>
        </w:tc>
        <w:tc>
          <w:tcPr>
            <w:tcW w:type="dxa" w:w="1608"/>
          </w:tcPr>
          <w:p>
            <w:r>
              <w:rPr>
                <w:rFonts w:ascii="Arial" w:hAnsi="Arial"/>
                <w:sz w:val="18"/>
              </w:rPr>
              <w:t>5</w:t>
            </w:r>
          </w:p>
        </w:tc>
        <w:tc>
          <w:tcPr>
            <w:tcW w:type="dxa" w:w="1608"/>
          </w:tcPr>
          <w:p>
            <w:r>
              <w:rPr>
                <w:rFonts w:ascii="Arial" w:hAnsi="Arial"/>
                <w:sz w:val="18"/>
              </w:rPr>
              <w:t>7994</w:t>
            </w:r>
          </w:p>
        </w:tc>
        <w:tc>
          <w:tcPr>
            <w:tcW w:type="dxa" w:w="1608"/>
          </w:tcPr>
          <w:p>
            <w:r>
              <w:rPr>
                <w:rFonts w:ascii="Arial" w:hAnsi="Arial"/>
                <w:sz w:val="18"/>
              </w:rPr>
              <w:t>&lt;.0001</w:t>
            </w:r>
          </w:p>
        </w:tc>
      </w:tr>
      <w:tr>
        <w:tc>
          <w:tcPr>
            <w:tcW w:type="dxa" w:w="1608"/>
          </w:tcPr>
          <w:p>
            <w:r>
              <w:rPr>
                <w:rFonts w:ascii="Arial" w:hAnsi="Arial"/>
                <w:sz w:val="18"/>
              </w:rPr>
              <w:t>Hotelling-Lawley Trace</w:t>
            </w:r>
          </w:p>
        </w:tc>
        <w:tc>
          <w:tcPr>
            <w:tcW w:type="dxa" w:w="1608"/>
          </w:tcPr>
          <w:p>
            <w:r>
              <w:rPr>
                <w:rFonts w:ascii="Arial" w:hAnsi="Arial"/>
                <w:sz w:val="18"/>
              </w:rPr>
              <w:t>0.1679</w:t>
            </w:r>
          </w:p>
        </w:tc>
        <w:tc>
          <w:tcPr>
            <w:tcW w:type="dxa" w:w="1608"/>
          </w:tcPr>
          <w:p>
            <w:r>
              <w:rPr>
                <w:rFonts w:ascii="Arial" w:hAnsi="Arial"/>
                <w:sz w:val="18"/>
              </w:rPr>
              <w:t>268.49</w:t>
            </w:r>
          </w:p>
        </w:tc>
        <w:tc>
          <w:tcPr>
            <w:tcW w:type="dxa" w:w="1608"/>
          </w:tcPr>
          <w:p>
            <w:r>
              <w:rPr>
                <w:rFonts w:ascii="Arial" w:hAnsi="Arial"/>
                <w:sz w:val="18"/>
              </w:rPr>
              <w:t>5</w:t>
            </w:r>
          </w:p>
        </w:tc>
        <w:tc>
          <w:tcPr>
            <w:tcW w:type="dxa" w:w="1608"/>
          </w:tcPr>
          <w:p>
            <w:r>
              <w:rPr>
                <w:rFonts w:ascii="Arial" w:hAnsi="Arial"/>
                <w:sz w:val="18"/>
              </w:rPr>
              <w:t>7994</w:t>
            </w:r>
          </w:p>
        </w:tc>
        <w:tc>
          <w:tcPr>
            <w:tcW w:type="dxa" w:w="1608"/>
          </w:tcPr>
          <w:p>
            <w:r>
              <w:rPr>
                <w:rFonts w:ascii="Arial" w:hAnsi="Arial"/>
                <w:sz w:val="18"/>
              </w:rPr>
              <w:t>&lt;.0001</w:t>
            </w:r>
          </w:p>
        </w:tc>
      </w:tr>
      <w:tr>
        <w:tc>
          <w:tcPr>
            <w:tcW w:type="dxa" w:w="1608"/>
          </w:tcPr>
          <w:p>
            <w:r>
              <w:rPr>
                <w:rFonts w:ascii="Arial" w:hAnsi="Arial"/>
                <w:sz w:val="18"/>
              </w:rPr>
              <w:t>Roy's Greatest Root</w:t>
            </w:r>
          </w:p>
        </w:tc>
        <w:tc>
          <w:tcPr>
            <w:tcW w:type="dxa" w:w="1608"/>
          </w:tcPr>
          <w:p>
            <w:r>
              <w:rPr>
                <w:rFonts w:ascii="Arial" w:hAnsi="Arial"/>
                <w:sz w:val="18"/>
              </w:rPr>
              <w:t>0.1679</w:t>
            </w:r>
          </w:p>
        </w:tc>
        <w:tc>
          <w:tcPr>
            <w:tcW w:type="dxa" w:w="1608"/>
          </w:tcPr>
          <w:p>
            <w:r>
              <w:rPr>
                <w:rFonts w:ascii="Arial" w:hAnsi="Arial"/>
                <w:sz w:val="18"/>
              </w:rPr>
              <w:t>268.49</w:t>
            </w:r>
          </w:p>
        </w:tc>
        <w:tc>
          <w:tcPr>
            <w:tcW w:type="dxa" w:w="1608"/>
          </w:tcPr>
          <w:p>
            <w:r>
              <w:rPr>
                <w:rFonts w:ascii="Arial" w:hAnsi="Arial"/>
                <w:sz w:val="18"/>
              </w:rPr>
              <w:t>5</w:t>
            </w:r>
          </w:p>
        </w:tc>
        <w:tc>
          <w:tcPr>
            <w:tcW w:type="dxa" w:w="1608"/>
          </w:tcPr>
          <w:p>
            <w:r>
              <w:rPr>
                <w:rFonts w:ascii="Arial" w:hAnsi="Arial"/>
                <w:sz w:val="18"/>
              </w:rPr>
              <w:t>7994</w:t>
            </w:r>
          </w:p>
        </w:tc>
        <w:tc>
          <w:tcPr>
            <w:tcW w:type="dxa" w:w="1608"/>
          </w:tcPr>
          <w:p>
            <w:r>
              <w:rPr>
                <w:rFonts w:ascii="Arial" w:hAnsi="Arial"/>
                <w:sz w:val="18"/>
              </w:rPr>
              <w:t>&lt;.0001</w:t>
            </w:r>
          </w:p>
        </w:tc>
      </w:tr>
    </w:tbl>
    <w:p>
      <w:r>
        <w:rPr>
          <w:rFonts w:ascii="Arial" w:hAnsi="Arial"/>
          <w:b w:val="0"/>
          <w:i w:val="0"/>
          <w:sz w:val="22"/>
        </w:rPr>
        <w:t>The one-way MANOVA is highly significant (Wilks' Lambda=0.856, F(5,7994)=268.49, p&lt;.0001): job-seekers and non-seekers have reliably different multivariate profiles across pay, experience, hours, age, and satisfaction jointly, not just on any single variable. Because the omnibus test is significant, we proceed to univariate follow-up ANOVAs (Table 2b).</w:t>
      </w:r>
    </w:p>
    <w:p>
      <w:pPr>
        <w:jc w:val="center"/>
      </w:pPr>
      <w:r>
        <w:rPr>
          <w:rFonts w:ascii="Arial" w:hAnsi="Arial"/>
          <w:b/>
          <w:sz w:val="20"/>
        </w:rPr>
        <w:t>Table 5. Univariate follow-up ANOVAs (one DV at a time)</w:t>
      </w:r>
    </w:p>
    <w:tbl>
      <w:tblPr>
        <w:tblStyle w:val="LightGrid-Accent1"/>
        <w:tblW w:type="auto" w:w="0"/>
        <w:tblLook w:firstColumn="1" w:firstRow="1" w:lastColumn="0" w:lastRow="0" w:noHBand="0" w:noVBand="1" w:val="04A0"/>
      </w:tblPr>
      <w:tblGrid>
        <w:gridCol w:w="1930"/>
        <w:gridCol w:w="1930"/>
        <w:gridCol w:w="1930"/>
        <w:gridCol w:w="1930"/>
        <w:gridCol w:w="1930"/>
      </w:tblGrid>
      <w:tr>
        <w:tc>
          <w:tcPr>
            <w:tcW w:type="dxa" w:w="1930"/>
          </w:tcPr>
          <w:p>
            <w:r>
              <w:rPr>
                <w:rFonts w:ascii="Arial" w:hAnsi="Arial"/>
                <w:b/>
                <w:sz w:val="18"/>
              </w:rPr>
              <w:t>DV</w:t>
            </w:r>
          </w:p>
        </w:tc>
        <w:tc>
          <w:tcPr>
            <w:tcW w:type="dxa" w:w="1930"/>
          </w:tcPr>
          <w:p>
            <w:r>
              <w:rPr>
                <w:rFonts w:ascii="Arial" w:hAnsi="Arial"/>
                <w:b/>
                <w:sz w:val="18"/>
              </w:rPr>
              <w:t>F</w:t>
            </w:r>
          </w:p>
        </w:tc>
        <w:tc>
          <w:tcPr>
            <w:tcW w:type="dxa" w:w="1930"/>
          </w:tcPr>
          <w:p>
            <w:r>
              <w:rPr>
                <w:rFonts w:ascii="Arial" w:hAnsi="Arial"/>
                <w:b/>
                <w:sz w:val="18"/>
              </w:rPr>
              <w:t>p</w:t>
            </w:r>
          </w:p>
        </w:tc>
        <w:tc>
          <w:tcPr>
            <w:tcW w:type="dxa" w:w="1930"/>
          </w:tcPr>
          <w:p>
            <w:r>
              <w:rPr>
                <w:rFonts w:ascii="Arial" w:hAnsi="Arial"/>
                <w:b/>
                <w:sz w:val="18"/>
              </w:rPr>
              <w:t>mean_seeking</w:t>
            </w:r>
          </w:p>
        </w:tc>
        <w:tc>
          <w:tcPr>
            <w:tcW w:type="dxa" w:w="1930"/>
          </w:tcPr>
          <w:p>
            <w:r>
              <w:rPr>
                <w:rFonts w:ascii="Arial" w:hAnsi="Arial"/>
                <w:b/>
                <w:sz w:val="18"/>
              </w:rPr>
              <w:t>mean_notint</w:t>
            </w:r>
          </w:p>
        </w:tc>
      </w:tr>
      <w:tr>
        <w:tc>
          <w:tcPr>
            <w:tcW w:type="dxa" w:w="1930"/>
          </w:tcPr>
          <w:p>
            <w:r>
              <w:rPr>
                <w:rFonts w:ascii="Arial" w:hAnsi="Arial"/>
                <w:sz w:val="18"/>
              </w:rPr>
              <w:t>logComp</w:t>
            </w:r>
          </w:p>
        </w:tc>
        <w:tc>
          <w:tcPr>
            <w:tcW w:type="dxa" w:w="1930"/>
          </w:tcPr>
          <w:p>
            <w:r>
              <w:rPr>
                <w:rFonts w:ascii="Arial" w:hAnsi="Arial"/>
                <w:sz w:val="18"/>
              </w:rPr>
              <w:t>144.226</w:t>
            </w:r>
          </w:p>
        </w:tc>
        <w:tc>
          <w:tcPr>
            <w:tcW w:type="dxa" w:w="1930"/>
          </w:tcPr>
          <w:p>
            <w:r>
              <w:rPr>
                <w:rFonts w:ascii="Arial" w:hAnsi="Arial"/>
                <w:sz w:val="18"/>
              </w:rPr>
              <w:t>6.0810289854368564e-33</w:t>
            </w:r>
          </w:p>
        </w:tc>
        <w:tc>
          <w:tcPr>
            <w:tcW w:type="dxa" w:w="1930"/>
          </w:tcPr>
          <w:p>
            <w:r>
              <w:rPr>
                <w:rFonts w:ascii="Arial" w:hAnsi="Arial"/>
                <w:sz w:val="18"/>
              </w:rPr>
              <w:t>11.203</w:t>
            </w:r>
          </w:p>
        </w:tc>
        <w:tc>
          <w:tcPr>
            <w:tcW w:type="dxa" w:w="1930"/>
          </w:tcPr>
          <w:p>
            <w:r>
              <w:rPr>
                <w:rFonts w:ascii="Arial" w:hAnsi="Arial"/>
                <w:sz w:val="18"/>
              </w:rPr>
              <w:t>11.565</w:t>
            </w:r>
          </w:p>
        </w:tc>
      </w:tr>
      <w:tr>
        <w:tc>
          <w:tcPr>
            <w:tcW w:type="dxa" w:w="1930"/>
          </w:tcPr>
          <w:p>
            <w:r>
              <w:rPr>
                <w:rFonts w:ascii="Arial" w:hAnsi="Arial"/>
                <w:sz w:val="18"/>
              </w:rPr>
              <w:t>YearsCodePro</w:t>
            </w:r>
          </w:p>
        </w:tc>
        <w:tc>
          <w:tcPr>
            <w:tcW w:type="dxa" w:w="1930"/>
          </w:tcPr>
          <w:p>
            <w:r>
              <w:rPr>
                <w:rFonts w:ascii="Arial" w:hAnsi="Arial"/>
                <w:sz w:val="18"/>
              </w:rPr>
              <w:t>16.077</w:t>
            </w:r>
          </w:p>
        </w:tc>
        <w:tc>
          <w:tcPr>
            <w:tcW w:type="dxa" w:w="1930"/>
          </w:tcPr>
          <w:p>
            <w:r>
              <w:rPr>
                <w:rFonts w:ascii="Arial" w:hAnsi="Arial"/>
                <w:sz w:val="18"/>
              </w:rPr>
              <w:t>6.135591230125799e-05</w:t>
            </w:r>
          </w:p>
        </w:tc>
        <w:tc>
          <w:tcPr>
            <w:tcW w:type="dxa" w:w="1930"/>
          </w:tcPr>
          <w:p>
            <w:r>
              <w:rPr>
                <w:rFonts w:ascii="Arial" w:hAnsi="Arial"/>
                <w:sz w:val="18"/>
              </w:rPr>
              <w:t>8.292</w:t>
            </w:r>
          </w:p>
        </w:tc>
        <w:tc>
          <w:tcPr>
            <w:tcW w:type="dxa" w:w="1930"/>
          </w:tcPr>
          <w:p>
            <w:r>
              <w:rPr>
                <w:rFonts w:ascii="Arial" w:hAnsi="Arial"/>
                <w:sz w:val="18"/>
              </w:rPr>
              <w:t>9.003</w:t>
            </w:r>
          </w:p>
        </w:tc>
      </w:tr>
      <w:tr>
        <w:tc>
          <w:tcPr>
            <w:tcW w:type="dxa" w:w="1930"/>
          </w:tcPr>
          <w:p>
            <w:r>
              <w:rPr>
                <w:rFonts w:ascii="Arial" w:hAnsi="Arial"/>
                <w:sz w:val="18"/>
              </w:rPr>
              <w:t>WorkWeekHrs</w:t>
            </w:r>
          </w:p>
        </w:tc>
        <w:tc>
          <w:tcPr>
            <w:tcW w:type="dxa" w:w="1930"/>
          </w:tcPr>
          <w:p>
            <w:r>
              <w:rPr>
                <w:rFonts w:ascii="Arial" w:hAnsi="Arial"/>
                <w:sz w:val="18"/>
              </w:rPr>
              <w:t>1.471</w:t>
            </w:r>
          </w:p>
        </w:tc>
        <w:tc>
          <w:tcPr>
            <w:tcW w:type="dxa" w:w="1930"/>
          </w:tcPr>
          <w:p>
            <w:r>
              <w:rPr>
                <w:rFonts w:ascii="Arial" w:hAnsi="Arial"/>
                <w:sz w:val="18"/>
              </w:rPr>
              <w:t>0.225154310246464</w:t>
            </w:r>
          </w:p>
        </w:tc>
        <w:tc>
          <w:tcPr>
            <w:tcW w:type="dxa" w:w="1930"/>
          </w:tcPr>
          <w:p>
            <w:r>
              <w:rPr>
                <w:rFonts w:ascii="Arial" w:hAnsi="Arial"/>
                <w:sz w:val="18"/>
              </w:rPr>
              <w:t>41.356</w:t>
            </w:r>
          </w:p>
        </w:tc>
        <w:tc>
          <w:tcPr>
            <w:tcW w:type="dxa" w:w="1930"/>
          </w:tcPr>
          <w:p>
            <w:r>
              <w:rPr>
                <w:rFonts w:ascii="Arial" w:hAnsi="Arial"/>
                <w:sz w:val="18"/>
              </w:rPr>
              <w:t>41.587</w:t>
            </w:r>
          </w:p>
        </w:tc>
      </w:tr>
      <w:tr>
        <w:tc>
          <w:tcPr>
            <w:tcW w:type="dxa" w:w="1930"/>
          </w:tcPr>
          <w:p>
            <w:r>
              <w:rPr>
                <w:rFonts w:ascii="Arial" w:hAnsi="Arial"/>
                <w:sz w:val="18"/>
              </w:rPr>
              <w:t>Age</w:t>
            </w:r>
          </w:p>
        </w:tc>
        <w:tc>
          <w:tcPr>
            <w:tcW w:type="dxa" w:w="1930"/>
          </w:tcPr>
          <w:p>
            <w:r>
              <w:rPr>
                <w:rFonts w:ascii="Arial" w:hAnsi="Arial"/>
                <w:sz w:val="18"/>
              </w:rPr>
              <w:t>6.244</w:t>
            </w:r>
          </w:p>
        </w:tc>
        <w:tc>
          <w:tcPr>
            <w:tcW w:type="dxa" w:w="1930"/>
          </w:tcPr>
          <w:p>
            <w:r>
              <w:rPr>
                <w:rFonts w:ascii="Arial" w:hAnsi="Arial"/>
                <w:sz w:val="18"/>
              </w:rPr>
              <w:t>0.0124837375304261</w:t>
            </w:r>
          </w:p>
        </w:tc>
        <w:tc>
          <w:tcPr>
            <w:tcW w:type="dxa" w:w="1930"/>
          </w:tcPr>
          <w:p>
            <w:r>
              <w:rPr>
                <w:rFonts w:ascii="Arial" w:hAnsi="Arial"/>
                <w:sz w:val="18"/>
              </w:rPr>
              <w:t>31.691</w:t>
            </w:r>
          </w:p>
        </w:tc>
        <w:tc>
          <w:tcPr>
            <w:tcW w:type="dxa" w:w="1930"/>
          </w:tcPr>
          <w:p>
            <w:r>
              <w:rPr>
                <w:rFonts w:ascii="Arial" w:hAnsi="Arial"/>
                <w:sz w:val="18"/>
              </w:rPr>
              <w:t>32.166</w:t>
            </w:r>
          </w:p>
        </w:tc>
      </w:tr>
      <w:tr>
        <w:tc>
          <w:tcPr>
            <w:tcW w:type="dxa" w:w="1930"/>
          </w:tcPr>
          <w:p>
            <w:r>
              <w:rPr>
                <w:rFonts w:ascii="Arial" w:hAnsi="Arial"/>
                <w:sz w:val="18"/>
              </w:rPr>
              <w:t>JobSat_num</w:t>
            </w:r>
          </w:p>
        </w:tc>
        <w:tc>
          <w:tcPr>
            <w:tcW w:type="dxa" w:w="1930"/>
          </w:tcPr>
          <w:p>
            <w:r>
              <w:rPr>
                <w:rFonts w:ascii="Arial" w:hAnsi="Arial"/>
                <w:sz w:val="18"/>
              </w:rPr>
              <w:t>1235.962</w:t>
            </w:r>
          </w:p>
        </w:tc>
        <w:tc>
          <w:tcPr>
            <w:tcW w:type="dxa" w:w="1930"/>
          </w:tcPr>
          <w:p>
            <w:r>
              <w:rPr>
                <w:rFonts w:ascii="Arial" w:hAnsi="Arial"/>
                <w:sz w:val="18"/>
              </w:rPr>
              <w:t>6.643101439141611e-252</w:t>
            </w:r>
          </w:p>
        </w:tc>
        <w:tc>
          <w:tcPr>
            <w:tcW w:type="dxa" w:w="1930"/>
          </w:tcPr>
          <w:p>
            <w:r>
              <w:rPr>
                <w:rFonts w:ascii="Arial" w:hAnsi="Arial"/>
                <w:sz w:val="18"/>
              </w:rPr>
              <w:t>3.513</w:t>
            </w:r>
          </w:p>
        </w:tc>
        <w:tc>
          <w:tcPr>
            <w:tcW w:type="dxa" w:w="1930"/>
          </w:tcPr>
          <w:p>
            <w:r>
              <w:rPr>
                <w:rFonts w:ascii="Arial" w:hAnsi="Arial"/>
                <w:sz w:val="18"/>
              </w:rPr>
              <w:t>4.476</w:t>
            </w:r>
          </w:p>
        </w:tc>
      </w:tr>
    </w:tbl>
    <w:p>
      <w:r>
        <w:rPr>
          <w:rFonts w:ascii="Arial" w:hAnsi="Arial"/>
          <w:b w:val="0"/>
          <w:i w:val="0"/>
          <w:sz w:val="22"/>
        </w:rPr>
        <w:t>JobSat (F=1235.96, p&lt;.0001) and logComp (F=144.23, p&lt;.0001) carry almost all of the multivariate signal; YearsCodePro and Age are significant but with small effect sizes, and WorkWeekHrs does not differ reliably by group (p=0.225) - job-seekers are not simply the overworked.</w:t>
      </w:r>
    </w:p>
    <w:p>
      <w:pPr>
        <w:pStyle w:val="Heading2"/>
      </w:pPr>
      <w:r>
        <w:rPr>
          <w:rFonts w:ascii="Arial" w:hAnsi="Arial"/>
          <w:color w:val="000000"/>
          <w:sz w:val="24"/>
        </w:rPr>
        <w:t>4.2 Two-way MANOVA: JobSeek x Country</w:t>
      </w:r>
    </w:p>
    <w:p>
      <w:pPr>
        <w:jc w:val="center"/>
      </w:pPr>
      <w:r>
        <w:rPr>
          <w:rFonts w:ascii="Arial" w:hAnsi="Arial"/>
          <w:b/>
          <w:sz w:val="20"/>
        </w:rPr>
        <w:t>Table 6. Two-way MANOVA: JobSeek x Country</w:t>
      </w:r>
    </w:p>
    <w:tbl>
      <w:tblPr>
        <w:tblStyle w:val="LightGrid-Accent1"/>
        <w:tblW w:type="auto" w:w="0"/>
        <w:tblLook w:firstColumn="1" w:firstRow="1" w:lastColumn="0" w:lastRow="0" w:noHBand="0" w:noVBand="1" w:val="04A0"/>
      </w:tblPr>
      <w:tblGrid>
        <w:gridCol w:w="1608"/>
        <w:gridCol w:w="1608"/>
        <w:gridCol w:w="1608"/>
        <w:gridCol w:w="1608"/>
        <w:gridCol w:w="1608"/>
        <w:gridCol w:w="1608"/>
      </w:tblGrid>
      <w:tr>
        <w:tc>
          <w:tcPr>
            <w:tcW w:type="dxa" w:w="1608"/>
          </w:tcPr>
          <w:p>
            <w:r>
              <w:rPr>
                <w:rFonts w:ascii="Arial" w:hAnsi="Arial"/>
                <w:b/>
                <w:sz w:val="18"/>
              </w:rPr>
              <w:t>Effect</w:t>
            </w:r>
          </w:p>
        </w:tc>
        <w:tc>
          <w:tcPr>
            <w:tcW w:type="dxa" w:w="1608"/>
          </w:tcPr>
          <w:p>
            <w:r>
              <w:rPr>
                <w:rFonts w:ascii="Arial" w:hAnsi="Arial"/>
                <w:b/>
                <w:sz w:val="18"/>
              </w:rPr>
              <w:t>Wilks' Lambda</w:t>
            </w:r>
          </w:p>
        </w:tc>
        <w:tc>
          <w:tcPr>
            <w:tcW w:type="dxa" w:w="1608"/>
          </w:tcPr>
          <w:p>
            <w:r>
              <w:rPr>
                <w:rFonts w:ascii="Arial" w:hAnsi="Arial"/>
                <w:b/>
                <w:sz w:val="18"/>
              </w:rPr>
              <w:t>F</w:t>
            </w:r>
          </w:p>
        </w:tc>
        <w:tc>
          <w:tcPr>
            <w:tcW w:type="dxa" w:w="1608"/>
          </w:tcPr>
          <w:p>
            <w:r>
              <w:rPr>
                <w:rFonts w:ascii="Arial" w:hAnsi="Arial"/>
                <w:b/>
                <w:sz w:val="18"/>
              </w:rPr>
              <w:t>Num DF</w:t>
            </w:r>
          </w:p>
        </w:tc>
        <w:tc>
          <w:tcPr>
            <w:tcW w:type="dxa" w:w="1608"/>
          </w:tcPr>
          <w:p>
            <w:r>
              <w:rPr>
                <w:rFonts w:ascii="Arial" w:hAnsi="Arial"/>
                <w:b/>
                <w:sz w:val="18"/>
              </w:rPr>
              <w:t>Den DF</w:t>
            </w:r>
          </w:p>
        </w:tc>
        <w:tc>
          <w:tcPr>
            <w:tcW w:type="dxa" w:w="1608"/>
          </w:tcPr>
          <w:p>
            <w:r>
              <w:rPr>
                <w:rFonts w:ascii="Arial" w:hAnsi="Arial"/>
                <w:b/>
                <w:sz w:val="18"/>
              </w:rPr>
              <w:t>p</w:t>
            </w:r>
          </w:p>
        </w:tc>
      </w:tr>
      <w:tr>
        <w:tc>
          <w:tcPr>
            <w:tcW w:type="dxa" w:w="1608"/>
          </w:tcPr>
          <w:p>
            <w:r>
              <w:rPr>
                <w:rFonts w:ascii="Arial" w:hAnsi="Arial"/>
                <w:sz w:val="18"/>
              </w:rPr>
              <w:t>JobSeek (main)</w:t>
            </w:r>
          </w:p>
        </w:tc>
        <w:tc>
          <w:tcPr>
            <w:tcW w:type="dxa" w:w="1608"/>
          </w:tcPr>
          <w:p>
            <w:r>
              <w:rPr>
                <w:rFonts w:ascii="Arial" w:hAnsi="Arial"/>
                <w:sz w:val="18"/>
              </w:rPr>
              <w:t>0.9888</w:t>
            </w:r>
          </w:p>
        </w:tc>
        <w:tc>
          <w:tcPr>
            <w:tcW w:type="dxa" w:w="1608"/>
          </w:tcPr>
          <w:p>
            <w:r>
              <w:rPr>
                <w:rFonts w:ascii="Arial" w:hAnsi="Arial"/>
                <w:sz w:val="18"/>
              </w:rPr>
              <w:t>18.12</w:t>
            </w:r>
          </w:p>
        </w:tc>
        <w:tc>
          <w:tcPr>
            <w:tcW w:type="dxa" w:w="1608"/>
          </w:tcPr>
          <w:p>
            <w:r>
              <w:rPr>
                <w:rFonts w:ascii="Arial" w:hAnsi="Arial"/>
                <w:sz w:val="18"/>
              </w:rPr>
              <w:t>5</w:t>
            </w:r>
          </w:p>
        </w:tc>
        <w:tc>
          <w:tcPr>
            <w:tcW w:type="dxa" w:w="1608"/>
          </w:tcPr>
          <w:p>
            <w:r>
              <w:rPr>
                <w:rFonts w:ascii="Arial" w:hAnsi="Arial"/>
                <w:sz w:val="18"/>
              </w:rPr>
              <w:t>7986</w:t>
            </w:r>
          </w:p>
        </w:tc>
        <w:tc>
          <w:tcPr>
            <w:tcW w:type="dxa" w:w="1608"/>
          </w:tcPr>
          <w:p>
            <w:r>
              <w:rPr>
                <w:rFonts w:ascii="Arial" w:hAnsi="Arial"/>
                <w:sz w:val="18"/>
              </w:rPr>
              <w:t>&lt;.0001</w:t>
            </w:r>
          </w:p>
        </w:tc>
      </w:tr>
      <w:tr>
        <w:tc>
          <w:tcPr>
            <w:tcW w:type="dxa" w:w="1608"/>
          </w:tcPr>
          <w:p>
            <w:r>
              <w:rPr>
                <w:rFonts w:ascii="Arial" w:hAnsi="Arial"/>
                <w:sz w:val="18"/>
              </w:rPr>
              <w:t>Country (main)</w:t>
            </w:r>
          </w:p>
        </w:tc>
        <w:tc>
          <w:tcPr>
            <w:tcW w:type="dxa" w:w="1608"/>
          </w:tcPr>
          <w:p>
            <w:r>
              <w:rPr>
                <w:rFonts w:ascii="Arial" w:hAnsi="Arial"/>
                <w:sz w:val="18"/>
              </w:rPr>
              <w:t>0.9127</w:t>
            </w:r>
          </w:p>
        </w:tc>
        <w:tc>
          <w:tcPr>
            <w:tcW w:type="dxa" w:w="1608"/>
          </w:tcPr>
          <w:p>
            <w:r>
              <w:rPr>
                <w:rFonts w:ascii="Arial" w:hAnsi="Arial"/>
                <w:sz w:val="18"/>
              </w:rPr>
              <w:t>37.0</w:t>
            </w:r>
          </w:p>
        </w:tc>
        <w:tc>
          <w:tcPr>
            <w:tcW w:type="dxa" w:w="1608"/>
          </w:tcPr>
          <w:p>
            <w:r>
              <w:rPr>
                <w:rFonts w:ascii="Arial" w:hAnsi="Arial"/>
                <w:sz w:val="18"/>
              </w:rPr>
              <w:t>20</w:t>
            </w:r>
          </w:p>
        </w:tc>
        <w:tc>
          <w:tcPr>
            <w:tcW w:type="dxa" w:w="1608"/>
          </w:tcPr>
          <w:p>
            <w:r>
              <w:rPr>
                <w:rFonts w:ascii="Arial" w:hAnsi="Arial"/>
                <w:sz w:val="18"/>
              </w:rPr>
              <w:t>26487.5*</w:t>
            </w:r>
          </w:p>
        </w:tc>
        <w:tc>
          <w:tcPr>
            <w:tcW w:type="dxa" w:w="1608"/>
          </w:tcPr>
          <w:p>
            <w:r>
              <w:rPr>
                <w:rFonts w:ascii="Arial" w:hAnsi="Arial"/>
                <w:sz w:val="18"/>
              </w:rPr>
              <w:t>&lt;.0001</w:t>
            </w:r>
          </w:p>
        </w:tc>
      </w:tr>
      <w:tr>
        <w:tc>
          <w:tcPr>
            <w:tcW w:type="dxa" w:w="1608"/>
          </w:tcPr>
          <w:p>
            <w:r>
              <w:rPr>
                <w:rFonts w:ascii="Arial" w:hAnsi="Arial"/>
                <w:sz w:val="18"/>
              </w:rPr>
              <w:t>JobSeek x Country (interaction)</w:t>
            </w:r>
          </w:p>
        </w:tc>
        <w:tc>
          <w:tcPr>
            <w:tcW w:type="dxa" w:w="1608"/>
          </w:tcPr>
          <w:p>
            <w:r>
              <w:rPr>
                <w:rFonts w:ascii="Arial" w:hAnsi="Arial"/>
                <w:sz w:val="18"/>
              </w:rPr>
              <w:t>0.9967</w:t>
            </w:r>
          </w:p>
        </w:tc>
        <w:tc>
          <w:tcPr>
            <w:tcW w:type="dxa" w:w="1608"/>
          </w:tcPr>
          <w:p>
            <w:r>
              <w:rPr>
                <w:rFonts w:ascii="Arial" w:hAnsi="Arial"/>
                <w:sz w:val="18"/>
              </w:rPr>
              <w:t>1.31</w:t>
            </w:r>
          </w:p>
        </w:tc>
        <w:tc>
          <w:tcPr>
            <w:tcW w:type="dxa" w:w="1608"/>
          </w:tcPr>
          <w:p>
            <w:r>
              <w:rPr>
                <w:rFonts w:ascii="Arial" w:hAnsi="Arial"/>
                <w:sz w:val="18"/>
              </w:rPr>
              <w:t>20</w:t>
            </w:r>
          </w:p>
        </w:tc>
        <w:tc>
          <w:tcPr>
            <w:tcW w:type="dxa" w:w="1608"/>
          </w:tcPr>
          <w:p>
            <w:r>
              <w:rPr>
                <w:rFonts w:ascii="Arial" w:hAnsi="Arial"/>
                <w:sz w:val="18"/>
              </w:rPr>
              <w:t>26487.5*</w:t>
            </w:r>
          </w:p>
        </w:tc>
        <w:tc>
          <w:tcPr>
            <w:tcW w:type="dxa" w:w="1608"/>
          </w:tcPr>
          <w:p>
            <w:r>
              <w:rPr>
                <w:rFonts w:ascii="Arial" w:hAnsi="Arial"/>
                <w:sz w:val="18"/>
              </w:rPr>
              <w:t>0.159</w:t>
            </w:r>
          </w:p>
        </w:tc>
      </w:tr>
    </w:tbl>
    <w:p>
      <w:r>
        <w:rPr>
          <w:rFonts w:ascii="Arial" w:hAnsi="Arial"/>
          <w:b w:val="0"/>
          <w:i w:val="0"/>
          <w:sz w:val="22"/>
        </w:rPr>
        <w:t>*Approximate denominator df under the Rao F-approximation for Wilks' Lambda. Both main effects remain significant with Country in the model. The JobSeek x Country interaction is not significant by Wilks' Lambda (p=0.159), meaning the seeking vs. non-seeking profile difference is broadly similar across the five countries - though Roy's Greatest Root (which is sensitive to a single dominant dimension) does flag a significant interaction (p&lt;.001), likely attributable to India's distinctly elevated pay-growth trajectory interacting with job-seeking (see Section 7, Cluster 2). Given Wilks' Lambda is the standard, more conservative omnibus statistic, we treat the interaction as modest rather than a first-order driver, and interpret country mainly as an independent control.</w:t>
      </w:r>
    </w:p>
    <w:p>
      <w:pPr>
        <w:pStyle w:val="Heading2"/>
      </w:pPr>
      <w:r>
        <w:rPr>
          <w:rFonts w:ascii="Arial" w:hAnsi="Arial"/>
          <w:color w:val="000000"/>
          <w:sz w:val="24"/>
        </w:rPr>
        <w:t>4.3 Assumption checks</w:t>
      </w:r>
    </w:p>
    <w:p>
      <w:r>
        <w:rPr>
          <w:rFonts w:ascii="Arial" w:hAnsi="Arial"/>
          <w:b w:val="0"/>
          <w:i w:val="0"/>
          <w:sz w:val="22"/>
        </w:rPr>
        <w:t>Box's M (equality of covariance matrices): chi2(15)=729.36, p&lt;.0001 - formally violated. Box's M is well known to be oversensitive at large N (here ~8,000), rejecting equal covariances for even trivial differences; we therefore do not treat this as disqualifying, consistent with the standard advice to prefer Pillai's Trace (the most robust of the four MANOVA statistics to covariance heterogeneity) as the primary significance test - which agrees with Wilks' Lambda here (both p&lt;.0001).</w:t>
      </w:r>
    </w:p>
    <w:p>
      <w:r>
        <w:rPr>
          <w:rFonts w:ascii="Arial" w:hAnsi="Arial"/>
          <w:b w:val="0"/>
          <w:i w:val="0"/>
          <w:sz w:val="22"/>
        </w:rPr>
        <w:t>Mardia's test of multivariate normality on group-mean-centered residuals rejects normality in both groups (skewness and kurtosis tests, both p&lt;.0001) - expected, since the DV block mixes a 5-point ordinal variable (JobSat) with skewed continuous variables. With N in the thousands per group, MANOVA's F-approximations are robust to this degree of non-normality via the central limit theorem, so we retain the parametric MANOVA rather than a permutation alternative.</w:t>
      </w:r>
    </w:p>
    <w:p>
      <w:r>
        <w:rPr>
          <w:rFonts w:ascii="Arial" w:hAnsi="Arial"/>
          <w:b w:val="0"/>
          <w:i w:val="0"/>
          <w:sz w:val="22"/>
        </w:rPr>
        <w:t>Levene's test per DV found significant heteroscedasticity for logComp, YearsCodePro, WorkWeekHrs, and JobSat (all p&lt;.01), but not Age (p=0.93). Combined with the unequal group sizes (67.6%/32.4%), this reinforces the choice of Pillai's Trace as the headline statistic.</w:t>
      </w:r>
    </w:p>
    <w:p>
      <w:pPr>
        <w:jc w:val="center"/>
      </w:pPr>
      <w:r>
        <w:rPr>
          <w:rFonts w:ascii="Arial" w:hAnsi="Arial"/>
          <w:b/>
          <w:sz w:val="20"/>
        </w:rPr>
        <w:t>Figure 1. Standardized mean profiles by job-seeking status (parallel coordinate plot)</w:t>
      </w:r>
    </w:p>
    <w:p>
      <w:pPr>
        <w:jc w:val="center"/>
      </w:pPr>
      <w:r>
        <w:drawing>
          <wp:inline xmlns:a="http://schemas.openxmlformats.org/drawingml/2006/main" xmlns:pic="http://schemas.openxmlformats.org/drawingml/2006/picture">
            <wp:extent cx="3931920" cy="2457450"/>
            <wp:docPr id="1" name="Picture 1"/>
            <wp:cNvGraphicFramePr>
              <a:graphicFrameLocks noChangeAspect="1"/>
            </wp:cNvGraphicFramePr>
            <a:graphic>
              <a:graphicData uri="http://schemas.openxmlformats.org/drawingml/2006/picture">
                <pic:pic>
                  <pic:nvPicPr>
                    <pic:cNvPr id="0" name="fig1_parallel_coords.png"/>
                    <pic:cNvPicPr/>
                  </pic:nvPicPr>
                  <pic:blipFill>
                    <a:blip r:embed="rId9"/>
                    <a:stretch>
                      <a:fillRect/>
                    </a:stretch>
                  </pic:blipFill>
                  <pic:spPr>
                    <a:xfrm>
                      <a:off x="0" y="0"/>
                      <a:ext cx="3931920" cy="2457450"/>
                    </a:xfrm>
                    <a:prstGeom prst="rect"/>
                  </pic:spPr>
                </pic:pic>
              </a:graphicData>
            </a:graphic>
          </wp:inline>
        </w:drawing>
      </w:r>
    </w:p>
    <w:p>
      <w:r>
        <w:rPr>
          <w:rFonts w:ascii="Arial" w:hAnsi="Arial"/>
          <w:b w:val="0"/>
          <w:i w:val="0"/>
          <w:sz w:val="22"/>
        </w:rPr>
        <w:t>Figure 1 visualizes the group-mean profile directly: non-seekers sit above average on pay and (modestly) on experience/age, and far above average on satisfaction; job-seekers are essentially flat on pay/experience/hours and markedly below average on satisfaction. The profile difference is almost entirely a satisfaction story, with a secondary pay/tenure story.</w:t>
      </w:r>
    </w:p>
    <w:p>
      <w:r>
        <w:rPr>
          <w:rFonts w:ascii="Arial" w:hAnsi="Arial"/>
          <w:b w:val="0"/>
          <w:i/>
          <w:sz w:val="22"/>
        </w:rPr>
        <w:t>HR takeaway: a single engagement-survey satisfaction score is, on this evidence, the most efficient early-warning signal available - cheaper to collect than a full compensation/tenure audit and carrying most of the discriminating information.</w:t>
      </w:r>
    </w:p>
    <w:p>
      <w:pPr>
        <w:pStyle w:val="Heading1"/>
      </w:pPr>
      <w:r>
        <w:rPr>
          <w:rFonts w:ascii="Arial" w:hAnsi="Arial"/>
          <w:color w:val="000000"/>
          <w:sz w:val="28"/>
        </w:rPr>
        <w:t>5. PCA Results</w:t>
      </w:r>
    </w:p>
    <w:p>
      <w:r>
        <w:rPr>
          <w:rFonts w:ascii="Arial" w:hAnsi="Arial"/>
          <w:b w:val="0"/>
          <w:i w:val="0"/>
          <w:sz w:val="22"/>
        </w:rPr>
        <w:t>The 6-variable numeric block (logComp, YearsCodePro, WorkWeekHrs, Age, JobSat, CodeRevHrs), standardized, was reduced via eigendecomposition of its correlation matrix (shown in Table 1b above - the Age/YearsCodePro redundancy motivates this step). Retention rule: eigenvalue &gt; 1 AND cumulative variance &gt;= 70%.</w:t>
      </w:r>
    </w:p>
    <w:p>
      <w:pPr>
        <w:jc w:val="center"/>
      </w:pPr>
      <w:r>
        <w:rPr>
          <w:rFonts w:ascii="Arial" w:hAnsi="Arial"/>
          <w:b/>
          <w:sz w:val="20"/>
        </w:rPr>
        <w:t>Table 7. PCA eigenvalues and variance explained</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rFonts w:ascii="Arial" w:hAnsi="Arial"/>
                <w:b/>
                <w:sz w:val="18"/>
              </w:rPr>
              <w:t>component</w:t>
            </w:r>
          </w:p>
        </w:tc>
        <w:tc>
          <w:tcPr>
            <w:tcW w:type="dxa" w:w="2412"/>
          </w:tcPr>
          <w:p>
            <w:r>
              <w:rPr>
                <w:rFonts w:ascii="Arial" w:hAnsi="Arial"/>
                <w:b/>
                <w:sz w:val="18"/>
              </w:rPr>
              <w:t>eigenvalue</w:t>
            </w:r>
          </w:p>
        </w:tc>
        <w:tc>
          <w:tcPr>
            <w:tcW w:type="dxa" w:w="2412"/>
          </w:tcPr>
          <w:p>
            <w:r>
              <w:rPr>
                <w:rFonts w:ascii="Arial" w:hAnsi="Arial"/>
                <w:b/>
                <w:sz w:val="18"/>
              </w:rPr>
              <w:t>pct_variance</w:t>
            </w:r>
          </w:p>
        </w:tc>
        <w:tc>
          <w:tcPr>
            <w:tcW w:type="dxa" w:w="2412"/>
          </w:tcPr>
          <w:p>
            <w:r>
              <w:rPr>
                <w:rFonts w:ascii="Arial" w:hAnsi="Arial"/>
                <w:b/>
                <w:sz w:val="18"/>
              </w:rPr>
              <w:t>cum_pct_variance</w:t>
            </w:r>
          </w:p>
        </w:tc>
      </w:tr>
      <w:tr>
        <w:tc>
          <w:tcPr>
            <w:tcW w:type="dxa" w:w="2412"/>
          </w:tcPr>
          <w:p>
            <w:r>
              <w:rPr>
                <w:rFonts w:ascii="Arial" w:hAnsi="Arial"/>
                <w:sz w:val="18"/>
              </w:rPr>
              <w:t>PC1</w:t>
            </w:r>
          </w:p>
        </w:tc>
        <w:tc>
          <w:tcPr>
            <w:tcW w:type="dxa" w:w="2412"/>
          </w:tcPr>
          <w:p>
            <w:r>
              <w:rPr>
                <w:rFonts w:ascii="Arial" w:hAnsi="Arial"/>
                <w:sz w:val="18"/>
              </w:rPr>
              <w:t>2.019</w:t>
            </w:r>
          </w:p>
        </w:tc>
        <w:tc>
          <w:tcPr>
            <w:tcW w:type="dxa" w:w="2412"/>
          </w:tcPr>
          <w:p>
            <w:r>
              <w:rPr>
                <w:rFonts w:ascii="Arial" w:hAnsi="Arial"/>
                <w:sz w:val="18"/>
              </w:rPr>
              <w:t>33.65</w:t>
            </w:r>
          </w:p>
        </w:tc>
        <w:tc>
          <w:tcPr>
            <w:tcW w:type="dxa" w:w="2412"/>
          </w:tcPr>
          <w:p>
            <w:r>
              <w:rPr>
                <w:rFonts w:ascii="Arial" w:hAnsi="Arial"/>
                <w:sz w:val="18"/>
              </w:rPr>
              <w:t>33.65</w:t>
            </w:r>
          </w:p>
        </w:tc>
      </w:tr>
      <w:tr>
        <w:tc>
          <w:tcPr>
            <w:tcW w:type="dxa" w:w="2412"/>
          </w:tcPr>
          <w:p>
            <w:r>
              <w:rPr>
                <w:rFonts w:ascii="Arial" w:hAnsi="Arial"/>
                <w:sz w:val="18"/>
              </w:rPr>
              <w:t>PC2</w:t>
            </w:r>
          </w:p>
        </w:tc>
        <w:tc>
          <w:tcPr>
            <w:tcW w:type="dxa" w:w="2412"/>
          </w:tcPr>
          <w:p>
            <w:r>
              <w:rPr>
                <w:rFonts w:ascii="Arial" w:hAnsi="Arial"/>
                <w:sz w:val="18"/>
              </w:rPr>
              <w:t>1.143</w:t>
            </w:r>
          </w:p>
        </w:tc>
        <w:tc>
          <w:tcPr>
            <w:tcW w:type="dxa" w:w="2412"/>
          </w:tcPr>
          <w:p>
            <w:r>
              <w:rPr>
                <w:rFonts w:ascii="Arial" w:hAnsi="Arial"/>
                <w:sz w:val="18"/>
              </w:rPr>
              <w:t>19.05</w:t>
            </w:r>
          </w:p>
        </w:tc>
        <w:tc>
          <w:tcPr>
            <w:tcW w:type="dxa" w:w="2412"/>
          </w:tcPr>
          <w:p>
            <w:r>
              <w:rPr>
                <w:rFonts w:ascii="Arial" w:hAnsi="Arial"/>
                <w:sz w:val="18"/>
              </w:rPr>
              <w:t>52.7</w:t>
            </w:r>
          </w:p>
        </w:tc>
      </w:tr>
      <w:tr>
        <w:tc>
          <w:tcPr>
            <w:tcW w:type="dxa" w:w="2412"/>
          </w:tcPr>
          <w:p>
            <w:r>
              <w:rPr>
                <w:rFonts w:ascii="Arial" w:hAnsi="Arial"/>
                <w:sz w:val="18"/>
              </w:rPr>
              <w:t>PC3</w:t>
            </w:r>
          </w:p>
        </w:tc>
        <w:tc>
          <w:tcPr>
            <w:tcW w:type="dxa" w:w="2412"/>
          </w:tcPr>
          <w:p>
            <w:r>
              <w:rPr>
                <w:rFonts w:ascii="Arial" w:hAnsi="Arial"/>
                <w:sz w:val="18"/>
              </w:rPr>
              <w:t>1.038</w:t>
            </w:r>
          </w:p>
        </w:tc>
        <w:tc>
          <w:tcPr>
            <w:tcW w:type="dxa" w:w="2412"/>
          </w:tcPr>
          <w:p>
            <w:r>
              <w:rPr>
                <w:rFonts w:ascii="Arial" w:hAnsi="Arial"/>
                <w:sz w:val="18"/>
              </w:rPr>
              <w:t>17.3</w:t>
            </w:r>
          </w:p>
        </w:tc>
        <w:tc>
          <w:tcPr>
            <w:tcW w:type="dxa" w:w="2412"/>
          </w:tcPr>
          <w:p>
            <w:r>
              <w:rPr>
                <w:rFonts w:ascii="Arial" w:hAnsi="Arial"/>
                <w:sz w:val="18"/>
              </w:rPr>
              <w:t>70.0</w:t>
            </w:r>
          </w:p>
        </w:tc>
      </w:tr>
      <w:tr>
        <w:tc>
          <w:tcPr>
            <w:tcW w:type="dxa" w:w="2412"/>
          </w:tcPr>
          <w:p>
            <w:r>
              <w:rPr>
                <w:rFonts w:ascii="Arial" w:hAnsi="Arial"/>
                <w:sz w:val="18"/>
              </w:rPr>
              <w:t>PC4</w:t>
            </w:r>
          </w:p>
        </w:tc>
        <w:tc>
          <w:tcPr>
            <w:tcW w:type="dxa" w:w="2412"/>
          </w:tcPr>
          <w:p>
            <w:r>
              <w:rPr>
                <w:rFonts w:ascii="Arial" w:hAnsi="Arial"/>
                <w:sz w:val="18"/>
              </w:rPr>
              <w:t>0.914</w:t>
            </w:r>
          </w:p>
        </w:tc>
        <w:tc>
          <w:tcPr>
            <w:tcW w:type="dxa" w:w="2412"/>
          </w:tcPr>
          <w:p>
            <w:r>
              <w:rPr>
                <w:rFonts w:ascii="Arial" w:hAnsi="Arial"/>
                <w:sz w:val="18"/>
              </w:rPr>
              <w:t>15.24</w:t>
            </w:r>
          </w:p>
        </w:tc>
        <w:tc>
          <w:tcPr>
            <w:tcW w:type="dxa" w:w="2412"/>
          </w:tcPr>
          <w:p>
            <w:r>
              <w:rPr>
                <w:rFonts w:ascii="Arial" w:hAnsi="Arial"/>
                <w:sz w:val="18"/>
              </w:rPr>
              <w:t>85.24</w:t>
            </w:r>
          </w:p>
        </w:tc>
      </w:tr>
      <w:tr>
        <w:tc>
          <w:tcPr>
            <w:tcW w:type="dxa" w:w="2412"/>
          </w:tcPr>
          <w:p>
            <w:r>
              <w:rPr>
                <w:rFonts w:ascii="Arial" w:hAnsi="Arial"/>
                <w:sz w:val="18"/>
              </w:rPr>
              <w:t>PC5</w:t>
            </w:r>
          </w:p>
        </w:tc>
        <w:tc>
          <w:tcPr>
            <w:tcW w:type="dxa" w:w="2412"/>
          </w:tcPr>
          <w:p>
            <w:r>
              <w:rPr>
                <w:rFonts w:ascii="Arial" w:hAnsi="Arial"/>
                <w:sz w:val="18"/>
              </w:rPr>
              <w:t>0.745</w:t>
            </w:r>
          </w:p>
        </w:tc>
        <w:tc>
          <w:tcPr>
            <w:tcW w:type="dxa" w:w="2412"/>
          </w:tcPr>
          <w:p>
            <w:r>
              <w:rPr>
                <w:rFonts w:ascii="Arial" w:hAnsi="Arial"/>
                <w:sz w:val="18"/>
              </w:rPr>
              <w:t>12.41</w:t>
            </w:r>
          </w:p>
        </w:tc>
        <w:tc>
          <w:tcPr>
            <w:tcW w:type="dxa" w:w="2412"/>
          </w:tcPr>
          <w:p>
            <w:r>
              <w:rPr>
                <w:rFonts w:ascii="Arial" w:hAnsi="Arial"/>
                <w:sz w:val="18"/>
              </w:rPr>
              <w:t>97.65</w:t>
            </w:r>
          </w:p>
        </w:tc>
      </w:tr>
      <w:tr>
        <w:tc>
          <w:tcPr>
            <w:tcW w:type="dxa" w:w="2412"/>
          </w:tcPr>
          <w:p>
            <w:r>
              <w:rPr>
                <w:rFonts w:ascii="Arial" w:hAnsi="Arial"/>
                <w:sz w:val="18"/>
              </w:rPr>
              <w:t>PC6</w:t>
            </w:r>
          </w:p>
        </w:tc>
        <w:tc>
          <w:tcPr>
            <w:tcW w:type="dxa" w:w="2412"/>
          </w:tcPr>
          <w:p>
            <w:r>
              <w:rPr>
                <w:rFonts w:ascii="Arial" w:hAnsi="Arial"/>
                <w:sz w:val="18"/>
              </w:rPr>
              <w:t>0.141</w:t>
            </w:r>
          </w:p>
        </w:tc>
        <w:tc>
          <w:tcPr>
            <w:tcW w:type="dxa" w:w="2412"/>
          </w:tcPr>
          <w:p>
            <w:r>
              <w:rPr>
                <w:rFonts w:ascii="Arial" w:hAnsi="Arial"/>
                <w:sz w:val="18"/>
              </w:rPr>
              <w:t>2.35</w:t>
            </w:r>
          </w:p>
        </w:tc>
        <w:tc>
          <w:tcPr>
            <w:tcW w:type="dxa" w:w="2412"/>
          </w:tcPr>
          <w:p>
            <w:r>
              <w:rPr>
                <w:rFonts w:ascii="Arial" w:hAnsi="Arial"/>
                <w:sz w:val="18"/>
              </w:rPr>
              <w:t>100.0</w:t>
            </w:r>
          </w:p>
        </w:tc>
      </w:tr>
    </w:tbl>
    <w:p>
      <w:pPr>
        <w:jc w:val="center"/>
      </w:pPr>
      <w:r>
        <w:rPr>
          <w:rFonts w:ascii="Arial" w:hAnsi="Arial"/>
          <w:b/>
          <w:sz w:val="20"/>
        </w:rPr>
        <w:t>Figure 2. Scree plot: eigenvalues and cumulative variance explained</w:t>
      </w:r>
    </w:p>
    <w:p>
      <w:pPr>
        <w:jc w:val="center"/>
      </w:pPr>
      <w:r>
        <w:drawing>
          <wp:inline xmlns:a="http://schemas.openxmlformats.org/drawingml/2006/main" xmlns:pic="http://schemas.openxmlformats.org/drawingml/2006/picture">
            <wp:extent cx="3931920" cy="2808514"/>
            <wp:docPr id="2" name="Picture 2"/>
            <wp:cNvGraphicFramePr>
              <a:graphicFrameLocks noChangeAspect="1"/>
            </wp:cNvGraphicFramePr>
            <a:graphic>
              <a:graphicData uri="http://schemas.openxmlformats.org/drawingml/2006/picture">
                <pic:pic>
                  <pic:nvPicPr>
                    <pic:cNvPr id="0" name="fig2_scree.png"/>
                    <pic:cNvPicPr/>
                  </pic:nvPicPr>
                  <pic:blipFill>
                    <a:blip r:embed="rId10"/>
                    <a:stretch>
                      <a:fillRect/>
                    </a:stretch>
                  </pic:blipFill>
                  <pic:spPr>
                    <a:xfrm>
                      <a:off x="0" y="0"/>
                      <a:ext cx="3931920" cy="2808514"/>
                    </a:xfrm>
                    <a:prstGeom prst="rect"/>
                  </pic:spPr>
                </pic:pic>
              </a:graphicData>
            </a:graphic>
          </wp:inline>
        </w:drawing>
      </w:r>
    </w:p>
    <w:p>
      <w:r>
        <w:rPr>
          <w:rFonts w:ascii="Arial" w:hAnsi="Arial"/>
          <w:b w:val="0"/>
          <w:i w:val="0"/>
          <w:sz w:val="22"/>
        </w:rPr>
        <w:t>Three components clear the eigenvalue&gt;1 threshold and jointly reach exactly 70.0% cumulative variance, so 3 components are retained (PC1-PC3).</w:t>
      </w:r>
    </w:p>
    <w:p>
      <w:pPr>
        <w:jc w:val="center"/>
      </w:pPr>
      <w:r>
        <w:rPr>
          <w:rFonts w:ascii="Arial" w:hAnsi="Arial"/>
          <w:b/>
          <w:sz w:val="20"/>
        </w:rPr>
        <w:t>Table 8. PCA loadings (correlation-scale) for retained components</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rFonts w:ascii="Arial" w:hAnsi="Arial"/>
                <w:b/>
                <w:sz w:val="18"/>
              </w:rPr>
            </w:r>
          </w:p>
        </w:tc>
        <w:tc>
          <w:tcPr>
            <w:tcW w:type="dxa" w:w="2412"/>
          </w:tcPr>
          <w:p>
            <w:r>
              <w:rPr>
                <w:rFonts w:ascii="Arial" w:hAnsi="Arial"/>
                <w:b/>
                <w:sz w:val="18"/>
              </w:rPr>
              <w:t>PC1</w:t>
            </w:r>
          </w:p>
        </w:tc>
        <w:tc>
          <w:tcPr>
            <w:tcW w:type="dxa" w:w="2412"/>
          </w:tcPr>
          <w:p>
            <w:r>
              <w:rPr>
                <w:rFonts w:ascii="Arial" w:hAnsi="Arial"/>
                <w:b/>
                <w:sz w:val="18"/>
              </w:rPr>
              <w:t>PC2</w:t>
            </w:r>
          </w:p>
        </w:tc>
        <w:tc>
          <w:tcPr>
            <w:tcW w:type="dxa" w:w="2412"/>
          </w:tcPr>
          <w:p>
            <w:r>
              <w:rPr>
                <w:rFonts w:ascii="Arial" w:hAnsi="Arial"/>
                <w:b/>
                <w:sz w:val="18"/>
              </w:rPr>
              <w:t>PC3</w:t>
            </w:r>
          </w:p>
        </w:tc>
      </w:tr>
      <w:tr>
        <w:tc>
          <w:tcPr>
            <w:tcW w:type="dxa" w:w="2412"/>
          </w:tcPr>
          <w:p>
            <w:r>
              <w:rPr>
                <w:rFonts w:ascii="Arial" w:hAnsi="Arial"/>
                <w:sz w:val="18"/>
              </w:rPr>
              <w:t>log(Comp)</w:t>
            </w:r>
          </w:p>
        </w:tc>
        <w:tc>
          <w:tcPr>
            <w:tcW w:type="dxa" w:w="2412"/>
          </w:tcPr>
          <w:p>
            <w:r>
              <w:rPr>
                <w:rFonts w:ascii="Arial" w:hAnsi="Arial"/>
                <w:sz w:val="18"/>
              </w:rPr>
              <w:t>0.511</w:t>
            </w:r>
          </w:p>
        </w:tc>
        <w:tc>
          <w:tcPr>
            <w:tcW w:type="dxa" w:w="2412"/>
          </w:tcPr>
          <w:p>
            <w:r>
              <w:rPr>
                <w:rFonts w:ascii="Arial" w:hAnsi="Arial"/>
                <w:sz w:val="18"/>
              </w:rPr>
              <w:t>-0.348</w:t>
            </w:r>
          </w:p>
        </w:tc>
        <w:tc>
          <w:tcPr>
            <w:tcW w:type="dxa" w:w="2412"/>
          </w:tcPr>
          <w:p>
            <w:r>
              <w:rPr>
                <w:rFonts w:ascii="Arial" w:hAnsi="Arial"/>
                <w:sz w:val="18"/>
              </w:rPr>
              <w:t>0.331</w:t>
            </w:r>
          </w:p>
        </w:tc>
      </w:tr>
      <w:tr>
        <w:tc>
          <w:tcPr>
            <w:tcW w:type="dxa" w:w="2412"/>
          </w:tcPr>
          <w:p>
            <w:r>
              <w:rPr>
                <w:rFonts w:ascii="Arial" w:hAnsi="Arial"/>
                <w:sz w:val="18"/>
              </w:rPr>
              <w:t>YearsCodePro</w:t>
            </w:r>
          </w:p>
        </w:tc>
        <w:tc>
          <w:tcPr>
            <w:tcW w:type="dxa" w:w="2412"/>
          </w:tcPr>
          <w:p>
            <w:r>
              <w:rPr>
                <w:rFonts w:ascii="Arial" w:hAnsi="Arial"/>
                <w:sz w:val="18"/>
              </w:rPr>
              <w:t>0.927</w:t>
            </w:r>
          </w:p>
        </w:tc>
        <w:tc>
          <w:tcPr>
            <w:tcW w:type="dxa" w:w="2412"/>
          </w:tcPr>
          <w:p>
            <w:r>
              <w:rPr>
                <w:rFonts w:ascii="Arial" w:hAnsi="Arial"/>
                <w:sz w:val="18"/>
              </w:rPr>
              <w:t>0.094</w:t>
            </w:r>
          </w:p>
        </w:tc>
        <w:tc>
          <w:tcPr>
            <w:tcW w:type="dxa" w:w="2412"/>
          </w:tcPr>
          <w:p>
            <w:r>
              <w:rPr>
                <w:rFonts w:ascii="Arial" w:hAnsi="Arial"/>
                <w:sz w:val="18"/>
              </w:rPr>
              <w:t>-0.151</w:t>
            </w:r>
          </w:p>
        </w:tc>
      </w:tr>
      <w:tr>
        <w:tc>
          <w:tcPr>
            <w:tcW w:type="dxa" w:w="2412"/>
          </w:tcPr>
          <w:p>
            <w:r>
              <w:rPr>
                <w:rFonts w:ascii="Arial" w:hAnsi="Arial"/>
                <w:sz w:val="18"/>
              </w:rPr>
              <w:t>WorkWeekHrs</w:t>
            </w:r>
          </w:p>
        </w:tc>
        <w:tc>
          <w:tcPr>
            <w:tcW w:type="dxa" w:w="2412"/>
          </w:tcPr>
          <w:p>
            <w:r>
              <w:rPr>
                <w:rFonts w:ascii="Arial" w:hAnsi="Arial"/>
                <w:sz w:val="18"/>
              </w:rPr>
              <w:t>0.168</w:t>
            </w:r>
          </w:p>
        </w:tc>
        <w:tc>
          <w:tcPr>
            <w:tcW w:type="dxa" w:w="2412"/>
          </w:tcPr>
          <w:p>
            <w:r>
              <w:rPr>
                <w:rFonts w:ascii="Arial" w:hAnsi="Arial"/>
                <w:sz w:val="18"/>
              </w:rPr>
              <w:t>0.52</w:t>
            </w:r>
          </w:p>
        </w:tc>
        <w:tc>
          <w:tcPr>
            <w:tcW w:type="dxa" w:w="2412"/>
          </w:tcPr>
          <w:p>
            <w:r>
              <w:rPr>
                <w:rFonts w:ascii="Arial" w:hAnsi="Arial"/>
                <w:sz w:val="18"/>
              </w:rPr>
              <w:t>0.544</w:t>
            </w:r>
          </w:p>
        </w:tc>
      </w:tr>
      <w:tr>
        <w:tc>
          <w:tcPr>
            <w:tcW w:type="dxa" w:w="2412"/>
          </w:tcPr>
          <w:p>
            <w:r>
              <w:rPr>
                <w:rFonts w:ascii="Arial" w:hAnsi="Arial"/>
                <w:sz w:val="18"/>
              </w:rPr>
              <w:t>Age</w:t>
            </w:r>
          </w:p>
        </w:tc>
        <w:tc>
          <w:tcPr>
            <w:tcW w:type="dxa" w:w="2412"/>
          </w:tcPr>
          <w:p>
            <w:r>
              <w:rPr>
                <w:rFonts w:ascii="Arial" w:hAnsi="Arial"/>
                <w:sz w:val="18"/>
              </w:rPr>
              <w:t>0.93</w:t>
            </w:r>
          </w:p>
        </w:tc>
        <w:tc>
          <w:tcPr>
            <w:tcW w:type="dxa" w:w="2412"/>
          </w:tcPr>
          <w:p>
            <w:r>
              <w:rPr>
                <w:rFonts w:ascii="Arial" w:hAnsi="Arial"/>
                <w:sz w:val="18"/>
              </w:rPr>
              <w:t>0.066</w:t>
            </w:r>
          </w:p>
        </w:tc>
        <w:tc>
          <w:tcPr>
            <w:tcW w:type="dxa" w:w="2412"/>
          </w:tcPr>
          <w:p>
            <w:r>
              <w:rPr>
                <w:rFonts w:ascii="Arial" w:hAnsi="Arial"/>
                <w:sz w:val="18"/>
              </w:rPr>
              <w:t>-0.163</w:t>
            </w:r>
          </w:p>
        </w:tc>
      </w:tr>
      <w:tr>
        <w:tc>
          <w:tcPr>
            <w:tcW w:type="dxa" w:w="2412"/>
          </w:tcPr>
          <w:p>
            <w:r>
              <w:rPr>
                <w:rFonts w:ascii="Arial" w:hAnsi="Arial"/>
                <w:sz w:val="18"/>
              </w:rPr>
              <w:t>JobSat</w:t>
            </w:r>
          </w:p>
        </w:tc>
        <w:tc>
          <w:tcPr>
            <w:tcW w:type="dxa" w:w="2412"/>
          </w:tcPr>
          <w:p>
            <w:r>
              <w:rPr>
                <w:rFonts w:ascii="Arial" w:hAnsi="Arial"/>
                <w:sz w:val="18"/>
              </w:rPr>
              <w:t>0.055</w:t>
            </w:r>
          </w:p>
        </w:tc>
        <w:tc>
          <w:tcPr>
            <w:tcW w:type="dxa" w:w="2412"/>
          </w:tcPr>
          <w:p>
            <w:r>
              <w:rPr>
                <w:rFonts w:ascii="Arial" w:hAnsi="Arial"/>
                <w:sz w:val="18"/>
              </w:rPr>
              <w:t>-0.408</w:t>
            </w:r>
          </w:p>
        </w:tc>
        <w:tc>
          <w:tcPr>
            <w:tcW w:type="dxa" w:w="2412"/>
          </w:tcPr>
          <w:p>
            <w:r>
              <w:rPr>
                <w:rFonts w:ascii="Arial" w:hAnsi="Arial"/>
                <w:sz w:val="18"/>
              </w:rPr>
              <w:t>0.735</w:t>
            </w:r>
          </w:p>
        </w:tc>
      </w:tr>
      <w:tr>
        <w:tc>
          <w:tcPr>
            <w:tcW w:type="dxa" w:w="2412"/>
          </w:tcPr>
          <w:p>
            <w:r>
              <w:rPr>
                <w:rFonts w:ascii="Arial" w:hAnsi="Arial"/>
                <w:sz w:val="18"/>
              </w:rPr>
              <w:t>CodeRevHrs</w:t>
            </w:r>
          </w:p>
        </w:tc>
        <w:tc>
          <w:tcPr>
            <w:tcW w:type="dxa" w:w="2412"/>
          </w:tcPr>
          <w:p>
            <w:r>
              <w:rPr>
                <w:rFonts w:ascii="Arial" w:hAnsi="Arial"/>
                <w:sz w:val="18"/>
              </w:rPr>
              <w:t>-0.047</w:t>
            </w:r>
          </w:p>
        </w:tc>
        <w:tc>
          <w:tcPr>
            <w:tcW w:type="dxa" w:w="2412"/>
          </w:tcPr>
          <w:p>
            <w:r>
              <w:rPr>
                <w:rFonts w:ascii="Arial" w:hAnsi="Arial"/>
                <w:sz w:val="18"/>
              </w:rPr>
              <w:t>0.756</w:t>
            </w:r>
          </w:p>
        </w:tc>
        <w:tc>
          <w:tcPr>
            <w:tcW w:type="dxa" w:w="2412"/>
          </w:tcPr>
          <w:p>
            <w:r>
              <w:rPr>
                <w:rFonts w:ascii="Arial" w:hAnsi="Arial"/>
                <w:sz w:val="18"/>
              </w:rPr>
              <w:t>0.208</w:t>
            </w:r>
          </w:p>
        </w:tc>
      </w:tr>
    </w:tbl>
    <w:p>
      <w:r>
        <w:rPr>
          <w:rFonts w:ascii="Arial" w:hAnsi="Arial"/>
          <w:b w:val="0"/>
          <w:i w:val="0"/>
          <w:sz w:val="22"/>
        </w:rPr>
        <w:t>PC1 (33.7% of variance) loads heavily and almost exclusively on YearsCodePro (0.93) and Age (0.93), with a moderate contribution from logComp (0.51) - a "Seniority &amp; Earnings" axis. PC2 (19.0%) loads positively on CodeRevHrs (0.76) and WorkWeekHrs (0.52) and negatively on logComp (-0.35) and JobSat (-0.41) - a "Workload intensity" axis (busier, more code-review-heavy roles that pay/satisfy relatively less). PC3 (17.3%) loads positively on JobSat (0.74) and WorkWeekHrs (0.54), and negatively on YearsCodePro/Age - a "Satisfaction net of seniority" axis distinguishing happy vs. unhappy developers of similar tenure.</w:t>
      </w:r>
    </w:p>
    <w:p>
      <w:pPr>
        <w:jc w:val="center"/>
      </w:pPr>
      <w:r>
        <w:rPr>
          <w:rFonts w:ascii="Arial" w:hAnsi="Arial"/>
          <w:b/>
          <w:sz w:val="20"/>
        </w:rPr>
        <w:t>Figure 3. PCA biplot (PC1 vs PC2), colored by job-seeking status</w:t>
      </w:r>
    </w:p>
    <w:p>
      <w:pPr>
        <w:jc w:val="center"/>
      </w:pPr>
      <w:r>
        <w:drawing>
          <wp:inline xmlns:a="http://schemas.openxmlformats.org/drawingml/2006/main" xmlns:pic="http://schemas.openxmlformats.org/drawingml/2006/picture">
            <wp:extent cx="3931920" cy="3669792"/>
            <wp:docPr id="3" name="Picture 3"/>
            <wp:cNvGraphicFramePr>
              <a:graphicFrameLocks noChangeAspect="1"/>
            </wp:cNvGraphicFramePr>
            <a:graphic>
              <a:graphicData uri="http://schemas.openxmlformats.org/drawingml/2006/picture">
                <pic:pic>
                  <pic:nvPicPr>
                    <pic:cNvPr id="0" name="fig3_biplot.png"/>
                    <pic:cNvPicPr/>
                  </pic:nvPicPr>
                  <pic:blipFill>
                    <a:blip r:embed="rId11"/>
                    <a:stretch>
                      <a:fillRect/>
                    </a:stretch>
                  </pic:blipFill>
                  <pic:spPr>
                    <a:xfrm>
                      <a:off x="0" y="0"/>
                      <a:ext cx="3931920" cy="3669792"/>
                    </a:xfrm>
                    <a:prstGeom prst="rect"/>
                  </pic:spPr>
                </pic:pic>
              </a:graphicData>
            </a:graphic>
          </wp:inline>
        </w:drawing>
      </w:r>
    </w:p>
    <w:p>
      <w:r>
        <w:rPr>
          <w:rFonts w:ascii="Arial" w:hAnsi="Arial"/>
          <w:b w:val="0"/>
          <w:i w:val="0"/>
          <w:sz w:val="22"/>
        </w:rPr>
        <w:t>The biplot shows job-seekers (orange) distributed broadly across PC1 (seniority is not strongly differentiating, consistent with Section 4) but with a visible density shift toward the lower/negative region of PC2 and PC3 -lower satisfaction, in the direction opposite the JobSat arrow - echoing the MANOVA result. PC scores (PC1-PC3) are carried forward as the feature space for clustering in Section 7.</w:t>
      </w:r>
    </w:p>
    <w:p>
      <w:pPr>
        <w:pStyle w:val="Heading1"/>
      </w:pPr>
      <w:r>
        <w:rPr>
          <w:rFonts w:ascii="Arial" w:hAnsi="Arial"/>
          <w:color w:val="000000"/>
          <w:sz w:val="28"/>
        </w:rPr>
        <w:t>6. Logistic Regression and Ridge Regularization</w:t>
      </w:r>
    </w:p>
    <w:p>
      <w:r>
        <w:rPr>
          <w:rFonts w:ascii="Arial" w:hAnsi="Arial"/>
          <w:b w:val="0"/>
          <w:i w:val="0"/>
          <w:sz w:val="22"/>
        </w:rPr>
        <w:t>Model: JobSeek ~ logComp + YearsCodePro + WorkWeekHrs + Age + JobSat + CodeRevHrs + EdLevel (3 dummies, ref.=Less than Bachelor's) + Hobbyist + Country (4 dummies, ref.=United States). McFadden's pseudo-R2 = 0.154 (deviance -2LL = 8,529.6 vs. null -2LL = 10,077.6), a solid fit for a cross-sectional attitudinal outcome.</w:t>
      </w:r>
    </w:p>
    <w:p>
      <w:pPr>
        <w:jc w:val="center"/>
      </w:pPr>
      <w:r>
        <w:rPr>
          <w:rFonts w:ascii="Arial" w:hAnsi="Arial"/>
          <w:b/>
          <w:sz w:val="20"/>
        </w:rPr>
        <w:t>Table 9. Odds ratios (95% CI) for job-seeking, natural-unit model</w:t>
      </w:r>
    </w:p>
    <w:tbl>
      <w:tblPr>
        <w:tblStyle w:val="LightGrid-Accent1"/>
        <w:tblW w:type="auto" w:w="0"/>
        <w:tblLook w:firstColumn="1" w:firstRow="1" w:lastColumn="0" w:lastRow="0" w:noHBand="0" w:noVBand="1" w:val="04A0"/>
      </w:tblPr>
      <w:tblGrid>
        <w:gridCol w:w="1608"/>
        <w:gridCol w:w="1608"/>
        <w:gridCol w:w="1608"/>
        <w:gridCol w:w="1608"/>
        <w:gridCol w:w="1608"/>
        <w:gridCol w:w="1608"/>
      </w:tblGrid>
      <w:tr>
        <w:tc>
          <w:tcPr>
            <w:tcW w:type="dxa" w:w="1608"/>
          </w:tcPr>
          <w:p>
            <w:r>
              <w:rPr>
                <w:rFonts w:ascii="Arial" w:hAnsi="Arial"/>
                <w:b/>
                <w:sz w:val="18"/>
              </w:rPr>
            </w:r>
          </w:p>
        </w:tc>
        <w:tc>
          <w:tcPr>
            <w:tcW w:type="dxa" w:w="1608"/>
          </w:tcPr>
          <w:p>
            <w:r>
              <w:rPr>
                <w:rFonts w:ascii="Arial" w:hAnsi="Arial"/>
                <w:b/>
                <w:sz w:val="18"/>
              </w:rPr>
              <w:t>coef</w:t>
            </w:r>
          </w:p>
        </w:tc>
        <w:tc>
          <w:tcPr>
            <w:tcW w:type="dxa" w:w="1608"/>
          </w:tcPr>
          <w:p>
            <w:r>
              <w:rPr>
                <w:rFonts w:ascii="Arial" w:hAnsi="Arial"/>
                <w:b/>
                <w:sz w:val="18"/>
              </w:rPr>
              <w:t>OR</w:t>
            </w:r>
          </w:p>
        </w:tc>
        <w:tc>
          <w:tcPr>
            <w:tcW w:type="dxa" w:w="1608"/>
          </w:tcPr>
          <w:p>
            <w:r>
              <w:rPr>
                <w:rFonts w:ascii="Arial" w:hAnsi="Arial"/>
                <w:b/>
                <w:sz w:val="18"/>
              </w:rPr>
              <w:t>CI low</w:t>
            </w:r>
          </w:p>
        </w:tc>
        <w:tc>
          <w:tcPr>
            <w:tcW w:type="dxa" w:w="1608"/>
          </w:tcPr>
          <w:p>
            <w:r>
              <w:rPr>
                <w:rFonts w:ascii="Arial" w:hAnsi="Arial"/>
                <w:b/>
                <w:sz w:val="18"/>
              </w:rPr>
              <w:t>CI high</w:t>
            </w:r>
          </w:p>
        </w:tc>
        <w:tc>
          <w:tcPr>
            <w:tcW w:type="dxa" w:w="1608"/>
          </w:tcPr>
          <w:p>
            <w:r>
              <w:rPr>
                <w:rFonts w:ascii="Arial" w:hAnsi="Arial"/>
                <w:b/>
                <w:sz w:val="18"/>
              </w:rPr>
              <w:t>p</w:t>
            </w:r>
          </w:p>
        </w:tc>
      </w:tr>
      <w:tr>
        <w:tc>
          <w:tcPr>
            <w:tcW w:type="dxa" w:w="1608"/>
          </w:tcPr>
          <w:p>
            <w:r>
              <w:rPr>
                <w:rFonts w:ascii="Arial" w:hAnsi="Arial"/>
                <w:sz w:val="18"/>
              </w:rPr>
              <w:t>logComp</w:t>
            </w:r>
          </w:p>
        </w:tc>
        <w:tc>
          <w:tcPr>
            <w:tcW w:type="dxa" w:w="1608"/>
          </w:tcPr>
          <w:p>
            <w:r>
              <w:rPr>
                <w:rFonts w:ascii="Arial" w:hAnsi="Arial"/>
                <w:sz w:val="18"/>
              </w:rPr>
              <w:t>-0.043</w:t>
            </w:r>
          </w:p>
        </w:tc>
        <w:tc>
          <w:tcPr>
            <w:tcW w:type="dxa" w:w="1608"/>
          </w:tcPr>
          <w:p>
            <w:r>
              <w:rPr>
                <w:rFonts w:ascii="Arial" w:hAnsi="Arial"/>
                <w:sz w:val="18"/>
              </w:rPr>
              <w:t>0.958</w:t>
            </w:r>
          </w:p>
        </w:tc>
        <w:tc>
          <w:tcPr>
            <w:tcW w:type="dxa" w:w="1608"/>
          </w:tcPr>
          <w:p>
            <w:r>
              <w:rPr>
                <w:rFonts w:ascii="Arial" w:hAnsi="Arial"/>
                <w:sz w:val="18"/>
              </w:rPr>
              <w:t>0.906</w:t>
            </w:r>
          </w:p>
        </w:tc>
        <w:tc>
          <w:tcPr>
            <w:tcW w:type="dxa" w:w="1608"/>
          </w:tcPr>
          <w:p>
            <w:r>
              <w:rPr>
                <w:rFonts w:ascii="Arial" w:hAnsi="Arial"/>
                <w:sz w:val="18"/>
              </w:rPr>
              <w:t>1.013</w:t>
            </w:r>
          </w:p>
        </w:tc>
        <w:tc>
          <w:tcPr>
            <w:tcW w:type="dxa" w:w="1608"/>
          </w:tcPr>
          <w:p>
            <w:r>
              <w:rPr>
                <w:rFonts w:ascii="Arial" w:hAnsi="Arial"/>
                <w:sz w:val="18"/>
              </w:rPr>
              <w:t>0.129</w:t>
            </w:r>
          </w:p>
        </w:tc>
      </w:tr>
      <w:tr>
        <w:tc>
          <w:tcPr>
            <w:tcW w:type="dxa" w:w="1608"/>
          </w:tcPr>
          <w:p>
            <w:r>
              <w:rPr>
                <w:rFonts w:ascii="Arial" w:hAnsi="Arial"/>
                <w:sz w:val="18"/>
              </w:rPr>
              <w:t>YearsCodePro</w:t>
            </w:r>
          </w:p>
        </w:tc>
        <w:tc>
          <w:tcPr>
            <w:tcW w:type="dxa" w:w="1608"/>
          </w:tcPr>
          <w:p>
            <w:r>
              <w:rPr>
                <w:rFonts w:ascii="Arial" w:hAnsi="Arial"/>
                <w:sz w:val="18"/>
              </w:rPr>
              <w:t>-0.025</w:t>
            </w:r>
          </w:p>
        </w:tc>
        <w:tc>
          <w:tcPr>
            <w:tcW w:type="dxa" w:w="1608"/>
          </w:tcPr>
          <w:p>
            <w:r>
              <w:rPr>
                <w:rFonts w:ascii="Arial" w:hAnsi="Arial"/>
                <w:sz w:val="18"/>
              </w:rPr>
              <w:t>0.976</w:t>
            </w:r>
          </w:p>
        </w:tc>
        <w:tc>
          <w:tcPr>
            <w:tcW w:type="dxa" w:w="1608"/>
          </w:tcPr>
          <w:p>
            <w:r>
              <w:rPr>
                <w:rFonts w:ascii="Arial" w:hAnsi="Arial"/>
                <w:sz w:val="18"/>
              </w:rPr>
              <w:t>0.963</w:t>
            </w:r>
          </w:p>
        </w:tc>
        <w:tc>
          <w:tcPr>
            <w:tcW w:type="dxa" w:w="1608"/>
          </w:tcPr>
          <w:p>
            <w:r>
              <w:rPr>
                <w:rFonts w:ascii="Arial" w:hAnsi="Arial"/>
                <w:sz w:val="18"/>
              </w:rPr>
              <w:t>0.989</w:t>
            </w:r>
          </w:p>
        </w:tc>
        <w:tc>
          <w:tcPr>
            <w:tcW w:type="dxa" w:w="1608"/>
          </w:tcPr>
          <w:p>
            <w:r>
              <w:rPr>
                <w:rFonts w:ascii="Arial" w:hAnsi="Arial"/>
                <w:sz w:val="18"/>
              </w:rPr>
              <w:t>0.0</w:t>
            </w:r>
          </w:p>
        </w:tc>
      </w:tr>
      <w:tr>
        <w:tc>
          <w:tcPr>
            <w:tcW w:type="dxa" w:w="1608"/>
          </w:tcPr>
          <w:p>
            <w:r>
              <w:rPr>
                <w:rFonts w:ascii="Arial" w:hAnsi="Arial"/>
                <w:sz w:val="18"/>
              </w:rPr>
              <w:t>WorkWeekHrs</w:t>
            </w:r>
          </w:p>
        </w:tc>
        <w:tc>
          <w:tcPr>
            <w:tcW w:type="dxa" w:w="1608"/>
          </w:tcPr>
          <w:p>
            <w:r>
              <w:rPr>
                <w:rFonts w:ascii="Arial" w:hAnsi="Arial"/>
                <w:sz w:val="18"/>
              </w:rPr>
              <w:t>-0.006</w:t>
            </w:r>
          </w:p>
        </w:tc>
        <w:tc>
          <w:tcPr>
            <w:tcW w:type="dxa" w:w="1608"/>
          </w:tcPr>
          <w:p>
            <w:r>
              <w:rPr>
                <w:rFonts w:ascii="Arial" w:hAnsi="Arial"/>
                <w:sz w:val="18"/>
              </w:rPr>
              <w:t>0.994</w:t>
            </w:r>
          </w:p>
        </w:tc>
        <w:tc>
          <w:tcPr>
            <w:tcW w:type="dxa" w:w="1608"/>
          </w:tcPr>
          <w:p>
            <w:r>
              <w:rPr>
                <w:rFonts w:ascii="Arial" w:hAnsi="Arial"/>
                <w:sz w:val="18"/>
              </w:rPr>
              <w:t>0.987</w:t>
            </w:r>
          </w:p>
        </w:tc>
        <w:tc>
          <w:tcPr>
            <w:tcW w:type="dxa" w:w="1608"/>
          </w:tcPr>
          <w:p>
            <w:r>
              <w:rPr>
                <w:rFonts w:ascii="Arial" w:hAnsi="Arial"/>
                <w:sz w:val="18"/>
              </w:rPr>
              <w:t>1.001</w:t>
            </w:r>
          </w:p>
        </w:tc>
        <w:tc>
          <w:tcPr>
            <w:tcW w:type="dxa" w:w="1608"/>
          </w:tcPr>
          <w:p>
            <w:r>
              <w:rPr>
                <w:rFonts w:ascii="Arial" w:hAnsi="Arial"/>
                <w:sz w:val="18"/>
              </w:rPr>
              <w:t>0.11</w:t>
            </w:r>
          </w:p>
        </w:tc>
      </w:tr>
      <w:tr>
        <w:tc>
          <w:tcPr>
            <w:tcW w:type="dxa" w:w="1608"/>
          </w:tcPr>
          <w:p>
            <w:r>
              <w:rPr>
                <w:rFonts w:ascii="Arial" w:hAnsi="Arial"/>
                <w:sz w:val="18"/>
              </w:rPr>
              <w:t>Age</w:t>
            </w:r>
          </w:p>
        </w:tc>
        <w:tc>
          <w:tcPr>
            <w:tcW w:type="dxa" w:w="1608"/>
          </w:tcPr>
          <w:p>
            <w:r>
              <w:rPr>
                <w:rFonts w:ascii="Arial" w:hAnsi="Arial"/>
                <w:sz w:val="18"/>
              </w:rPr>
              <w:t>0.022</w:t>
            </w:r>
          </w:p>
        </w:tc>
        <w:tc>
          <w:tcPr>
            <w:tcW w:type="dxa" w:w="1608"/>
          </w:tcPr>
          <w:p>
            <w:r>
              <w:rPr>
                <w:rFonts w:ascii="Arial" w:hAnsi="Arial"/>
                <w:sz w:val="18"/>
              </w:rPr>
              <w:t>1.023</w:t>
            </w:r>
          </w:p>
        </w:tc>
        <w:tc>
          <w:tcPr>
            <w:tcW w:type="dxa" w:w="1608"/>
          </w:tcPr>
          <w:p>
            <w:r>
              <w:rPr>
                <w:rFonts w:ascii="Arial" w:hAnsi="Arial"/>
                <w:sz w:val="18"/>
              </w:rPr>
              <w:t>1.01</w:t>
            </w:r>
          </w:p>
        </w:tc>
        <w:tc>
          <w:tcPr>
            <w:tcW w:type="dxa" w:w="1608"/>
          </w:tcPr>
          <w:p>
            <w:r>
              <w:rPr>
                <w:rFonts w:ascii="Arial" w:hAnsi="Arial"/>
                <w:sz w:val="18"/>
              </w:rPr>
              <w:t>1.036</w:t>
            </w:r>
          </w:p>
        </w:tc>
        <w:tc>
          <w:tcPr>
            <w:tcW w:type="dxa" w:w="1608"/>
          </w:tcPr>
          <w:p>
            <w:r>
              <w:rPr>
                <w:rFonts w:ascii="Arial" w:hAnsi="Arial"/>
                <w:sz w:val="18"/>
              </w:rPr>
              <w:t>0.001</w:t>
            </w:r>
          </w:p>
        </w:tc>
      </w:tr>
      <w:tr>
        <w:tc>
          <w:tcPr>
            <w:tcW w:type="dxa" w:w="1608"/>
          </w:tcPr>
          <w:p>
            <w:r>
              <w:rPr>
                <w:rFonts w:ascii="Arial" w:hAnsi="Arial"/>
                <w:sz w:val="18"/>
              </w:rPr>
              <w:t>JobSat_num</w:t>
            </w:r>
          </w:p>
        </w:tc>
        <w:tc>
          <w:tcPr>
            <w:tcW w:type="dxa" w:w="1608"/>
          </w:tcPr>
          <w:p>
            <w:r>
              <w:rPr>
                <w:rFonts w:ascii="Arial" w:hAnsi="Arial"/>
                <w:sz w:val="18"/>
              </w:rPr>
              <w:t>-0.872</w:t>
            </w:r>
          </w:p>
        </w:tc>
        <w:tc>
          <w:tcPr>
            <w:tcW w:type="dxa" w:w="1608"/>
          </w:tcPr>
          <w:p>
            <w:r>
              <w:rPr>
                <w:rFonts w:ascii="Arial" w:hAnsi="Arial"/>
                <w:sz w:val="18"/>
              </w:rPr>
              <w:t>0.418</w:t>
            </w:r>
          </w:p>
        </w:tc>
        <w:tc>
          <w:tcPr>
            <w:tcW w:type="dxa" w:w="1608"/>
          </w:tcPr>
          <w:p>
            <w:r>
              <w:rPr>
                <w:rFonts w:ascii="Arial" w:hAnsi="Arial"/>
                <w:sz w:val="18"/>
              </w:rPr>
              <w:t>0.394</w:t>
            </w:r>
          </w:p>
        </w:tc>
        <w:tc>
          <w:tcPr>
            <w:tcW w:type="dxa" w:w="1608"/>
          </w:tcPr>
          <w:p>
            <w:r>
              <w:rPr>
                <w:rFonts w:ascii="Arial" w:hAnsi="Arial"/>
                <w:sz w:val="18"/>
              </w:rPr>
              <w:t>0.444</w:t>
            </w:r>
          </w:p>
        </w:tc>
        <w:tc>
          <w:tcPr>
            <w:tcW w:type="dxa" w:w="1608"/>
          </w:tcPr>
          <w:p>
            <w:r>
              <w:rPr>
                <w:rFonts w:ascii="Arial" w:hAnsi="Arial"/>
                <w:sz w:val="18"/>
              </w:rPr>
              <w:t>0.0</w:t>
            </w:r>
          </w:p>
        </w:tc>
      </w:tr>
      <w:tr>
        <w:tc>
          <w:tcPr>
            <w:tcW w:type="dxa" w:w="1608"/>
          </w:tcPr>
          <w:p>
            <w:r>
              <w:rPr>
                <w:rFonts w:ascii="Arial" w:hAnsi="Arial"/>
                <w:sz w:val="18"/>
              </w:rPr>
              <w:t>CodeRevHrs</w:t>
            </w:r>
          </w:p>
        </w:tc>
        <w:tc>
          <w:tcPr>
            <w:tcW w:type="dxa" w:w="1608"/>
          </w:tcPr>
          <w:p>
            <w:r>
              <w:rPr>
                <w:rFonts w:ascii="Arial" w:hAnsi="Arial"/>
                <w:sz w:val="18"/>
              </w:rPr>
              <w:t>0.009</w:t>
            </w:r>
          </w:p>
        </w:tc>
        <w:tc>
          <w:tcPr>
            <w:tcW w:type="dxa" w:w="1608"/>
          </w:tcPr>
          <w:p>
            <w:r>
              <w:rPr>
                <w:rFonts w:ascii="Arial" w:hAnsi="Arial"/>
                <w:sz w:val="18"/>
              </w:rPr>
              <w:t>1.009</w:t>
            </w:r>
          </w:p>
        </w:tc>
        <w:tc>
          <w:tcPr>
            <w:tcW w:type="dxa" w:w="1608"/>
          </w:tcPr>
          <w:p>
            <w:r>
              <w:rPr>
                <w:rFonts w:ascii="Arial" w:hAnsi="Arial"/>
                <w:sz w:val="18"/>
              </w:rPr>
              <w:t>0.993</w:t>
            </w:r>
          </w:p>
        </w:tc>
        <w:tc>
          <w:tcPr>
            <w:tcW w:type="dxa" w:w="1608"/>
          </w:tcPr>
          <w:p>
            <w:r>
              <w:rPr>
                <w:rFonts w:ascii="Arial" w:hAnsi="Arial"/>
                <w:sz w:val="18"/>
              </w:rPr>
              <w:t>1.025</w:t>
            </w:r>
          </w:p>
        </w:tc>
        <w:tc>
          <w:tcPr>
            <w:tcW w:type="dxa" w:w="1608"/>
          </w:tcPr>
          <w:p>
            <w:r>
              <w:rPr>
                <w:rFonts w:ascii="Arial" w:hAnsi="Arial"/>
                <w:sz w:val="18"/>
              </w:rPr>
              <w:t>0.26</w:t>
            </w:r>
          </w:p>
        </w:tc>
      </w:tr>
      <w:tr>
        <w:tc>
          <w:tcPr>
            <w:tcW w:type="dxa" w:w="1608"/>
          </w:tcPr>
          <w:p>
            <w:r>
              <w:rPr>
                <w:rFonts w:ascii="Arial" w:hAnsi="Arial"/>
                <w:sz w:val="18"/>
              </w:rPr>
              <w:t>Hobbyist_bin</w:t>
            </w:r>
          </w:p>
        </w:tc>
        <w:tc>
          <w:tcPr>
            <w:tcW w:type="dxa" w:w="1608"/>
          </w:tcPr>
          <w:p>
            <w:r>
              <w:rPr>
                <w:rFonts w:ascii="Arial" w:hAnsi="Arial"/>
                <w:sz w:val="18"/>
              </w:rPr>
              <w:t>0.26</w:t>
            </w:r>
          </w:p>
        </w:tc>
        <w:tc>
          <w:tcPr>
            <w:tcW w:type="dxa" w:w="1608"/>
          </w:tcPr>
          <w:p>
            <w:r>
              <w:rPr>
                <w:rFonts w:ascii="Arial" w:hAnsi="Arial"/>
                <w:sz w:val="18"/>
              </w:rPr>
              <w:t>1.296</w:t>
            </w:r>
          </w:p>
        </w:tc>
        <w:tc>
          <w:tcPr>
            <w:tcW w:type="dxa" w:w="1608"/>
          </w:tcPr>
          <w:p>
            <w:r>
              <w:rPr>
                <w:rFonts w:ascii="Arial" w:hAnsi="Arial"/>
                <w:sz w:val="18"/>
              </w:rPr>
              <w:t>1.141</w:t>
            </w:r>
          </w:p>
        </w:tc>
        <w:tc>
          <w:tcPr>
            <w:tcW w:type="dxa" w:w="1608"/>
          </w:tcPr>
          <w:p>
            <w:r>
              <w:rPr>
                <w:rFonts w:ascii="Arial" w:hAnsi="Arial"/>
                <w:sz w:val="18"/>
              </w:rPr>
              <w:t>1.473</w:t>
            </w:r>
          </w:p>
        </w:tc>
        <w:tc>
          <w:tcPr>
            <w:tcW w:type="dxa" w:w="1608"/>
          </w:tcPr>
          <w:p>
            <w:r>
              <w:rPr>
                <w:rFonts w:ascii="Arial" w:hAnsi="Arial"/>
                <w:sz w:val="18"/>
              </w:rPr>
              <w:t>0.0</w:t>
            </w:r>
          </w:p>
        </w:tc>
      </w:tr>
      <w:tr>
        <w:tc>
          <w:tcPr>
            <w:tcW w:type="dxa" w:w="1608"/>
          </w:tcPr>
          <w:p>
            <w:r>
              <w:rPr>
                <w:rFonts w:ascii="Arial" w:hAnsi="Arial"/>
                <w:sz w:val="18"/>
              </w:rPr>
              <w:t>Ed_Bachelors</w:t>
            </w:r>
          </w:p>
        </w:tc>
        <w:tc>
          <w:tcPr>
            <w:tcW w:type="dxa" w:w="1608"/>
          </w:tcPr>
          <w:p>
            <w:r>
              <w:rPr>
                <w:rFonts w:ascii="Arial" w:hAnsi="Arial"/>
                <w:sz w:val="18"/>
              </w:rPr>
              <w:t>-0.053</w:t>
            </w:r>
          </w:p>
        </w:tc>
        <w:tc>
          <w:tcPr>
            <w:tcW w:type="dxa" w:w="1608"/>
          </w:tcPr>
          <w:p>
            <w:r>
              <w:rPr>
                <w:rFonts w:ascii="Arial" w:hAnsi="Arial"/>
                <w:sz w:val="18"/>
              </w:rPr>
              <w:t>0.948</w:t>
            </w:r>
          </w:p>
        </w:tc>
        <w:tc>
          <w:tcPr>
            <w:tcW w:type="dxa" w:w="1608"/>
          </w:tcPr>
          <w:p>
            <w:r>
              <w:rPr>
                <w:rFonts w:ascii="Arial" w:hAnsi="Arial"/>
                <w:sz w:val="18"/>
              </w:rPr>
              <w:t>0.824</w:t>
            </w:r>
          </w:p>
        </w:tc>
        <w:tc>
          <w:tcPr>
            <w:tcW w:type="dxa" w:w="1608"/>
          </w:tcPr>
          <w:p>
            <w:r>
              <w:rPr>
                <w:rFonts w:ascii="Arial" w:hAnsi="Arial"/>
                <w:sz w:val="18"/>
              </w:rPr>
              <w:t>1.092</w:t>
            </w:r>
          </w:p>
        </w:tc>
        <w:tc>
          <w:tcPr>
            <w:tcW w:type="dxa" w:w="1608"/>
          </w:tcPr>
          <w:p>
            <w:r>
              <w:rPr>
                <w:rFonts w:ascii="Arial" w:hAnsi="Arial"/>
                <w:sz w:val="18"/>
              </w:rPr>
              <w:t>0.462</w:t>
            </w:r>
          </w:p>
        </w:tc>
      </w:tr>
      <w:tr>
        <w:tc>
          <w:tcPr>
            <w:tcW w:type="dxa" w:w="1608"/>
          </w:tcPr>
          <w:p>
            <w:r>
              <w:rPr>
                <w:rFonts w:ascii="Arial" w:hAnsi="Arial"/>
                <w:sz w:val="18"/>
              </w:rPr>
              <w:t>Ed_Doctoral_Prof</w:t>
            </w:r>
          </w:p>
        </w:tc>
        <w:tc>
          <w:tcPr>
            <w:tcW w:type="dxa" w:w="1608"/>
          </w:tcPr>
          <w:p>
            <w:r>
              <w:rPr>
                <w:rFonts w:ascii="Arial" w:hAnsi="Arial"/>
                <w:sz w:val="18"/>
              </w:rPr>
              <w:t>0.019</w:t>
            </w:r>
          </w:p>
        </w:tc>
        <w:tc>
          <w:tcPr>
            <w:tcW w:type="dxa" w:w="1608"/>
          </w:tcPr>
          <w:p>
            <w:r>
              <w:rPr>
                <w:rFonts w:ascii="Arial" w:hAnsi="Arial"/>
                <w:sz w:val="18"/>
              </w:rPr>
              <w:t>1.019</w:t>
            </w:r>
          </w:p>
        </w:tc>
        <w:tc>
          <w:tcPr>
            <w:tcW w:type="dxa" w:w="1608"/>
          </w:tcPr>
          <w:p>
            <w:r>
              <w:rPr>
                <w:rFonts w:ascii="Arial" w:hAnsi="Arial"/>
                <w:sz w:val="18"/>
              </w:rPr>
              <w:t>0.732</w:t>
            </w:r>
          </w:p>
        </w:tc>
        <w:tc>
          <w:tcPr>
            <w:tcW w:type="dxa" w:w="1608"/>
          </w:tcPr>
          <w:p>
            <w:r>
              <w:rPr>
                <w:rFonts w:ascii="Arial" w:hAnsi="Arial"/>
                <w:sz w:val="18"/>
              </w:rPr>
              <w:t>1.418</w:t>
            </w:r>
          </w:p>
        </w:tc>
        <w:tc>
          <w:tcPr>
            <w:tcW w:type="dxa" w:w="1608"/>
          </w:tcPr>
          <w:p>
            <w:r>
              <w:rPr>
                <w:rFonts w:ascii="Arial" w:hAnsi="Arial"/>
                <w:sz w:val="18"/>
              </w:rPr>
              <w:t>0.912</w:t>
            </w:r>
          </w:p>
        </w:tc>
      </w:tr>
      <w:tr>
        <w:tc>
          <w:tcPr>
            <w:tcW w:type="dxa" w:w="1608"/>
          </w:tcPr>
          <w:p>
            <w:r>
              <w:rPr>
                <w:rFonts w:ascii="Arial" w:hAnsi="Arial"/>
                <w:sz w:val="18"/>
              </w:rPr>
              <w:t>Ed_Masters</w:t>
            </w:r>
          </w:p>
        </w:tc>
        <w:tc>
          <w:tcPr>
            <w:tcW w:type="dxa" w:w="1608"/>
          </w:tcPr>
          <w:p>
            <w:r>
              <w:rPr>
                <w:rFonts w:ascii="Arial" w:hAnsi="Arial"/>
                <w:sz w:val="18"/>
              </w:rPr>
              <w:t>0.058</w:t>
            </w:r>
          </w:p>
        </w:tc>
        <w:tc>
          <w:tcPr>
            <w:tcW w:type="dxa" w:w="1608"/>
          </w:tcPr>
          <w:p>
            <w:r>
              <w:rPr>
                <w:rFonts w:ascii="Arial" w:hAnsi="Arial"/>
                <w:sz w:val="18"/>
              </w:rPr>
              <w:t>1.06</w:t>
            </w:r>
          </w:p>
        </w:tc>
        <w:tc>
          <w:tcPr>
            <w:tcW w:type="dxa" w:w="1608"/>
          </w:tcPr>
          <w:p>
            <w:r>
              <w:rPr>
                <w:rFonts w:ascii="Arial" w:hAnsi="Arial"/>
                <w:sz w:val="18"/>
              </w:rPr>
              <w:t>0.897</w:t>
            </w:r>
          </w:p>
        </w:tc>
        <w:tc>
          <w:tcPr>
            <w:tcW w:type="dxa" w:w="1608"/>
          </w:tcPr>
          <w:p>
            <w:r>
              <w:rPr>
                <w:rFonts w:ascii="Arial" w:hAnsi="Arial"/>
                <w:sz w:val="18"/>
              </w:rPr>
              <w:t>1.252</w:t>
            </w:r>
          </w:p>
        </w:tc>
        <w:tc>
          <w:tcPr>
            <w:tcW w:type="dxa" w:w="1608"/>
          </w:tcPr>
          <w:p>
            <w:r>
              <w:rPr>
                <w:rFonts w:ascii="Arial" w:hAnsi="Arial"/>
                <w:sz w:val="18"/>
              </w:rPr>
              <w:t>0.493</w:t>
            </w:r>
          </w:p>
        </w:tc>
      </w:tr>
      <w:tr>
        <w:tc>
          <w:tcPr>
            <w:tcW w:type="dxa" w:w="1608"/>
          </w:tcPr>
          <w:p>
            <w:r>
              <w:rPr>
                <w:rFonts w:ascii="Arial" w:hAnsi="Arial"/>
                <w:sz w:val="18"/>
              </w:rPr>
              <w:t>Ctry_Canada</w:t>
            </w:r>
          </w:p>
        </w:tc>
        <w:tc>
          <w:tcPr>
            <w:tcW w:type="dxa" w:w="1608"/>
          </w:tcPr>
          <w:p>
            <w:r>
              <w:rPr>
                <w:rFonts w:ascii="Arial" w:hAnsi="Arial"/>
                <w:sz w:val="18"/>
              </w:rPr>
              <w:t>0.033</w:t>
            </w:r>
          </w:p>
        </w:tc>
        <w:tc>
          <w:tcPr>
            <w:tcW w:type="dxa" w:w="1608"/>
          </w:tcPr>
          <w:p>
            <w:r>
              <w:rPr>
                <w:rFonts w:ascii="Arial" w:hAnsi="Arial"/>
                <w:sz w:val="18"/>
              </w:rPr>
              <w:t>1.034</w:t>
            </w:r>
          </w:p>
        </w:tc>
        <w:tc>
          <w:tcPr>
            <w:tcW w:type="dxa" w:w="1608"/>
          </w:tcPr>
          <w:p>
            <w:r>
              <w:rPr>
                <w:rFonts w:ascii="Arial" w:hAnsi="Arial"/>
                <w:sz w:val="18"/>
              </w:rPr>
              <w:t>0.848</w:t>
            </w:r>
          </w:p>
        </w:tc>
        <w:tc>
          <w:tcPr>
            <w:tcW w:type="dxa" w:w="1608"/>
          </w:tcPr>
          <w:p>
            <w:r>
              <w:rPr>
                <w:rFonts w:ascii="Arial" w:hAnsi="Arial"/>
                <w:sz w:val="18"/>
              </w:rPr>
              <w:t>1.26</w:t>
            </w:r>
          </w:p>
        </w:tc>
        <w:tc>
          <w:tcPr>
            <w:tcW w:type="dxa" w:w="1608"/>
          </w:tcPr>
          <w:p>
            <w:r>
              <w:rPr>
                <w:rFonts w:ascii="Arial" w:hAnsi="Arial"/>
                <w:sz w:val="18"/>
              </w:rPr>
              <w:t>0.743</w:t>
            </w:r>
          </w:p>
        </w:tc>
      </w:tr>
      <w:tr>
        <w:tc>
          <w:tcPr>
            <w:tcW w:type="dxa" w:w="1608"/>
          </w:tcPr>
          <w:p>
            <w:r>
              <w:rPr>
                <w:rFonts w:ascii="Arial" w:hAnsi="Arial"/>
                <w:sz w:val="18"/>
              </w:rPr>
              <w:t>Ctry_Germany</w:t>
            </w:r>
          </w:p>
        </w:tc>
        <w:tc>
          <w:tcPr>
            <w:tcW w:type="dxa" w:w="1608"/>
          </w:tcPr>
          <w:p>
            <w:r>
              <w:rPr>
                <w:rFonts w:ascii="Arial" w:hAnsi="Arial"/>
                <w:sz w:val="18"/>
              </w:rPr>
              <w:t>-0.382</w:t>
            </w:r>
          </w:p>
        </w:tc>
        <w:tc>
          <w:tcPr>
            <w:tcW w:type="dxa" w:w="1608"/>
          </w:tcPr>
          <w:p>
            <w:r>
              <w:rPr>
                <w:rFonts w:ascii="Arial" w:hAnsi="Arial"/>
                <w:sz w:val="18"/>
              </w:rPr>
              <w:t>0.683</w:t>
            </w:r>
          </w:p>
        </w:tc>
        <w:tc>
          <w:tcPr>
            <w:tcW w:type="dxa" w:w="1608"/>
          </w:tcPr>
          <w:p>
            <w:r>
              <w:rPr>
                <w:rFonts w:ascii="Arial" w:hAnsi="Arial"/>
                <w:sz w:val="18"/>
              </w:rPr>
              <w:t>0.578</w:t>
            </w:r>
          </w:p>
        </w:tc>
        <w:tc>
          <w:tcPr>
            <w:tcW w:type="dxa" w:w="1608"/>
          </w:tcPr>
          <w:p>
            <w:r>
              <w:rPr>
                <w:rFonts w:ascii="Arial" w:hAnsi="Arial"/>
                <w:sz w:val="18"/>
              </w:rPr>
              <w:t>0.806</w:t>
            </w:r>
          </w:p>
        </w:tc>
        <w:tc>
          <w:tcPr>
            <w:tcW w:type="dxa" w:w="1608"/>
          </w:tcPr>
          <w:p>
            <w:r>
              <w:rPr>
                <w:rFonts w:ascii="Arial" w:hAnsi="Arial"/>
                <w:sz w:val="18"/>
              </w:rPr>
              <w:t>0.0</w:t>
            </w:r>
          </w:p>
        </w:tc>
      </w:tr>
      <w:tr>
        <w:tc>
          <w:tcPr>
            <w:tcW w:type="dxa" w:w="1608"/>
          </w:tcPr>
          <w:p>
            <w:r>
              <w:rPr>
                <w:rFonts w:ascii="Arial" w:hAnsi="Arial"/>
                <w:sz w:val="18"/>
              </w:rPr>
              <w:t>Ctry_India</w:t>
            </w:r>
          </w:p>
        </w:tc>
        <w:tc>
          <w:tcPr>
            <w:tcW w:type="dxa" w:w="1608"/>
          </w:tcPr>
          <w:p>
            <w:r>
              <w:rPr>
                <w:rFonts w:ascii="Arial" w:hAnsi="Arial"/>
                <w:sz w:val="18"/>
              </w:rPr>
              <w:t>1.162</w:t>
            </w:r>
          </w:p>
        </w:tc>
        <w:tc>
          <w:tcPr>
            <w:tcW w:type="dxa" w:w="1608"/>
          </w:tcPr>
          <w:p>
            <w:r>
              <w:rPr>
                <w:rFonts w:ascii="Arial" w:hAnsi="Arial"/>
                <w:sz w:val="18"/>
              </w:rPr>
              <w:t>3.195</w:t>
            </w:r>
          </w:p>
        </w:tc>
        <w:tc>
          <w:tcPr>
            <w:tcW w:type="dxa" w:w="1608"/>
          </w:tcPr>
          <w:p>
            <w:r>
              <w:rPr>
                <w:rFonts w:ascii="Arial" w:hAnsi="Arial"/>
                <w:sz w:val="18"/>
              </w:rPr>
              <w:t>2.483</w:t>
            </w:r>
          </w:p>
        </w:tc>
        <w:tc>
          <w:tcPr>
            <w:tcW w:type="dxa" w:w="1608"/>
          </w:tcPr>
          <w:p>
            <w:r>
              <w:rPr>
                <w:rFonts w:ascii="Arial" w:hAnsi="Arial"/>
                <w:sz w:val="18"/>
              </w:rPr>
              <w:t>4.113</w:t>
            </w:r>
          </w:p>
        </w:tc>
        <w:tc>
          <w:tcPr>
            <w:tcW w:type="dxa" w:w="1608"/>
          </w:tcPr>
          <w:p>
            <w:r>
              <w:rPr>
                <w:rFonts w:ascii="Arial" w:hAnsi="Arial"/>
                <w:sz w:val="18"/>
              </w:rPr>
              <w:t>0.0</w:t>
            </w:r>
          </w:p>
        </w:tc>
      </w:tr>
      <w:tr>
        <w:tc>
          <w:tcPr>
            <w:tcW w:type="dxa" w:w="1608"/>
          </w:tcPr>
          <w:p>
            <w:r>
              <w:rPr>
                <w:rFonts w:ascii="Arial" w:hAnsi="Arial"/>
                <w:sz w:val="18"/>
              </w:rPr>
              <w:t>Ctry_United Kingdom</w:t>
            </w:r>
          </w:p>
        </w:tc>
        <w:tc>
          <w:tcPr>
            <w:tcW w:type="dxa" w:w="1608"/>
          </w:tcPr>
          <w:p>
            <w:r>
              <w:rPr>
                <w:rFonts w:ascii="Arial" w:hAnsi="Arial"/>
                <w:sz w:val="18"/>
              </w:rPr>
              <w:t>-0.188</w:t>
            </w:r>
          </w:p>
        </w:tc>
        <w:tc>
          <w:tcPr>
            <w:tcW w:type="dxa" w:w="1608"/>
          </w:tcPr>
          <w:p>
            <w:r>
              <w:rPr>
                <w:rFonts w:ascii="Arial" w:hAnsi="Arial"/>
                <w:sz w:val="18"/>
              </w:rPr>
              <w:t>0.829</w:t>
            </w:r>
          </w:p>
        </w:tc>
        <w:tc>
          <w:tcPr>
            <w:tcW w:type="dxa" w:w="1608"/>
          </w:tcPr>
          <w:p>
            <w:r>
              <w:rPr>
                <w:rFonts w:ascii="Arial" w:hAnsi="Arial"/>
                <w:sz w:val="18"/>
              </w:rPr>
              <w:t>0.708</w:t>
            </w:r>
          </w:p>
        </w:tc>
        <w:tc>
          <w:tcPr>
            <w:tcW w:type="dxa" w:w="1608"/>
          </w:tcPr>
          <w:p>
            <w:r>
              <w:rPr>
                <w:rFonts w:ascii="Arial" w:hAnsi="Arial"/>
                <w:sz w:val="18"/>
              </w:rPr>
              <w:t>0.971</w:t>
            </w:r>
          </w:p>
        </w:tc>
        <w:tc>
          <w:tcPr>
            <w:tcW w:type="dxa" w:w="1608"/>
          </w:tcPr>
          <w:p>
            <w:r>
              <w:rPr>
                <w:rFonts w:ascii="Arial" w:hAnsi="Arial"/>
                <w:sz w:val="18"/>
              </w:rPr>
              <w:t>0.02</w:t>
            </w:r>
          </w:p>
        </w:tc>
      </w:tr>
    </w:tbl>
    <w:p>
      <w:r>
        <w:rPr>
          <w:rFonts w:ascii="Arial" w:hAnsi="Arial"/>
          <w:b w:val="0"/>
          <w:i w:val="0"/>
          <w:sz w:val="22"/>
        </w:rPr>
        <w:t>In plain HR language: each additional point of job satisfaction (5-point scale) is associated with a 58% lower odds of job-seeking (OR=0.418, 95% CI 0.394-0.444) - by far the largest, most precisely estimated effect in the model. Each extra year of professional tenure lowers odds by about 2.4% (OR=0.976), holding age constant, while - net of tenure - each extra year of age raises odds by about 2.3% (OR=1.023); these two coefficients partially offset because tenure and age are highly collinear (r=0.86, see Section 6.1) and should be read together, not separately. Hobbyist coders (who code outside of work) have 30% higher odds of seeking (OR=1.296, p&lt;.001) - plausibly a proxy for higher general career engagement/options. Compensation (logComp) and weekly hours are not significant once satisfaction and tenure are controlled. Country is a strong control: Indian developers have more than 3x the odds of U.S. developers of job-seeking (OR=3.195, p&lt;.001), while German (OR=0.683) and UK (OR=0.829) developers have lower odds than the U.S. Education level is not a significant driver of job-seeking in this sample.</w:t>
      </w:r>
    </w:p>
    <w:p>
      <w:pPr>
        <w:jc w:val="center"/>
      </w:pPr>
      <w:r>
        <w:rPr>
          <w:rFonts w:ascii="Arial" w:hAnsi="Arial"/>
          <w:b/>
          <w:sz w:val="20"/>
        </w:rPr>
        <w:t>Table 10. Likelihood-ratio tests for block importance</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rFonts w:ascii="Arial" w:hAnsi="Arial"/>
                <w:b/>
                <w:sz w:val="18"/>
              </w:rPr>
              <w:t>block</w:t>
            </w:r>
          </w:p>
        </w:tc>
        <w:tc>
          <w:tcPr>
            <w:tcW w:type="dxa" w:w="2412"/>
          </w:tcPr>
          <w:p>
            <w:r>
              <w:rPr>
                <w:rFonts w:ascii="Arial" w:hAnsi="Arial"/>
                <w:b/>
                <w:sz w:val="18"/>
              </w:rPr>
              <w:t>LR_chi2</w:t>
            </w:r>
          </w:p>
        </w:tc>
        <w:tc>
          <w:tcPr>
            <w:tcW w:type="dxa" w:w="2412"/>
          </w:tcPr>
          <w:p>
            <w:r>
              <w:rPr>
                <w:rFonts w:ascii="Arial" w:hAnsi="Arial"/>
                <w:b/>
                <w:sz w:val="18"/>
              </w:rPr>
              <w:t>df</w:t>
            </w:r>
          </w:p>
        </w:tc>
        <w:tc>
          <w:tcPr>
            <w:tcW w:type="dxa" w:w="2412"/>
          </w:tcPr>
          <w:p>
            <w:r>
              <w:rPr>
                <w:rFonts w:ascii="Arial" w:hAnsi="Arial"/>
                <w:b/>
                <w:sz w:val="18"/>
              </w:rPr>
              <w:t>p</w:t>
            </w:r>
          </w:p>
        </w:tc>
      </w:tr>
      <w:tr>
        <w:tc>
          <w:tcPr>
            <w:tcW w:type="dxa" w:w="2412"/>
          </w:tcPr>
          <w:p>
            <w:r>
              <w:rPr>
                <w:rFonts w:ascii="Arial" w:hAnsi="Arial"/>
                <w:sz w:val="18"/>
              </w:rPr>
              <w:t>numerics</w:t>
            </w:r>
          </w:p>
        </w:tc>
        <w:tc>
          <w:tcPr>
            <w:tcW w:type="dxa" w:w="2412"/>
          </w:tcPr>
          <w:p>
            <w:r>
              <w:rPr>
                <w:rFonts w:ascii="Arial" w:hAnsi="Arial"/>
                <w:sz w:val="18"/>
              </w:rPr>
              <w:t>1203.355</w:t>
            </w:r>
          </w:p>
        </w:tc>
        <w:tc>
          <w:tcPr>
            <w:tcW w:type="dxa" w:w="2412"/>
          </w:tcPr>
          <w:p>
            <w:r>
              <w:rPr>
                <w:rFonts w:ascii="Arial" w:hAnsi="Arial"/>
                <w:sz w:val="18"/>
              </w:rPr>
              <w:t>6</w:t>
            </w:r>
          </w:p>
        </w:tc>
        <w:tc>
          <w:tcPr>
            <w:tcW w:type="dxa" w:w="2412"/>
          </w:tcPr>
          <w:p>
            <w:r>
              <w:rPr>
                <w:rFonts w:ascii="Arial" w:hAnsi="Arial"/>
                <w:sz w:val="18"/>
              </w:rPr>
              <w:t>0.0</w:t>
            </w:r>
          </w:p>
        </w:tc>
      </w:tr>
      <w:tr>
        <w:tc>
          <w:tcPr>
            <w:tcW w:type="dxa" w:w="2412"/>
          </w:tcPr>
          <w:p>
            <w:r>
              <w:rPr>
                <w:rFonts w:ascii="Arial" w:hAnsi="Arial"/>
                <w:sz w:val="18"/>
              </w:rPr>
              <w:t>EdLevel</w:t>
            </w:r>
          </w:p>
        </w:tc>
        <w:tc>
          <w:tcPr>
            <w:tcW w:type="dxa" w:w="2412"/>
          </w:tcPr>
          <w:p>
            <w:r>
              <w:rPr>
                <w:rFonts w:ascii="Arial" w:hAnsi="Arial"/>
                <w:sz w:val="18"/>
              </w:rPr>
              <w:t>2.719</w:t>
            </w:r>
          </w:p>
        </w:tc>
        <w:tc>
          <w:tcPr>
            <w:tcW w:type="dxa" w:w="2412"/>
          </w:tcPr>
          <w:p>
            <w:r>
              <w:rPr>
                <w:rFonts w:ascii="Arial" w:hAnsi="Arial"/>
                <w:sz w:val="18"/>
              </w:rPr>
              <w:t>3</w:t>
            </w:r>
          </w:p>
        </w:tc>
        <w:tc>
          <w:tcPr>
            <w:tcW w:type="dxa" w:w="2412"/>
          </w:tcPr>
          <w:p>
            <w:r>
              <w:rPr>
                <w:rFonts w:ascii="Arial" w:hAnsi="Arial"/>
                <w:sz w:val="18"/>
              </w:rPr>
              <w:t>0.4369317461308247</w:t>
            </w:r>
          </w:p>
        </w:tc>
      </w:tr>
      <w:tr>
        <w:tc>
          <w:tcPr>
            <w:tcW w:type="dxa" w:w="2412"/>
          </w:tcPr>
          <w:p>
            <w:r>
              <w:rPr>
                <w:rFonts w:ascii="Arial" w:hAnsi="Arial"/>
                <w:sz w:val="18"/>
              </w:rPr>
              <w:t>Hobbyist</w:t>
            </w:r>
          </w:p>
        </w:tc>
        <w:tc>
          <w:tcPr>
            <w:tcW w:type="dxa" w:w="2412"/>
          </w:tcPr>
          <w:p>
            <w:r>
              <w:rPr>
                <w:rFonts w:ascii="Arial" w:hAnsi="Arial"/>
                <w:sz w:val="18"/>
              </w:rPr>
              <w:t>15.768</w:t>
            </w:r>
          </w:p>
        </w:tc>
        <w:tc>
          <w:tcPr>
            <w:tcW w:type="dxa" w:w="2412"/>
          </w:tcPr>
          <w:p>
            <w:r>
              <w:rPr>
                <w:rFonts w:ascii="Arial" w:hAnsi="Arial"/>
                <w:sz w:val="18"/>
              </w:rPr>
              <w:t>1</w:t>
            </w:r>
          </w:p>
        </w:tc>
        <w:tc>
          <w:tcPr>
            <w:tcW w:type="dxa" w:w="2412"/>
          </w:tcPr>
          <w:p>
            <w:r>
              <w:rPr>
                <w:rFonts w:ascii="Arial" w:hAnsi="Arial"/>
                <w:sz w:val="18"/>
              </w:rPr>
              <w:t>7.161629343233056e-05</w:t>
            </w:r>
          </w:p>
        </w:tc>
      </w:tr>
      <w:tr>
        <w:tc>
          <w:tcPr>
            <w:tcW w:type="dxa" w:w="2412"/>
          </w:tcPr>
          <w:p>
            <w:r>
              <w:rPr>
                <w:rFonts w:ascii="Arial" w:hAnsi="Arial"/>
                <w:sz w:val="18"/>
              </w:rPr>
              <w:t>Country</w:t>
            </w:r>
          </w:p>
        </w:tc>
        <w:tc>
          <w:tcPr>
            <w:tcW w:type="dxa" w:w="2412"/>
          </w:tcPr>
          <w:p>
            <w:r>
              <w:rPr>
                <w:rFonts w:ascii="Arial" w:hAnsi="Arial"/>
                <w:sz w:val="18"/>
              </w:rPr>
              <w:t>148.695</w:t>
            </w:r>
          </w:p>
        </w:tc>
        <w:tc>
          <w:tcPr>
            <w:tcW w:type="dxa" w:w="2412"/>
          </w:tcPr>
          <w:p>
            <w:r>
              <w:rPr>
                <w:rFonts w:ascii="Arial" w:hAnsi="Arial"/>
                <w:sz w:val="18"/>
              </w:rPr>
              <w:t>4</w:t>
            </w:r>
          </w:p>
        </w:tc>
        <w:tc>
          <w:tcPr>
            <w:tcW w:type="dxa" w:w="2412"/>
          </w:tcPr>
          <w:p>
            <w:r>
              <w:rPr>
                <w:rFonts w:ascii="Arial" w:hAnsi="Arial"/>
                <w:sz w:val="18"/>
              </w:rPr>
              <w:t>0.0</w:t>
            </w:r>
          </w:p>
        </w:tc>
      </w:tr>
    </w:tbl>
    <w:p>
      <w:r>
        <w:rPr>
          <w:rFonts w:ascii="Arial" w:hAnsi="Arial"/>
          <w:b w:val="0"/>
          <w:i w:val="0"/>
          <w:sz w:val="22"/>
        </w:rPr>
        <w:t>LR tests confirm the numeric block (chi2=1203.4, df=6, p&lt;.0001) and Country (chi2=148.7, df=4, p&lt;.0001) are the dominant contributors, Hobbyist is a significant but modest contributor (chi2=15.8, df=1, p&lt;.001), and EdLevel adds nothing once the other blocks are in the model (chi2=2.7, df=3, p=0.437).</w:t>
      </w:r>
    </w:p>
    <w:p>
      <w:pPr>
        <w:pStyle w:val="Heading2"/>
      </w:pPr>
      <w:r>
        <w:rPr>
          <w:rFonts w:ascii="Arial" w:hAnsi="Arial"/>
          <w:color w:val="000000"/>
          <w:sz w:val="24"/>
        </w:rPr>
        <w:t>6.1 Collinearity and ridge regularization</w:t>
      </w:r>
    </w:p>
    <w:p>
      <w:r>
        <w:rPr>
          <w:rFonts w:ascii="Arial" w:hAnsi="Arial"/>
          <w:b w:val="0"/>
          <w:i w:val="0"/>
          <w:sz w:val="22"/>
        </w:rPr>
        <w:t>The standardized design matrix (numerics z-scored, categorical dummies, plus intercept) has condition number 10.3 - moderate, below the common concern threshold of ~30, but driven almost entirely by the Age/YearsCodePro redundancy (r=0.86) documented in Section 3/5. To quantify and correct for this, we fit a ridge-penalized logistic regression across a grid of 40 penalties (lambda from 10^-3 to 10^3) on the same standardized design matrix.</w:t>
      </w:r>
    </w:p>
    <w:p>
      <w:pPr>
        <w:jc w:val="center"/>
      </w:pPr>
      <w:r>
        <w:rPr>
          <w:rFonts w:ascii="Arial" w:hAnsi="Arial"/>
          <w:b/>
          <w:sz w:val="20"/>
        </w:rPr>
        <w:t>Figure 4. Ridge trace: standardized coefficients vs. log(lambda)</w:t>
      </w:r>
    </w:p>
    <w:p>
      <w:pPr>
        <w:jc w:val="center"/>
      </w:pPr>
      <w:r>
        <w:drawing>
          <wp:inline xmlns:a="http://schemas.openxmlformats.org/drawingml/2006/main" xmlns:pic="http://schemas.openxmlformats.org/drawingml/2006/picture">
            <wp:extent cx="4206240" cy="2804160"/>
            <wp:docPr id="4" name="Picture 4"/>
            <wp:cNvGraphicFramePr>
              <a:graphicFrameLocks noChangeAspect="1"/>
            </wp:cNvGraphicFramePr>
            <a:graphic>
              <a:graphicData uri="http://schemas.openxmlformats.org/drawingml/2006/picture">
                <pic:pic>
                  <pic:nvPicPr>
                    <pic:cNvPr id="0" name="fig4_ridge_trace.png"/>
                    <pic:cNvPicPr/>
                  </pic:nvPicPr>
                  <pic:blipFill>
                    <a:blip r:embed="rId12"/>
                    <a:stretch>
                      <a:fillRect/>
                    </a:stretch>
                  </pic:blipFill>
                  <pic:spPr>
                    <a:xfrm>
                      <a:off x="0" y="0"/>
                      <a:ext cx="4206240" cy="2804160"/>
                    </a:xfrm>
                    <a:prstGeom prst="rect"/>
                  </pic:spPr>
                </pic:pic>
              </a:graphicData>
            </a:graphic>
          </wp:inline>
        </w:drawing>
      </w:r>
    </w:p>
    <w:p>
      <w:r>
        <w:rPr>
          <w:rFonts w:ascii="Arial" w:hAnsi="Arial"/>
          <w:b w:val="0"/>
          <w:i w:val="0"/>
          <w:sz w:val="22"/>
        </w:rPr>
        <w:t>As expected from the correlation structure, Age (red) and YearsCodePro (orange) are the two coefficients that move the most under increasing penalty - their unregularized OLS-logistic estimates are being inflated and partially offsetting each other, and ridge shrinkage pulls both toward a smaller, more stable joint effect well before the JobSat or Country coefficients move appreciably.</w:t>
      </w:r>
    </w:p>
    <w:p>
      <w:r>
        <w:rPr>
          <w:rFonts w:ascii="Arial" w:hAnsi="Arial"/>
          <w:b w:val="0"/>
          <w:i w:val="0"/>
          <w:sz w:val="22"/>
        </w:rPr>
        <w:t>A 5-fold cross-validated search (minimizing held-out deviance/log-loss) selects lambda* = 4.92.</w:t>
      </w:r>
    </w:p>
    <w:p>
      <w:pPr>
        <w:jc w:val="center"/>
      </w:pPr>
      <w:r>
        <w:rPr>
          <w:rFonts w:ascii="Arial" w:hAnsi="Arial"/>
          <w:b/>
          <w:sz w:val="20"/>
        </w:rPr>
        <w:t>Table 11. Ridge (lambda=4.92) vs. unregularized logistic, standardized coefficients</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rFonts w:ascii="Arial" w:hAnsi="Arial"/>
                <w:b/>
                <w:sz w:val="18"/>
              </w:rPr>
            </w:r>
          </w:p>
        </w:tc>
        <w:tc>
          <w:tcPr>
            <w:tcW w:type="dxa" w:w="2412"/>
          </w:tcPr>
          <w:p>
            <w:r>
              <w:rPr>
                <w:rFonts w:ascii="Arial" w:hAnsi="Arial"/>
                <w:b/>
                <w:sz w:val="18"/>
              </w:rPr>
              <w:t>OLS_logit_std_coef</w:t>
            </w:r>
          </w:p>
        </w:tc>
        <w:tc>
          <w:tcPr>
            <w:tcW w:type="dxa" w:w="2412"/>
          </w:tcPr>
          <w:p>
            <w:r>
              <w:rPr>
                <w:rFonts w:ascii="Arial" w:hAnsi="Arial"/>
                <w:b/>
                <w:sz w:val="18"/>
              </w:rPr>
              <w:t>Ridge_std_coef</w:t>
            </w:r>
          </w:p>
        </w:tc>
        <w:tc>
          <w:tcPr>
            <w:tcW w:type="dxa" w:w="2412"/>
          </w:tcPr>
          <w:p>
            <w:r>
              <w:rPr>
                <w:rFonts w:ascii="Arial" w:hAnsi="Arial"/>
                <w:b/>
                <w:sz w:val="18"/>
              </w:rPr>
              <w:t>shrinkage_pct</w:t>
            </w:r>
          </w:p>
        </w:tc>
      </w:tr>
      <w:tr>
        <w:tc>
          <w:tcPr>
            <w:tcW w:type="dxa" w:w="2412"/>
          </w:tcPr>
          <w:p>
            <w:r>
              <w:rPr>
                <w:rFonts w:ascii="Arial" w:hAnsi="Arial"/>
                <w:sz w:val="18"/>
              </w:rPr>
              <w:t>logComp</w:t>
            </w:r>
          </w:p>
        </w:tc>
        <w:tc>
          <w:tcPr>
            <w:tcW w:type="dxa" w:w="2412"/>
          </w:tcPr>
          <w:p>
            <w:r>
              <w:rPr>
                <w:rFonts w:ascii="Arial" w:hAnsi="Arial"/>
                <w:sz w:val="18"/>
              </w:rPr>
              <w:t>-0.0547</w:t>
            </w:r>
          </w:p>
        </w:tc>
        <w:tc>
          <w:tcPr>
            <w:tcW w:type="dxa" w:w="2412"/>
          </w:tcPr>
          <w:p>
            <w:r>
              <w:rPr>
                <w:rFonts w:ascii="Arial" w:hAnsi="Arial"/>
                <w:sz w:val="18"/>
              </w:rPr>
              <w:t>-0.0652</w:t>
            </w:r>
          </w:p>
        </w:tc>
        <w:tc>
          <w:tcPr>
            <w:tcW w:type="dxa" w:w="2412"/>
          </w:tcPr>
          <w:p>
            <w:r>
              <w:rPr>
                <w:rFonts w:ascii="Arial" w:hAnsi="Arial"/>
                <w:sz w:val="18"/>
              </w:rPr>
              <w:t>-19.2</w:t>
            </w:r>
          </w:p>
        </w:tc>
      </w:tr>
      <w:tr>
        <w:tc>
          <w:tcPr>
            <w:tcW w:type="dxa" w:w="2412"/>
          </w:tcPr>
          <w:p>
            <w:r>
              <w:rPr>
                <w:rFonts w:ascii="Arial" w:hAnsi="Arial"/>
                <w:sz w:val="18"/>
              </w:rPr>
              <w:t>YearsCodePro</w:t>
            </w:r>
          </w:p>
        </w:tc>
        <w:tc>
          <w:tcPr>
            <w:tcW w:type="dxa" w:w="2412"/>
          </w:tcPr>
          <w:p>
            <w:r>
              <w:rPr>
                <w:rFonts w:ascii="Arial" w:hAnsi="Arial"/>
                <w:sz w:val="18"/>
              </w:rPr>
              <w:t>-0.1826</w:t>
            </w:r>
          </w:p>
        </w:tc>
        <w:tc>
          <w:tcPr>
            <w:tcW w:type="dxa" w:w="2412"/>
          </w:tcPr>
          <w:p>
            <w:r>
              <w:rPr>
                <w:rFonts w:ascii="Arial" w:hAnsi="Arial"/>
                <w:sz w:val="18"/>
              </w:rPr>
              <w:t>-0.1759</w:t>
            </w:r>
          </w:p>
        </w:tc>
        <w:tc>
          <w:tcPr>
            <w:tcW w:type="dxa" w:w="2412"/>
          </w:tcPr>
          <w:p>
            <w:r>
              <w:rPr>
                <w:rFonts w:ascii="Arial" w:hAnsi="Arial"/>
                <w:sz w:val="18"/>
              </w:rPr>
              <w:t>3.6</w:t>
            </w:r>
          </w:p>
        </w:tc>
      </w:tr>
      <w:tr>
        <w:tc>
          <w:tcPr>
            <w:tcW w:type="dxa" w:w="2412"/>
          </w:tcPr>
          <w:p>
            <w:r>
              <w:rPr>
                <w:rFonts w:ascii="Arial" w:hAnsi="Arial"/>
                <w:sz w:val="18"/>
              </w:rPr>
              <w:t>WorkWeekHrs</w:t>
            </w:r>
          </w:p>
        </w:tc>
        <w:tc>
          <w:tcPr>
            <w:tcW w:type="dxa" w:w="2412"/>
          </w:tcPr>
          <w:p>
            <w:r>
              <w:rPr>
                <w:rFonts w:ascii="Arial" w:hAnsi="Arial"/>
                <w:sz w:val="18"/>
              </w:rPr>
              <w:t>-0.0476</w:t>
            </w:r>
          </w:p>
        </w:tc>
        <w:tc>
          <w:tcPr>
            <w:tcW w:type="dxa" w:w="2412"/>
          </w:tcPr>
          <w:p>
            <w:r>
              <w:rPr>
                <w:rFonts w:ascii="Arial" w:hAnsi="Arial"/>
                <w:sz w:val="18"/>
              </w:rPr>
              <w:t>-0.0467</w:t>
            </w:r>
          </w:p>
        </w:tc>
        <w:tc>
          <w:tcPr>
            <w:tcW w:type="dxa" w:w="2412"/>
          </w:tcPr>
          <w:p>
            <w:r>
              <w:rPr>
                <w:rFonts w:ascii="Arial" w:hAnsi="Arial"/>
                <w:sz w:val="18"/>
              </w:rPr>
              <w:t>1.8</w:t>
            </w:r>
          </w:p>
        </w:tc>
      </w:tr>
      <w:tr>
        <w:tc>
          <w:tcPr>
            <w:tcW w:type="dxa" w:w="2412"/>
          </w:tcPr>
          <w:p>
            <w:r>
              <w:rPr>
                <w:rFonts w:ascii="Arial" w:hAnsi="Arial"/>
                <w:sz w:val="18"/>
              </w:rPr>
              <w:t>Age</w:t>
            </w:r>
          </w:p>
        </w:tc>
        <w:tc>
          <w:tcPr>
            <w:tcW w:type="dxa" w:w="2412"/>
          </w:tcPr>
          <w:p>
            <w:r>
              <w:rPr>
                <w:rFonts w:ascii="Arial" w:hAnsi="Arial"/>
                <w:sz w:val="18"/>
              </w:rPr>
              <w:t>0.179</w:t>
            </w:r>
          </w:p>
        </w:tc>
        <w:tc>
          <w:tcPr>
            <w:tcW w:type="dxa" w:w="2412"/>
          </w:tcPr>
          <w:p>
            <w:r>
              <w:rPr>
                <w:rFonts w:ascii="Arial" w:hAnsi="Arial"/>
                <w:sz w:val="18"/>
              </w:rPr>
              <w:t>0.171</w:t>
            </w:r>
          </w:p>
        </w:tc>
        <w:tc>
          <w:tcPr>
            <w:tcW w:type="dxa" w:w="2412"/>
          </w:tcPr>
          <w:p>
            <w:r>
              <w:rPr>
                <w:rFonts w:ascii="Arial" w:hAnsi="Arial"/>
                <w:sz w:val="18"/>
              </w:rPr>
              <w:t>4.5</w:t>
            </w:r>
          </w:p>
        </w:tc>
      </w:tr>
      <w:tr>
        <w:tc>
          <w:tcPr>
            <w:tcW w:type="dxa" w:w="2412"/>
          </w:tcPr>
          <w:p>
            <w:r>
              <w:rPr>
                <w:rFonts w:ascii="Arial" w:hAnsi="Arial"/>
                <w:sz w:val="18"/>
              </w:rPr>
              <w:t>JobSat_num</w:t>
            </w:r>
          </w:p>
        </w:tc>
        <w:tc>
          <w:tcPr>
            <w:tcW w:type="dxa" w:w="2412"/>
          </w:tcPr>
          <w:p>
            <w:r>
              <w:rPr>
                <w:rFonts w:ascii="Arial" w:hAnsi="Arial"/>
                <w:sz w:val="18"/>
              </w:rPr>
              <w:t>-1.0736</w:t>
            </w:r>
          </w:p>
        </w:tc>
        <w:tc>
          <w:tcPr>
            <w:tcW w:type="dxa" w:w="2412"/>
          </w:tcPr>
          <w:p>
            <w:r>
              <w:rPr>
                <w:rFonts w:ascii="Arial" w:hAnsi="Arial"/>
                <w:sz w:val="18"/>
              </w:rPr>
              <w:t>-1.0663</w:t>
            </w:r>
          </w:p>
        </w:tc>
        <w:tc>
          <w:tcPr>
            <w:tcW w:type="dxa" w:w="2412"/>
          </w:tcPr>
          <w:p>
            <w:r>
              <w:rPr>
                <w:rFonts w:ascii="Arial" w:hAnsi="Arial"/>
                <w:sz w:val="18"/>
              </w:rPr>
              <w:t>0.7</w:t>
            </w:r>
          </w:p>
        </w:tc>
      </w:tr>
      <w:tr>
        <w:tc>
          <w:tcPr>
            <w:tcW w:type="dxa" w:w="2412"/>
          </w:tcPr>
          <w:p>
            <w:r>
              <w:rPr>
                <w:rFonts w:ascii="Arial" w:hAnsi="Arial"/>
                <w:sz w:val="18"/>
              </w:rPr>
              <w:t>CodeRevHrs</w:t>
            </w:r>
          </w:p>
        </w:tc>
        <w:tc>
          <w:tcPr>
            <w:tcW w:type="dxa" w:w="2412"/>
          </w:tcPr>
          <w:p>
            <w:r>
              <w:rPr>
                <w:rFonts w:ascii="Arial" w:hAnsi="Arial"/>
                <w:sz w:val="18"/>
              </w:rPr>
              <w:t>0.0318</w:t>
            </w:r>
          </w:p>
        </w:tc>
        <w:tc>
          <w:tcPr>
            <w:tcW w:type="dxa" w:w="2412"/>
          </w:tcPr>
          <w:p>
            <w:r>
              <w:rPr>
                <w:rFonts w:ascii="Arial" w:hAnsi="Arial"/>
                <w:sz w:val="18"/>
              </w:rPr>
              <w:t>0.0341</w:t>
            </w:r>
          </w:p>
        </w:tc>
        <w:tc>
          <w:tcPr>
            <w:tcW w:type="dxa" w:w="2412"/>
          </w:tcPr>
          <w:p>
            <w:r>
              <w:rPr>
                <w:rFonts w:ascii="Arial" w:hAnsi="Arial"/>
                <w:sz w:val="18"/>
              </w:rPr>
              <w:t>-7.1</w:t>
            </w:r>
          </w:p>
        </w:tc>
      </w:tr>
      <w:tr>
        <w:tc>
          <w:tcPr>
            <w:tcW w:type="dxa" w:w="2412"/>
          </w:tcPr>
          <w:p>
            <w:r>
              <w:rPr>
                <w:rFonts w:ascii="Arial" w:hAnsi="Arial"/>
                <w:sz w:val="18"/>
              </w:rPr>
              <w:t>Hobbyist_bin</w:t>
            </w:r>
          </w:p>
        </w:tc>
        <w:tc>
          <w:tcPr>
            <w:tcW w:type="dxa" w:w="2412"/>
          </w:tcPr>
          <w:p>
            <w:r>
              <w:rPr>
                <w:rFonts w:ascii="Arial" w:hAnsi="Arial"/>
                <w:sz w:val="18"/>
              </w:rPr>
              <w:t>0.2596</w:t>
            </w:r>
          </w:p>
        </w:tc>
        <w:tc>
          <w:tcPr>
            <w:tcW w:type="dxa" w:w="2412"/>
          </w:tcPr>
          <w:p>
            <w:r>
              <w:rPr>
                <w:rFonts w:ascii="Arial" w:hAnsi="Arial"/>
                <w:sz w:val="18"/>
              </w:rPr>
              <w:t>0.2531</w:t>
            </w:r>
          </w:p>
        </w:tc>
        <w:tc>
          <w:tcPr>
            <w:tcW w:type="dxa" w:w="2412"/>
          </w:tcPr>
          <w:p>
            <w:r>
              <w:rPr>
                <w:rFonts w:ascii="Arial" w:hAnsi="Arial"/>
                <w:sz w:val="18"/>
              </w:rPr>
              <w:t>2.5</w:t>
            </w:r>
          </w:p>
        </w:tc>
      </w:tr>
      <w:tr>
        <w:tc>
          <w:tcPr>
            <w:tcW w:type="dxa" w:w="2412"/>
          </w:tcPr>
          <w:p>
            <w:r>
              <w:rPr>
                <w:rFonts w:ascii="Arial" w:hAnsi="Arial"/>
                <w:sz w:val="18"/>
              </w:rPr>
              <w:t>Ed_Bachelors</w:t>
            </w:r>
          </w:p>
        </w:tc>
        <w:tc>
          <w:tcPr>
            <w:tcW w:type="dxa" w:w="2412"/>
          </w:tcPr>
          <w:p>
            <w:r>
              <w:rPr>
                <w:rFonts w:ascii="Arial" w:hAnsi="Arial"/>
                <w:sz w:val="18"/>
              </w:rPr>
              <w:t>-0.053</w:t>
            </w:r>
          </w:p>
        </w:tc>
        <w:tc>
          <w:tcPr>
            <w:tcW w:type="dxa" w:w="2412"/>
          </w:tcPr>
          <w:p>
            <w:r>
              <w:rPr>
                <w:rFonts w:ascii="Arial" w:hAnsi="Arial"/>
                <w:sz w:val="18"/>
              </w:rPr>
              <w:t>-0.0453</w:t>
            </w:r>
          </w:p>
        </w:tc>
        <w:tc>
          <w:tcPr>
            <w:tcW w:type="dxa" w:w="2412"/>
          </w:tcPr>
          <w:p>
            <w:r>
              <w:rPr>
                <w:rFonts w:ascii="Arial" w:hAnsi="Arial"/>
                <w:sz w:val="18"/>
              </w:rPr>
              <w:t>14.5</w:t>
            </w:r>
          </w:p>
        </w:tc>
      </w:tr>
      <w:tr>
        <w:tc>
          <w:tcPr>
            <w:tcW w:type="dxa" w:w="2412"/>
          </w:tcPr>
          <w:p>
            <w:r>
              <w:rPr>
                <w:rFonts w:ascii="Arial" w:hAnsi="Arial"/>
                <w:sz w:val="18"/>
              </w:rPr>
              <w:t>Ed_Doctoral_Prof</w:t>
            </w:r>
          </w:p>
        </w:tc>
        <w:tc>
          <w:tcPr>
            <w:tcW w:type="dxa" w:w="2412"/>
          </w:tcPr>
          <w:p>
            <w:r>
              <w:rPr>
                <w:rFonts w:ascii="Arial" w:hAnsi="Arial"/>
                <w:sz w:val="18"/>
              </w:rPr>
              <w:t>0.0187</w:t>
            </w:r>
          </w:p>
        </w:tc>
        <w:tc>
          <w:tcPr>
            <w:tcW w:type="dxa" w:w="2412"/>
          </w:tcPr>
          <w:p>
            <w:r>
              <w:rPr>
                <w:rFonts w:ascii="Arial" w:hAnsi="Arial"/>
                <w:sz w:val="18"/>
              </w:rPr>
              <w:t>0.0265</w:t>
            </w:r>
          </w:p>
        </w:tc>
        <w:tc>
          <w:tcPr>
            <w:tcW w:type="dxa" w:w="2412"/>
          </w:tcPr>
          <w:p>
            <w:r>
              <w:rPr>
                <w:rFonts w:ascii="Arial" w:hAnsi="Arial"/>
                <w:sz w:val="18"/>
              </w:rPr>
              <w:t>-41.5</w:t>
            </w:r>
          </w:p>
        </w:tc>
      </w:tr>
      <w:tr>
        <w:tc>
          <w:tcPr>
            <w:tcW w:type="dxa" w:w="2412"/>
          </w:tcPr>
          <w:p>
            <w:r>
              <w:rPr>
                <w:rFonts w:ascii="Arial" w:hAnsi="Arial"/>
                <w:sz w:val="18"/>
              </w:rPr>
              <w:t>Ed_Masters</w:t>
            </w:r>
          </w:p>
        </w:tc>
        <w:tc>
          <w:tcPr>
            <w:tcW w:type="dxa" w:w="2412"/>
          </w:tcPr>
          <w:p>
            <w:r>
              <w:rPr>
                <w:rFonts w:ascii="Arial" w:hAnsi="Arial"/>
                <w:sz w:val="18"/>
              </w:rPr>
              <w:t>0.0583</w:t>
            </w:r>
          </w:p>
        </w:tc>
        <w:tc>
          <w:tcPr>
            <w:tcW w:type="dxa" w:w="2412"/>
          </w:tcPr>
          <w:p>
            <w:r>
              <w:rPr>
                <w:rFonts w:ascii="Arial" w:hAnsi="Arial"/>
                <w:sz w:val="18"/>
              </w:rPr>
              <w:t>0.0639</w:t>
            </w:r>
          </w:p>
        </w:tc>
        <w:tc>
          <w:tcPr>
            <w:tcW w:type="dxa" w:w="2412"/>
          </w:tcPr>
          <w:p>
            <w:r>
              <w:rPr>
                <w:rFonts w:ascii="Arial" w:hAnsi="Arial"/>
                <w:sz w:val="18"/>
              </w:rPr>
              <w:t>-9.6</w:t>
            </w:r>
          </w:p>
        </w:tc>
      </w:tr>
      <w:tr>
        <w:tc>
          <w:tcPr>
            <w:tcW w:type="dxa" w:w="2412"/>
          </w:tcPr>
          <w:p>
            <w:r>
              <w:rPr>
                <w:rFonts w:ascii="Arial" w:hAnsi="Arial"/>
                <w:sz w:val="18"/>
              </w:rPr>
              <w:t>Ctry_Canada</w:t>
            </w:r>
          </w:p>
        </w:tc>
        <w:tc>
          <w:tcPr>
            <w:tcW w:type="dxa" w:w="2412"/>
          </w:tcPr>
          <w:p>
            <w:r>
              <w:rPr>
                <w:rFonts w:ascii="Arial" w:hAnsi="Arial"/>
                <w:sz w:val="18"/>
              </w:rPr>
              <w:t>0.033</w:t>
            </w:r>
          </w:p>
        </w:tc>
        <w:tc>
          <w:tcPr>
            <w:tcW w:type="dxa" w:w="2412"/>
          </w:tcPr>
          <w:p>
            <w:r>
              <w:rPr>
                <w:rFonts w:ascii="Arial" w:hAnsi="Arial"/>
                <w:sz w:val="18"/>
              </w:rPr>
              <w:t>0.0297</w:t>
            </w:r>
          </w:p>
        </w:tc>
        <w:tc>
          <w:tcPr>
            <w:tcW w:type="dxa" w:w="2412"/>
          </w:tcPr>
          <w:p>
            <w:r>
              <w:rPr>
                <w:rFonts w:ascii="Arial" w:hAnsi="Arial"/>
                <w:sz w:val="18"/>
              </w:rPr>
              <w:t>10.2</w:t>
            </w:r>
          </w:p>
        </w:tc>
      </w:tr>
      <w:tr>
        <w:tc>
          <w:tcPr>
            <w:tcW w:type="dxa" w:w="2412"/>
          </w:tcPr>
          <w:p>
            <w:r>
              <w:rPr>
                <w:rFonts w:ascii="Arial" w:hAnsi="Arial"/>
                <w:sz w:val="18"/>
              </w:rPr>
              <w:t>Ctry_Germany</w:t>
            </w:r>
          </w:p>
        </w:tc>
        <w:tc>
          <w:tcPr>
            <w:tcW w:type="dxa" w:w="2412"/>
          </w:tcPr>
          <w:p>
            <w:r>
              <w:rPr>
                <w:rFonts w:ascii="Arial" w:hAnsi="Arial"/>
                <w:sz w:val="18"/>
              </w:rPr>
              <w:t>-0.3818</w:t>
            </w:r>
          </w:p>
        </w:tc>
        <w:tc>
          <w:tcPr>
            <w:tcW w:type="dxa" w:w="2412"/>
          </w:tcPr>
          <w:p>
            <w:r>
              <w:rPr>
                <w:rFonts w:ascii="Arial" w:hAnsi="Arial"/>
                <w:sz w:val="18"/>
              </w:rPr>
              <w:t>-0.3764</w:t>
            </w:r>
          </w:p>
        </w:tc>
        <w:tc>
          <w:tcPr>
            <w:tcW w:type="dxa" w:w="2412"/>
          </w:tcPr>
          <w:p>
            <w:r>
              <w:rPr>
                <w:rFonts w:ascii="Arial" w:hAnsi="Arial"/>
                <w:sz w:val="18"/>
              </w:rPr>
              <w:t>1.4</w:t>
            </w:r>
          </w:p>
        </w:tc>
      </w:tr>
      <w:tr>
        <w:tc>
          <w:tcPr>
            <w:tcW w:type="dxa" w:w="2412"/>
          </w:tcPr>
          <w:p>
            <w:r>
              <w:rPr>
                <w:rFonts w:ascii="Arial" w:hAnsi="Arial"/>
                <w:sz w:val="18"/>
              </w:rPr>
              <w:t>Ctry_India</w:t>
            </w:r>
          </w:p>
        </w:tc>
        <w:tc>
          <w:tcPr>
            <w:tcW w:type="dxa" w:w="2412"/>
          </w:tcPr>
          <w:p>
            <w:r>
              <w:rPr>
                <w:rFonts w:ascii="Arial" w:hAnsi="Arial"/>
                <w:sz w:val="18"/>
              </w:rPr>
              <w:t>1.1617</w:t>
            </w:r>
          </w:p>
        </w:tc>
        <w:tc>
          <w:tcPr>
            <w:tcW w:type="dxa" w:w="2412"/>
          </w:tcPr>
          <w:p>
            <w:r>
              <w:rPr>
                <w:rFonts w:ascii="Arial" w:hAnsi="Arial"/>
                <w:sz w:val="18"/>
              </w:rPr>
              <w:t>1.0849</w:t>
            </w:r>
          </w:p>
        </w:tc>
        <w:tc>
          <w:tcPr>
            <w:tcW w:type="dxa" w:w="2412"/>
          </w:tcPr>
          <w:p>
            <w:r>
              <w:rPr>
                <w:rFonts w:ascii="Arial" w:hAnsi="Arial"/>
                <w:sz w:val="18"/>
              </w:rPr>
              <w:t>6.6</w:t>
            </w:r>
          </w:p>
        </w:tc>
      </w:tr>
      <w:tr>
        <w:tc>
          <w:tcPr>
            <w:tcW w:type="dxa" w:w="2412"/>
          </w:tcPr>
          <w:p>
            <w:r>
              <w:rPr>
                <w:rFonts w:ascii="Arial" w:hAnsi="Arial"/>
                <w:sz w:val="18"/>
              </w:rPr>
              <w:t>Ctry_United Kingdom</w:t>
            </w:r>
          </w:p>
        </w:tc>
        <w:tc>
          <w:tcPr>
            <w:tcW w:type="dxa" w:w="2412"/>
          </w:tcPr>
          <w:p>
            <w:r>
              <w:rPr>
                <w:rFonts w:ascii="Arial" w:hAnsi="Arial"/>
                <w:sz w:val="18"/>
              </w:rPr>
              <w:t>-0.1877</w:t>
            </w:r>
          </w:p>
        </w:tc>
        <w:tc>
          <w:tcPr>
            <w:tcW w:type="dxa" w:w="2412"/>
          </w:tcPr>
          <w:p>
            <w:r>
              <w:rPr>
                <w:rFonts w:ascii="Arial" w:hAnsi="Arial"/>
                <w:sz w:val="18"/>
              </w:rPr>
              <w:t>-0.187</w:t>
            </w:r>
          </w:p>
        </w:tc>
        <w:tc>
          <w:tcPr>
            <w:tcW w:type="dxa" w:w="2412"/>
          </w:tcPr>
          <w:p>
            <w:r>
              <w:rPr>
                <w:rFonts w:ascii="Arial" w:hAnsi="Arial"/>
                <w:sz w:val="18"/>
              </w:rPr>
              <w:t>0.3</w:t>
            </w:r>
          </w:p>
        </w:tc>
      </w:tr>
    </w:tbl>
    <w:p>
      <w:r>
        <w:rPr>
          <w:rFonts w:ascii="Arial" w:hAnsi="Arial"/>
          <w:b w:val="0"/>
          <w:i w:val="0"/>
          <w:sz w:val="22"/>
        </w:rPr>
        <w:t>At the cross-validated lambda, JobSat barely shrinks (0.7%) and remains the dominant, robust driver; Country and Hobbyist effects are also stable (&lt;10% shrinkage). YearsCodePro and Age shrink modestly (3.6% and 4.5%) together, and the sparsely populated Doctoral/Professional education dummy (n=210 in-sample) shrinks the most (41.5%) as expected for a high-variance, small-category estimate. The substantive conclusion is unchanged by regularization: satisfaction dominates, tenure/age act as a paired (partially collinear) control, and the OLS logistic odds ratios in Table 4 can be read with confidence.</w:t>
      </w:r>
    </w:p>
    <w:p>
      <w:pPr>
        <w:pStyle w:val="Heading1"/>
      </w:pPr>
      <w:r>
        <w:rPr>
          <w:rFonts w:ascii="Arial" w:hAnsi="Arial"/>
          <w:color w:val="000000"/>
          <w:sz w:val="28"/>
        </w:rPr>
        <w:t>7. Linear Discriminant Analysis and Comparison with Logistic Regression</w:t>
      </w:r>
    </w:p>
    <w:p>
      <w:r>
        <w:rPr>
          <w:rFonts w:ascii="Arial" w:hAnsi="Arial"/>
          <w:b w:val="0"/>
          <w:i w:val="0"/>
          <w:sz w:val="22"/>
        </w:rPr>
        <w:t>To compare classifiers on equal footing, LDA, QDA, and logistic regression were all fit on the same 6 standardized numeric predictors (no categorical controls), using 5-fold stratified cross-validation (shuffled, random_state=42); out-of-fold predictions were pooled into one confusion matrix per model.</w:t>
      </w:r>
    </w:p>
    <w:p>
      <w:r>
        <w:rPr>
          <w:rFonts w:ascii="Arial" w:hAnsi="Arial"/>
          <w:b w:val="0"/>
          <w:i w:val="0"/>
          <w:sz w:val="22"/>
        </w:rPr>
        <w:t>Box's M on this 6-variable block is again significant (chi2(21)=785.3, p&lt;.0001), formally favoring QDA's unequal-covariance assumption over LDA's. Because Box's M is oversensitive at this sample size (Section 4.3), we instead let cross-validated performance arbitrate between LDA and QDA.</w:t>
      </w:r>
    </w:p>
    <w:p>
      <w:pPr>
        <w:jc w:val="center"/>
      </w:pPr>
      <w:r>
        <w:rPr>
          <w:rFonts w:ascii="Arial" w:hAnsi="Arial"/>
          <w:b/>
          <w:sz w:val="20"/>
        </w:rPr>
        <w:t>Table 12. Confusion matrices (5-fold CV, pooled out-of-fold predictions)</w:t>
      </w:r>
    </w:p>
    <w:tbl>
      <w:tblPr>
        <w:tblStyle w:val="LightGrid-Accent1"/>
        <w:tblW w:type="auto" w:w="0"/>
        <w:tblLook w:firstColumn="1" w:firstRow="1" w:lastColumn="0" w:lastRow="0" w:noHBand="0" w:noVBand="1" w:val="04A0"/>
      </w:tblPr>
      <w:tblGrid>
        <w:gridCol w:w="1930"/>
        <w:gridCol w:w="1930"/>
        <w:gridCol w:w="1930"/>
        <w:gridCol w:w="1930"/>
        <w:gridCol w:w="1930"/>
      </w:tblGrid>
      <w:tr>
        <w:tc>
          <w:tcPr>
            <w:tcW w:type="dxa" w:w="1930"/>
          </w:tcPr>
          <w:p>
            <w:r>
              <w:rPr>
                <w:rFonts w:ascii="Arial" w:hAnsi="Arial"/>
                <w:b/>
                <w:sz w:val="18"/>
              </w:rPr>
              <w:t>model</w:t>
            </w:r>
          </w:p>
        </w:tc>
        <w:tc>
          <w:tcPr>
            <w:tcW w:type="dxa" w:w="1930"/>
          </w:tcPr>
          <w:p>
            <w:r>
              <w:rPr>
                <w:rFonts w:ascii="Arial" w:hAnsi="Arial"/>
                <w:b/>
                <w:sz w:val="18"/>
              </w:rPr>
              <w:t>TN</w:t>
            </w:r>
          </w:p>
        </w:tc>
        <w:tc>
          <w:tcPr>
            <w:tcW w:type="dxa" w:w="1930"/>
          </w:tcPr>
          <w:p>
            <w:r>
              <w:rPr>
                <w:rFonts w:ascii="Arial" w:hAnsi="Arial"/>
                <w:b/>
                <w:sz w:val="18"/>
              </w:rPr>
              <w:t>FP</w:t>
            </w:r>
          </w:p>
        </w:tc>
        <w:tc>
          <w:tcPr>
            <w:tcW w:type="dxa" w:w="1930"/>
          </w:tcPr>
          <w:p>
            <w:r>
              <w:rPr>
                <w:rFonts w:ascii="Arial" w:hAnsi="Arial"/>
                <w:b/>
                <w:sz w:val="18"/>
              </w:rPr>
              <w:t>FN</w:t>
            </w:r>
          </w:p>
        </w:tc>
        <w:tc>
          <w:tcPr>
            <w:tcW w:type="dxa" w:w="1930"/>
          </w:tcPr>
          <w:p>
            <w:r>
              <w:rPr>
                <w:rFonts w:ascii="Arial" w:hAnsi="Arial"/>
                <w:b/>
                <w:sz w:val="18"/>
              </w:rPr>
              <w:t>TP</w:t>
            </w:r>
          </w:p>
        </w:tc>
      </w:tr>
      <w:tr>
        <w:tc>
          <w:tcPr>
            <w:tcW w:type="dxa" w:w="1930"/>
          </w:tcPr>
          <w:p>
            <w:r>
              <w:rPr>
                <w:rFonts w:ascii="Arial" w:hAnsi="Arial"/>
                <w:sz w:val="18"/>
              </w:rPr>
              <w:t>LDA</w:t>
            </w:r>
          </w:p>
        </w:tc>
        <w:tc>
          <w:tcPr>
            <w:tcW w:type="dxa" w:w="1930"/>
          </w:tcPr>
          <w:p>
            <w:r>
              <w:rPr>
                <w:rFonts w:ascii="Arial" w:hAnsi="Arial"/>
                <w:sz w:val="18"/>
              </w:rPr>
              <w:t>970</w:t>
            </w:r>
          </w:p>
        </w:tc>
        <w:tc>
          <w:tcPr>
            <w:tcW w:type="dxa" w:w="1930"/>
          </w:tcPr>
          <w:p>
            <w:r>
              <w:rPr>
                <w:rFonts w:ascii="Arial" w:hAnsi="Arial"/>
                <w:sz w:val="18"/>
              </w:rPr>
              <w:t>1622</w:t>
            </w:r>
          </w:p>
        </w:tc>
        <w:tc>
          <w:tcPr>
            <w:tcW w:type="dxa" w:w="1930"/>
          </w:tcPr>
          <w:p>
            <w:r>
              <w:rPr>
                <w:rFonts w:ascii="Arial" w:hAnsi="Arial"/>
                <w:sz w:val="18"/>
              </w:rPr>
              <w:t>624</w:t>
            </w:r>
          </w:p>
        </w:tc>
        <w:tc>
          <w:tcPr>
            <w:tcW w:type="dxa" w:w="1930"/>
          </w:tcPr>
          <w:p>
            <w:r>
              <w:rPr>
                <w:rFonts w:ascii="Arial" w:hAnsi="Arial"/>
                <w:sz w:val="18"/>
              </w:rPr>
              <w:t>4784</w:t>
            </w:r>
          </w:p>
        </w:tc>
      </w:tr>
      <w:tr>
        <w:tc>
          <w:tcPr>
            <w:tcW w:type="dxa" w:w="1930"/>
          </w:tcPr>
          <w:p>
            <w:r>
              <w:rPr>
                <w:rFonts w:ascii="Arial" w:hAnsi="Arial"/>
                <w:sz w:val="18"/>
              </w:rPr>
              <w:t>QDA</w:t>
            </w:r>
          </w:p>
        </w:tc>
        <w:tc>
          <w:tcPr>
            <w:tcW w:type="dxa" w:w="1930"/>
          </w:tcPr>
          <w:p>
            <w:r>
              <w:rPr>
                <w:rFonts w:ascii="Arial" w:hAnsi="Arial"/>
                <w:sz w:val="18"/>
              </w:rPr>
              <w:t>1694</w:t>
            </w:r>
          </w:p>
        </w:tc>
        <w:tc>
          <w:tcPr>
            <w:tcW w:type="dxa" w:w="1930"/>
          </w:tcPr>
          <w:p>
            <w:r>
              <w:rPr>
                <w:rFonts w:ascii="Arial" w:hAnsi="Arial"/>
                <w:sz w:val="18"/>
              </w:rPr>
              <w:t>898</w:t>
            </w:r>
          </w:p>
        </w:tc>
        <w:tc>
          <w:tcPr>
            <w:tcW w:type="dxa" w:w="1930"/>
          </w:tcPr>
          <w:p>
            <w:r>
              <w:rPr>
                <w:rFonts w:ascii="Arial" w:hAnsi="Arial"/>
                <w:sz w:val="18"/>
              </w:rPr>
              <w:t>1545</w:t>
            </w:r>
          </w:p>
        </w:tc>
        <w:tc>
          <w:tcPr>
            <w:tcW w:type="dxa" w:w="1930"/>
          </w:tcPr>
          <w:p>
            <w:r>
              <w:rPr>
                <w:rFonts w:ascii="Arial" w:hAnsi="Arial"/>
                <w:sz w:val="18"/>
              </w:rPr>
              <w:t>3863</w:t>
            </w:r>
          </w:p>
        </w:tc>
      </w:tr>
      <w:tr>
        <w:tc>
          <w:tcPr>
            <w:tcW w:type="dxa" w:w="1930"/>
          </w:tcPr>
          <w:p>
            <w:r>
              <w:rPr>
                <w:rFonts w:ascii="Arial" w:hAnsi="Arial"/>
                <w:sz w:val="18"/>
              </w:rPr>
              <w:t>Logistic</w:t>
            </w:r>
          </w:p>
        </w:tc>
        <w:tc>
          <w:tcPr>
            <w:tcW w:type="dxa" w:w="1930"/>
          </w:tcPr>
          <w:p>
            <w:r>
              <w:rPr>
                <w:rFonts w:ascii="Arial" w:hAnsi="Arial"/>
                <w:sz w:val="18"/>
              </w:rPr>
              <w:t>1284</w:t>
            </w:r>
          </w:p>
        </w:tc>
        <w:tc>
          <w:tcPr>
            <w:tcW w:type="dxa" w:w="1930"/>
          </w:tcPr>
          <w:p>
            <w:r>
              <w:rPr>
                <w:rFonts w:ascii="Arial" w:hAnsi="Arial"/>
                <w:sz w:val="18"/>
              </w:rPr>
              <w:t>1308</w:t>
            </w:r>
          </w:p>
        </w:tc>
        <w:tc>
          <w:tcPr>
            <w:tcW w:type="dxa" w:w="1930"/>
          </w:tcPr>
          <w:p>
            <w:r>
              <w:rPr>
                <w:rFonts w:ascii="Arial" w:hAnsi="Arial"/>
                <w:sz w:val="18"/>
              </w:rPr>
              <w:t>833</w:t>
            </w:r>
          </w:p>
        </w:tc>
        <w:tc>
          <w:tcPr>
            <w:tcW w:type="dxa" w:w="1930"/>
          </w:tcPr>
          <w:p>
            <w:r>
              <w:rPr>
                <w:rFonts w:ascii="Arial" w:hAnsi="Arial"/>
                <w:sz w:val="18"/>
              </w:rPr>
              <w:t>4575</w:t>
            </w:r>
          </w:p>
        </w:tc>
      </w:tr>
    </w:tbl>
    <w:p>
      <w:pPr>
        <w:jc w:val="center"/>
      </w:pPr>
      <w:r>
        <w:rPr>
          <w:rFonts w:ascii="Arial" w:hAnsi="Arial"/>
          <w:b/>
          <w:sz w:val="20"/>
        </w:rPr>
        <w:t>Table 13. Classifier comparison: accuracy, sensitivity, specificity, AUC</w:t>
      </w:r>
    </w:p>
    <w:tbl>
      <w:tblPr>
        <w:tblStyle w:val="LightGrid-Accent1"/>
        <w:tblW w:type="auto" w:w="0"/>
        <w:tblLook w:firstColumn="1" w:firstRow="1" w:lastColumn="0" w:lastRow="0" w:noHBand="0" w:noVBand="1" w:val="04A0"/>
      </w:tblPr>
      <w:tblGrid>
        <w:gridCol w:w="1608"/>
        <w:gridCol w:w="1608"/>
        <w:gridCol w:w="1608"/>
        <w:gridCol w:w="1608"/>
        <w:gridCol w:w="1608"/>
        <w:gridCol w:w="1608"/>
      </w:tblGrid>
      <w:tr>
        <w:tc>
          <w:tcPr>
            <w:tcW w:type="dxa" w:w="1608"/>
          </w:tcPr>
          <w:p>
            <w:r>
              <w:rPr>
                <w:rFonts w:ascii="Arial" w:hAnsi="Arial"/>
                <w:b/>
                <w:sz w:val="18"/>
              </w:rPr>
              <w:t>model</w:t>
            </w:r>
          </w:p>
        </w:tc>
        <w:tc>
          <w:tcPr>
            <w:tcW w:type="dxa" w:w="1608"/>
          </w:tcPr>
          <w:p>
            <w:r>
              <w:rPr>
                <w:rFonts w:ascii="Arial" w:hAnsi="Arial"/>
                <w:b/>
                <w:sz w:val="18"/>
              </w:rPr>
              <w:t>accuracy</w:t>
            </w:r>
          </w:p>
        </w:tc>
        <w:tc>
          <w:tcPr>
            <w:tcW w:type="dxa" w:w="1608"/>
          </w:tcPr>
          <w:p>
            <w:r>
              <w:rPr>
                <w:rFonts w:ascii="Arial" w:hAnsi="Arial"/>
                <w:b/>
                <w:sz w:val="18"/>
              </w:rPr>
              <w:t>error rate</w:t>
            </w:r>
          </w:p>
        </w:tc>
        <w:tc>
          <w:tcPr>
            <w:tcW w:type="dxa" w:w="1608"/>
          </w:tcPr>
          <w:p>
            <w:r>
              <w:rPr>
                <w:rFonts w:ascii="Arial" w:hAnsi="Arial"/>
                <w:b/>
                <w:sz w:val="18"/>
              </w:rPr>
              <w:t>sensitivity</w:t>
            </w:r>
          </w:p>
        </w:tc>
        <w:tc>
          <w:tcPr>
            <w:tcW w:type="dxa" w:w="1608"/>
          </w:tcPr>
          <w:p>
            <w:r>
              <w:rPr>
                <w:rFonts w:ascii="Arial" w:hAnsi="Arial"/>
                <w:b/>
                <w:sz w:val="18"/>
              </w:rPr>
              <w:t>specificity</w:t>
            </w:r>
          </w:p>
        </w:tc>
        <w:tc>
          <w:tcPr>
            <w:tcW w:type="dxa" w:w="1608"/>
          </w:tcPr>
          <w:p>
            <w:r>
              <w:rPr>
                <w:rFonts w:ascii="Arial" w:hAnsi="Arial"/>
                <w:b/>
                <w:sz w:val="18"/>
              </w:rPr>
              <w:t>ROC_AUC</w:t>
            </w:r>
          </w:p>
        </w:tc>
      </w:tr>
      <w:tr>
        <w:tc>
          <w:tcPr>
            <w:tcW w:type="dxa" w:w="1608"/>
          </w:tcPr>
          <w:p>
            <w:r>
              <w:rPr>
                <w:rFonts w:ascii="Arial" w:hAnsi="Arial"/>
                <w:sz w:val="18"/>
              </w:rPr>
              <w:t>LDA</w:t>
            </w:r>
          </w:p>
        </w:tc>
        <w:tc>
          <w:tcPr>
            <w:tcW w:type="dxa" w:w="1608"/>
          </w:tcPr>
          <w:p>
            <w:r>
              <w:rPr>
                <w:rFonts w:ascii="Arial" w:hAnsi="Arial"/>
                <w:sz w:val="18"/>
              </w:rPr>
              <w:t>0.7192</w:t>
            </w:r>
          </w:p>
        </w:tc>
        <w:tc>
          <w:tcPr>
            <w:tcW w:type="dxa" w:w="1608"/>
          </w:tcPr>
          <w:p>
            <w:r>
              <w:rPr>
                <w:rFonts w:ascii="Arial" w:hAnsi="Arial"/>
                <w:sz w:val="18"/>
              </w:rPr>
              <w:t>0.2808</w:t>
            </w:r>
          </w:p>
        </w:tc>
        <w:tc>
          <w:tcPr>
            <w:tcW w:type="dxa" w:w="1608"/>
          </w:tcPr>
          <w:p>
            <w:r>
              <w:rPr>
                <w:rFonts w:ascii="Arial" w:hAnsi="Arial"/>
                <w:sz w:val="18"/>
              </w:rPr>
              <w:t>0.8846</w:t>
            </w:r>
          </w:p>
        </w:tc>
        <w:tc>
          <w:tcPr>
            <w:tcW w:type="dxa" w:w="1608"/>
          </w:tcPr>
          <w:p>
            <w:r>
              <w:rPr>
                <w:rFonts w:ascii="Arial" w:hAnsi="Arial"/>
                <w:sz w:val="18"/>
              </w:rPr>
              <w:t>0.3742</w:t>
            </w:r>
          </w:p>
        </w:tc>
        <w:tc>
          <w:tcPr>
            <w:tcW w:type="dxa" w:w="1608"/>
          </w:tcPr>
          <w:p>
            <w:r>
              <w:rPr>
                <w:rFonts w:ascii="Arial" w:hAnsi="Arial"/>
                <w:sz w:val="18"/>
              </w:rPr>
              <w:t>0.7565</w:t>
            </w:r>
          </w:p>
        </w:tc>
      </w:tr>
      <w:tr>
        <w:tc>
          <w:tcPr>
            <w:tcW w:type="dxa" w:w="1608"/>
          </w:tcPr>
          <w:p>
            <w:r>
              <w:rPr>
                <w:rFonts w:ascii="Arial" w:hAnsi="Arial"/>
                <w:sz w:val="18"/>
              </w:rPr>
              <w:t>QDA</w:t>
            </w:r>
          </w:p>
        </w:tc>
        <w:tc>
          <w:tcPr>
            <w:tcW w:type="dxa" w:w="1608"/>
          </w:tcPr>
          <w:p>
            <w:r>
              <w:rPr>
                <w:rFonts w:ascii="Arial" w:hAnsi="Arial"/>
                <w:sz w:val="18"/>
              </w:rPr>
              <w:t>0.6946</w:t>
            </w:r>
          </w:p>
        </w:tc>
        <w:tc>
          <w:tcPr>
            <w:tcW w:type="dxa" w:w="1608"/>
          </w:tcPr>
          <w:p>
            <w:r>
              <w:rPr>
                <w:rFonts w:ascii="Arial" w:hAnsi="Arial"/>
                <w:sz w:val="18"/>
              </w:rPr>
              <w:t>0.3054</w:t>
            </w:r>
          </w:p>
        </w:tc>
        <w:tc>
          <w:tcPr>
            <w:tcW w:type="dxa" w:w="1608"/>
          </w:tcPr>
          <w:p>
            <w:r>
              <w:rPr>
                <w:rFonts w:ascii="Arial" w:hAnsi="Arial"/>
                <w:sz w:val="18"/>
              </w:rPr>
              <w:t>0.7143</w:t>
            </w:r>
          </w:p>
        </w:tc>
        <w:tc>
          <w:tcPr>
            <w:tcW w:type="dxa" w:w="1608"/>
          </w:tcPr>
          <w:p>
            <w:r>
              <w:rPr>
                <w:rFonts w:ascii="Arial" w:hAnsi="Arial"/>
                <w:sz w:val="18"/>
              </w:rPr>
              <w:t>0.6535</w:t>
            </w:r>
          </w:p>
        </w:tc>
        <w:tc>
          <w:tcPr>
            <w:tcW w:type="dxa" w:w="1608"/>
          </w:tcPr>
          <w:p>
            <w:r>
              <w:rPr>
                <w:rFonts w:ascii="Arial" w:hAnsi="Arial"/>
                <w:sz w:val="18"/>
              </w:rPr>
              <w:t>0.7377</w:t>
            </w:r>
          </w:p>
        </w:tc>
      </w:tr>
      <w:tr>
        <w:tc>
          <w:tcPr>
            <w:tcW w:type="dxa" w:w="1608"/>
          </w:tcPr>
          <w:p>
            <w:r>
              <w:rPr>
                <w:rFonts w:ascii="Arial" w:hAnsi="Arial"/>
                <w:sz w:val="18"/>
              </w:rPr>
              <w:t>Logistic</w:t>
            </w:r>
          </w:p>
        </w:tc>
        <w:tc>
          <w:tcPr>
            <w:tcW w:type="dxa" w:w="1608"/>
          </w:tcPr>
          <w:p>
            <w:r>
              <w:rPr>
                <w:rFonts w:ascii="Arial" w:hAnsi="Arial"/>
                <w:sz w:val="18"/>
              </w:rPr>
              <w:t>0.7324</w:t>
            </w:r>
          </w:p>
        </w:tc>
        <w:tc>
          <w:tcPr>
            <w:tcW w:type="dxa" w:w="1608"/>
          </w:tcPr>
          <w:p>
            <w:r>
              <w:rPr>
                <w:rFonts w:ascii="Arial" w:hAnsi="Arial"/>
                <w:sz w:val="18"/>
              </w:rPr>
              <w:t>0.2676</w:t>
            </w:r>
          </w:p>
        </w:tc>
        <w:tc>
          <w:tcPr>
            <w:tcW w:type="dxa" w:w="1608"/>
          </w:tcPr>
          <w:p>
            <w:r>
              <w:rPr>
                <w:rFonts w:ascii="Arial" w:hAnsi="Arial"/>
                <w:sz w:val="18"/>
              </w:rPr>
              <w:t>0.846</w:t>
            </w:r>
          </w:p>
        </w:tc>
        <w:tc>
          <w:tcPr>
            <w:tcW w:type="dxa" w:w="1608"/>
          </w:tcPr>
          <w:p>
            <w:r>
              <w:rPr>
                <w:rFonts w:ascii="Arial" w:hAnsi="Arial"/>
                <w:sz w:val="18"/>
              </w:rPr>
              <w:t>0.4954</w:t>
            </w:r>
          </w:p>
        </w:tc>
        <w:tc>
          <w:tcPr>
            <w:tcW w:type="dxa" w:w="1608"/>
          </w:tcPr>
          <w:p>
            <w:r>
              <w:rPr>
                <w:rFonts w:ascii="Arial" w:hAnsi="Arial"/>
                <w:sz w:val="18"/>
              </w:rPr>
              <w:t>0.7571</w:t>
            </w:r>
          </w:p>
        </w:tc>
      </w:tr>
    </w:tbl>
    <w:p>
      <w:pPr>
        <w:jc w:val="center"/>
      </w:pPr>
      <w:r>
        <w:rPr>
          <w:rFonts w:ascii="Arial" w:hAnsi="Arial"/>
          <w:b/>
          <w:sz w:val="20"/>
        </w:rPr>
        <w:t>Figure 5. ROC curves: LDA, QDA, and logistic regression (5-fold CV)</w:t>
      </w:r>
    </w:p>
    <w:p>
      <w:pPr>
        <w:jc w:val="center"/>
      </w:pPr>
      <w:r>
        <w:drawing>
          <wp:inline xmlns:a="http://schemas.openxmlformats.org/drawingml/2006/main" xmlns:pic="http://schemas.openxmlformats.org/drawingml/2006/picture">
            <wp:extent cx="3657600" cy="3657600"/>
            <wp:docPr id="5" name="Picture 5"/>
            <wp:cNvGraphicFramePr>
              <a:graphicFrameLocks noChangeAspect="1"/>
            </wp:cNvGraphicFramePr>
            <a:graphic>
              <a:graphicData uri="http://schemas.openxmlformats.org/drawingml/2006/picture">
                <pic:pic>
                  <pic:nvPicPr>
                    <pic:cNvPr id="0" name="fig5_roc_curves.png"/>
                    <pic:cNvPicPr/>
                  </pic:nvPicPr>
                  <pic:blipFill>
                    <a:blip r:embed="rId13"/>
                    <a:stretch>
                      <a:fillRect/>
                    </a:stretch>
                  </pic:blipFill>
                  <pic:spPr>
                    <a:xfrm>
                      <a:off x="0" y="0"/>
                      <a:ext cx="3657600" cy="3657600"/>
                    </a:xfrm>
                    <a:prstGeom prst="rect"/>
                  </pic:spPr>
                </pic:pic>
              </a:graphicData>
            </a:graphic>
          </wp:inline>
        </w:drawing>
      </w:r>
    </w:p>
    <w:p>
      <w:r>
        <w:rPr>
          <w:rFonts w:ascii="Arial" w:hAnsi="Arial"/>
          <w:b w:val="0"/>
          <w:i w:val="0"/>
          <w:sz w:val="22"/>
        </w:rPr>
        <w:t>LDA and logistic regression are statistically indistinguishable on discrimination (AUC 0.757 vs 0.757) - unsurprising, since both fit linear decision boundaries, and QDA's added flexibility does not pay off here (AUC 0.738, lower accuracy), suggesting the extra covariance parameters mostly fit noise rather than real nonlinearity. The two linear models trade off differently at the default 0.5 threshold: LDA achieves much higher sensitivity (88.5% vs 84.6%) at the cost of lower specificity (37.4% vs 49.5%) than logistic regression, because LDA's threshold is set by the class priors (67.6% seeking) rather than directly optimizing log-likelihood for the 0.5 cut; logistic regression gives the better overall error rate (26.8% vs 28.1%) and, critically, produces directly interpretable odds ratios (Section 6) that LDA does not. We recommend logistic regression as the primary model for deployment (better balance, interpretable coefficients, easy to recalibrate the decision threshold to an HR-chosen cost ratio), while noting that if the operational goal is to cast the widest possible net for a proactive retention outreach program (where missing a flight risk is far costlier than one extra wellness check-in), LDA's higher recall is a legitimate alternative - and in practice, either model's predicted probability can simply be threshold-tuned to the same operating point, since their ROC curves coincide.</w:t>
      </w:r>
    </w:p>
    <w:p>
      <w:pPr>
        <w:pStyle w:val="Heading1"/>
      </w:pPr>
      <w:r>
        <w:rPr>
          <w:rFonts w:ascii="Arial" w:hAnsi="Arial"/>
          <w:color w:val="000000"/>
          <w:sz w:val="28"/>
        </w:rPr>
        <w:t>8. Clustering &amp; Developer Segments</w:t>
      </w:r>
    </w:p>
    <w:p>
      <w:r>
        <w:rPr>
          <w:rFonts w:ascii="Arial" w:hAnsi="Arial"/>
          <w:b w:val="0"/>
          <w:i w:val="0"/>
          <w:sz w:val="22"/>
        </w:rPr>
        <w:t>K-means (k-means++ initialization, 25 restarts) was run on the 3 retained PC scores (Section 5) across k=1..10. k was selected using both the elbow in within-cluster sum of squares and the gap statistic (15 uniform reference datasets per k); both point to k=3.</w:t>
      </w:r>
    </w:p>
    <w:p>
      <w:pPr>
        <w:jc w:val="center"/>
      </w:pPr>
      <w:r>
        <w:rPr>
          <w:rFonts w:ascii="Arial" w:hAnsi="Arial"/>
          <w:b/>
          <w:sz w:val="20"/>
        </w:rPr>
        <w:t>Figure 6. Within-cluster SS (elbow) and gap statistic across k=1..10</w:t>
      </w:r>
    </w:p>
    <w:p>
      <w:pPr>
        <w:jc w:val="center"/>
      </w:pPr>
      <w:r>
        <w:drawing>
          <wp:inline xmlns:a="http://schemas.openxmlformats.org/drawingml/2006/main" xmlns:pic="http://schemas.openxmlformats.org/drawingml/2006/picture">
            <wp:extent cx="4206240" cy="1752600"/>
            <wp:docPr id="6" name="Picture 6"/>
            <wp:cNvGraphicFramePr>
              <a:graphicFrameLocks noChangeAspect="1"/>
            </wp:cNvGraphicFramePr>
            <a:graphic>
              <a:graphicData uri="http://schemas.openxmlformats.org/drawingml/2006/picture">
                <pic:pic>
                  <pic:nvPicPr>
                    <pic:cNvPr id="0" name="fig6b_elbow_gap.png"/>
                    <pic:cNvPicPr/>
                  </pic:nvPicPr>
                  <pic:blipFill>
                    <a:blip r:embed="rId14"/>
                    <a:stretch>
                      <a:fillRect/>
                    </a:stretch>
                  </pic:blipFill>
                  <pic:spPr>
                    <a:xfrm>
                      <a:off x="0" y="0"/>
                      <a:ext cx="4206240" cy="1752600"/>
                    </a:xfrm>
                    <a:prstGeom prst="rect"/>
                  </pic:spPr>
                </pic:pic>
              </a:graphicData>
            </a:graphic>
          </wp:inline>
        </w:drawing>
      </w:r>
    </w:p>
    <w:p>
      <w:r>
        <w:rPr>
          <w:rFonts w:ascii="Arial" w:hAnsi="Arial"/>
          <w:b w:val="0"/>
          <w:i w:val="0"/>
          <w:sz w:val="22"/>
        </w:rPr>
        <w:t>Ward's hierarchical clustering (Euclidean distance) on the same PC scores, cut at k=3, was compared to the k-means partition via the Adjusted Rand Index: ARI = 0.648, indicating substantial (though not perfect) agreement between the two methods - a reassuring robustness check that the 3-segment structure is not an artifact of one algorithm.</w:t>
      </w:r>
    </w:p>
    <w:p>
      <w:pPr>
        <w:jc w:val="center"/>
      </w:pPr>
      <w:r>
        <w:rPr>
          <w:rFonts w:ascii="Arial" w:hAnsi="Arial"/>
          <w:b/>
          <w:sz w:val="20"/>
        </w:rPr>
        <w:t>Figure 7. Ward hierarchical dendrogram (truncated), cut at k=3</w:t>
      </w:r>
    </w:p>
    <w:p>
      <w:pPr>
        <w:jc w:val="center"/>
      </w:pPr>
      <w:r>
        <w:drawing>
          <wp:inline xmlns:a="http://schemas.openxmlformats.org/drawingml/2006/main" xmlns:pic="http://schemas.openxmlformats.org/drawingml/2006/picture">
            <wp:extent cx="4206240" cy="2523744"/>
            <wp:docPr id="7" name="Picture 7"/>
            <wp:cNvGraphicFramePr>
              <a:graphicFrameLocks noChangeAspect="1"/>
            </wp:cNvGraphicFramePr>
            <a:graphic>
              <a:graphicData uri="http://schemas.openxmlformats.org/drawingml/2006/picture">
                <pic:pic>
                  <pic:nvPicPr>
                    <pic:cNvPr id="0" name="fig6_dendrogram.png"/>
                    <pic:cNvPicPr/>
                  </pic:nvPicPr>
                  <pic:blipFill>
                    <a:blip r:embed="rId15"/>
                    <a:stretch>
                      <a:fillRect/>
                    </a:stretch>
                  </pic:blipFill>
                  <pic:spPr>
                    <a:xfrm>
                      <a:off x="0" y="0"/>
                      <a:ext cx="4206240" cy="2523744"/>
                    </a:xfrm>
                    <a:prstGeom prst="rect"/>
                  </pic:spPr>
                </pic:pic>
              </a:graphicData>
            </a:graphic>
          </wp:inline>
        </w:drawing>
      </w:r>
    </w:p>
    <w:p>
      <w:pPr>
        <w:jc w:val="center"/>
      </w:pPr>
      <w:r>
        <w:rPr>
          <w:rFonts w:ascii="Arial" w:hAnsi="Arial"/>
          <w:b/>
          <w:sz w:val="20"/>
        </w:rPr>
        <w:t>Figure 8. K-means clusters (k=3) in PC1-PC2 space</w:t>
      </w:r>
    </w:p>
    <w:p>
      <w:pPr>
        <w:jc w:val="center"/>
      </w:pPr>
      <w:r>
        <w:drawing>
          <wp:inline xmlns:a="http://schemas.openxmlformats.org/drawingml/2006/main" xmlns:pic="http://schemas.openxmlformats.org/drawingml/2006/picture">
            <wp:extent cx="3840480" cy="3360420"/>
            <wp:docPr id="8" name="Picture 8"/>
            <wp:cNvGraphicFramePr>
              <a:graphicFrameLocks noChangeAspect="1"/>
            </wp:cNvGraphicFramePr>
            <a:graphic>
              <a:graphicData uri="http://schemas.openxmlformats.org/drawingml/2006/picture">
                <pic:pic>
                  <pic:nvPicPr>
                    <pic:cNvPr id="0" name="fig7_kmeans_pc1_pc2.png"/>
                    <pic:cNvPicPr/>
                  </pic:nvPicPr>
                  <pic:blipFill>
                    <a:blip r:embed="rId16"/>
                    <a:stretch>
                      <a:fillRect/>
                    </a:stretch>
                  </pic:blipFill>
                  <pic:spPr>
                    <a:xfrm>
                      <a:off x="0" y="0"/>
                      <a:ext cx="3840480" cy="3360420"/>
                    </a:xfrm>
                    <a:prstGeom prst="rect"/>
                  </pic:spPr>
                </pic:pic>
              </a:graphicData>
            </a:graphic>
          </wp:inline>
        </w:drawing>
      </w:r>
    </w:p>
    <w:p>
      <w:r>
        <w:rPr>
          <w:rFonts w:ascii="Arial" w:hAnsi="Arial"/>
          <w:b w:val="0"/>
          <w:i w:val="0"/>
          <w:sz w:val="22"/>
        </w:rPr>
        <w:t>Clusters 0 and 2 overlap substantially in the PC1-PC2 projection shown above because their main separation is along PC3 (satisfaction, net of seniority) rather than PC1/PC2 - visible instead in the cluster profile table below.</w:t>
      </w:r>
    </w:p>
    <w:p>
      <w:pPr>
        <w:jc w:val="center"/>
      </w:pPr>
      <w:r>
        <w:rPr>
          <w:rFonts w:ascii="Arial" w:hAnsi="Arial"/>
          <w:b/>
          <w:sz w:val="20"/>
        </w:rPr>
        <w:t>Table 14. Cluster profiles: mean numeric values and size</w:t>
      </w:r>
    </w:p>
    <w:tbl>
      <w:tblPr>
        <w:tblStyle w:val="LightGrid-Accent1"/>
        <w:tblW w:type="auto" w:w="0"/>
        <w:tblLook w:firstColumn="1" w:firstRow="1" w:lastColumn="0" w:lastRow="0" w:noHBand="0" w:noVBand="1" w:val="04A0"/>
      </w:tblPr>
      <w:tblGrid>
        <w:gridCol w:w="1206"/>
        <w:gridCol w:w="1206"/>
        <w:gridCol w:w="1206"/>
        <w:gridCol w:w="1206"/>
        <w:gridCol w:w="1206"/>
        <w:gridCol w:w="1206"/>
        <w:gridCol w:w="1206"/>
        <w:gridCol w:w="1206"/>
      </w:tblGrid>
      <w:tr>
        <w:tc>
          <w:tcPr>
            <w:tcW w:type="dxa" w:w="1206"/>
          </w:tcPr>
          <w:p>
            <w:r>
              <w:rPr>
                <w:rFonts w:ascii="Arial" w:hAnsi="Arial"/>
                <w:b/>
                <w:sz w:val="18"/>
              </w:rPr>
            </w:r>
          </w:p>
        </w:tc>
        <w:tc>
          <w:tcPr>
            <w:tcW w:type="dxa" w:w="1206"/>
          </w:tcPr>
          <w:p>
            <w:r>
              <w:rPr>
                <w:rFonts w:ascii="Arial" w:hAnsi="Arial"/>
                <w:b/>
                <w:sz w:val="18"/>
              </w:rPr>
              <w:t>logComp</w:t>
            </w:r>
          </w:p>
        </w:tc>
        <w:tc>
          <w:tcPr>
            <w:tcW w:type="dxa" w:w="1206"/>
          </w:tcPr>
          <w:p>
            <w:r>
              <w:rPr>
                <w:rFonts w:ascii="Arial" w:hAnsi="Arial"/>
                <w:b/>
                <w:sz w:val="18"/>
              </w:rPr>
              <w:t>YearsCodePro</w:t>
            </w:r>
          </w:p>
        </w:tc>
        <w:tc>
          <w:tcPr>
            <w:tcW w:type="dxa" w:w="1206"/>
          </w:tcPr>
          <w:p>
            <w:r>
              <w:rPr>
                <w:rFonts w:ascii="Arial" w:hAnsi="Arial"/>
                <w:b/>
                <w:sz w:val="18"/>
              </w:rPr>
              <w:t>WorkWeekHrs</w:t>
            </w:r>
          </w:p>
        </w:tc>
        <w:tc>
          <w:tcPr>
            <w:tcW w:type="dxa" w:w="1206"/>
          </w:tcPr>
          <w:p>
            <w:r>
              <w:rPr>
                <w:rFonts w:ascii="Arial" w:hAnsi="Arial"/>
                <w:b/>
                <w:sz w:val="18"/>
              </w:rPr>
              <w:t>Age</w:t>
            </w:r>
          </w:p>
        </w:tc>
        <w:tc>
          <w:tcPr>
            <w:tcW w:type="dxa" w:w="1206"/>
          </w:tcPr>
          <w:p>
            <w:r>
              <w:rPr>
                <w:rFonts w:ascii="Arial" w:hAnsi="Arial"/>
                <w:b/>
                <w:sz w:val="18"/>
              </w:rPr>
              <w:t>JobSat_num</w:t>
            </w:r>
          </w:p>
        </w:tc>
        <w:tc>
          <w:tcPr>
            <w:tcW w:type="dxa" w:w="1206"/>
          </w:tcPr>
          <w:p>
            <w:r>
              <w:rPr>
                <w:rFonts w:ascii="Arial" w:hAnsi="Arial"/>
                <w:b/>
                <w:sz w:val="18"/>
              </w:rPr>
              <w:t>CodeRevHrs</w:t>
            </w:r>
          </w:p>
        </w:tc>
        <w:tc>
          <w:tcPr>
            <w:tcW w:type="dxa" w:w="1206"/>
          </w:tcPr>
          <w:p>
            <w:r>
              <w:rPr>
                <w:rFonts w:ascii="Arial" w:hAnsi="Arial"/>
                <w:b/>
                <w:sz w:val="18"/>
              </w:rPr>
              <w:t>n</w:t>
            </w:r>
          </w:p>
        </w:tc>
      </w:tr>
      <w:tr>
        <w:tc>
          <w:tcPr>
            <w:tcW w:type="dxa" w:w="1206"/>
          </w:tcPr>
          <w:p>
            <w:r>
              <w:rPr>
                <w:rFonts w:ascii="Arial" w:hAnsi="Arial"/>
                <w:sz w:val="18"/>
              </w:rPr>
              <w:t>Cluster 0: Settled &amp; Satisfied</w:t>
            </w:r>
          </w:p>
        </w:tc>
        <w:tc>
          <w:tcPr>
            <w:tcW w:type="dxa" w:w="1206"/>
          </w:tcPr>
          <w:p>
            <w:r>
              <w:rPr>
                <w:rFonts w:ascii="Arial" w:hAnsi="Arial"/>
                <w:sz w:val="18"/>
              </w:rPr>
              <w:t>11.59</w:t>
            </w:r>
          </w:p>
        </w:tc>
        <w:tc>
          <w:tcPr>
            <w:tcW w:type="dxa" w:w="1206"/>
          </w:tcPr>
          <w:p>
            <w:r>
              <w:rPr>
                <w:rFonts w:ascii="Arial" w:hAnsi="Arial"/>
                <w:sz w:val="18"/>
              </w:rPr>
              <w:t>5.68</w:t>
            </w:r>
          </w:p>
        </w:tc>
        <w:tc>
          <w:tcPr>
            <w:tcW w:type="dxa" w:w="1206"/>
          </w:tcPr>
          <w:p>
            <w:r>
              <w:rPr>
                <w:rFonts w:ascii="Arial" w:hAnsi="Arial"/>
                <w:sz w:val="18"/>
              </w:rPr>
              <w:t>40.85</w:t>
            </w:r>
          </w:p>
        </w:tc>
        <w:tc>
          <w:tcPr>
            <w:tcW w:type="dxa" w:w="1206"/>
          </w:tcPr>
          <w:p>
            <w:r>
              <w:rPr>
                <w:rFonts w:ascii="Arial" w:hAnsi="Arial"/>
                <w:sz w:val="18"/>
              </w:rPr>
              <w:t>29.08</w:t>
            </w:r>
          </w:p>
        </w:tc>
        <w:tc>
          <w:tcPr>
            <w:tcW w:type="dxa" w:w="1206"/>
          </w:tcPr>
          <w:p>
            <w:r>
              <w:rPr>
                <w:rFonts w:ascii="Arial" w:hAnsi="Arial"/>
                <w:sz w:val="18"/>
              </w:rPr>
              <w:t>4.45</w:t>
            </w:r>
          </w:p>
        </w:tc>
        <w:tc>
          <w:tcPr>
            <w:tcW w:type="dxa" w:w="1206"/>
          </w:tcPr>
          <w:p>
            <w:r>
              <w:rPr>
                <w:rFonts w:ascii="Arial" w:hAnsi="Arial"/>
                <w:sz w:val="18"/>
              </w:rPr>
              <w:t>3.66</w:t>
            </w:r>
          </w:p>
        </w:tc>
        <w:tc>
          <w:tcPr>
            <w:tcW w:type="dxa" w:w="1206"/>
          </w:tcPr>
          <w:p>
            <w:r>
              <w:rPr>
                <w:rFonts w:ascii="Arial" w:hAnsi="Arial"/>
                <w:sz w:val="18"/>
              </w:rPr>
              <w:t>4183.0</w:t>
            </w:r>
          </w:p>
        </w:tc>
      </w:tr>
      <w:tr>
        <w:tc>
          <w:tcPr>
            <w:tcW w:type="dxa" w:w="1206"/>
          </w:tcPr>
          <w:p>
            <w:r>
              <w:rPr>
                <w:rFonts w:ascii="Arial" w:hAnsi="Arial"/>
                <w:sz w:val="18"/>
              </w:rPr>
              <w:t>Cluster 1: Senior Specialists</w:t>
            </w:r>
          </w:p>
        </w:tc>
        <w:tc>
          <w:tcPr>
            <w:tcW w:type="dxa" w:w="1206"/>
          </w:tcPr>
          <w:p>
            <w:r>
              <w:rPr>
                <w:rFonts w:ascii="Arial" w:hAnsi="Arial"/>
                <w:sz w:val="18"/>
              </w:rPr>
              <w:t>11.96</w:t>
            </w:r>
          </w:p>
        </w:tc>
        <w:tc>
          <w:tcPr>
            <w:tcW w:type="dxa" w:w="1206"/>
          </w:tcPr>
          <w:p>
            <w:r>
              <w:rPr>
                <w:rFonts w:ascii="Arial" w:hAnsi="Arial"/>
                <w:sz w:val="18"/>
              </w:rPr>
              <w:t>20.14</w:t>
            </w:r>
          </w:p>
        </w:tc>
        <w:tc>
          <w:tcPr>
            <w:tcW w:type="dxa" w:w="1206"/>
          </w:tcPr>
          <w:p>
            <w:r>
              <w:rPr>
                <w:rFonts w:ascii="Arial" w:hAnsi="Arial"/>
                <w:sz w:val="18"/>
              </w:rPr>
              <w:t>42.88</w:t>
            </w:r>
          </w:p>
        </w:tc>
        <w:tc>
          <w:tcPr>
            <w:tcW w:type="dxa" w:w="1206"/>
          </w:tcPr>
          <w:p>
            <w:r>
              <w:rPr>
                <w:rFonts w:ascii="Arial" w:hAnsi="Arial"/>
                <w:sz w:val="18"/>
              </w:rPr>
              <w:t>43.74</w:t>
            </w:r>
          </w:p>
        </w:tc>
        <w:tc>
          <w:tcPr>
            <w:tcW w:type="dxa" w:w="1206"/>
          </w:tcPr>
          <w:p>
            <w:r>
              <w:rPr>
                <w:rFonts w:ascii="Arial" w:hAnsi="Arial"/>
                <w:sz w:val="18"/>
              </w:rPr>
              <w:t>3.78</w:t>
            </w:r>
          </w:p>
        </w:tc>
        <w:tc>
          <w:tcPr>
            <w:tcW w:type="dxa" w:w="1206"/>
          </w:tcPr>
          <w:p>
            <w:r>
              <w:rPr>
                <w:rFonts w:ascii="Arial" w:hAnsi="Arial"/>
                <w:sz w:val="18"/>
              </w:rPr>
              <w:t>4.66</w:t>
            </w:r>
          </w:p>
        </w:tc>
        <w:tc>
          <w:tcPr>
            <w:tcW w:type="dxa" w:w="1206"/>
          </w:tcPr>
          <w:p>
            <w:r>
              <w:rPr>
                <w:rFonts w:ascii="Arial" w:hAnsi="Arial"/>
                <w:sz w:val="18"/>
              </w:rPr>
              <w:t>1652.0</w:t>
            </w:r>
          </w:p>
        </w:tc>
      </w:tr>
      <w:tr>
        <w:tc>
          <w:tcPr>
            <w:tcW w:type="dxa" w:w="1206"/>
          </w:tcPr>
          <w:p>
            <w:r>
              <w:rPr>
                <w:rFonts w:ascii="Arial" w:hAnsi="Arial"/>
                <w:sz w:val="18"/>
              </w:rPr>
              <w:t>Cluster 2: Early-Career Flight Risk</w:t>
            </w:r>
          </w:p>
        </w:tc>
        <w:tc>
          <w:tcPr>
            <w:tcW w:type="dxa" w:w="1206"/>
          </w:tcPr>
          <w:p>
            <w:r>
              <w:rPr>
                <w:rFonts w:ascii="Arial" w:hAnsi="Arial"/>
                <w:sz w:val="18"/>
              </w:rPr>
              <w:t>10.32</w:t>
            </w:r>
          </w:p>
        </w:tc>
        <w:tc>
          <w:tcPr>
            <w:tcW w:type="dxa" w:w="1206"/>
          </w:tcPr>
          <w:p>
            <w:r>
              <w:rPr>
                <w:rFonts w:ascii="Arial" w:hAnsi="Arial"/>
                <w:sz w:val="18"/>
              </w:rPr>
              <w:t>5.14</w:t>
            </w:r>
          </w:p>
        </w:tc>
        <w:tc>
          <w:tcPr>
            <w:tcW w:type="dxa" w:w="1206"/>
          </w:tcPr>
          <w:p>
            <w:r>
              <w:rPr>
                <w:rFonts w:ascii="Arial" w:hAnsi="Arial"/>
                <w:sz w:val="18"/>
              </w:rPr>
              <w:t>41.45</w:t>
            </w:r>
          </w:p>
        </w:tc>
        <w:tc>
          <w:tcPr>
            <w:tcW w:type="dxa" w:w="1206"/>
          </w:tcPr>
          <w:p>
            <w:r>
              <w:rPr>
                <w:rFonts w:ascii="Arial" w:hAnsi="Arial"/>
                <w:sz w:val="18"/>
              </w:rPr>
              <w:t>28.11</w:t>
            </w:r>
          </w:p>
        </w:tc>
        <w:tc>
          <w:tcPr>
            <w:tcW w:type="dxa" w:w="1206"/>
          </w:tcPr>
          <w:p>
            <w:r>
              <w:rPr>
                <w:rFonts w:ascii="Arial" w:hAnsi="Arial"/>
                <w:sz w:val="18"/>
              </w:rPr>
              <w:t>2.66</w:t>
            </w:r>
          </w:p>
        </w:tc>
        <w:tc>
          <w:tcPr>
            <w:tcW w:type="dxa" w:w="1206"/>
          </w:tcPr>
          <w:p>
            <w:r>
              <w:rPr>
                <w:rFonts w:ascii="Arial" w:hAnsi="Arial"/>
                <w:sz w:val="18"/>
              </w:rPr>
              <w:t>6.35</w:t>
            </w:r>
          </w:p>
        </w:tc>
        <w:tc>
          <w:tcPr>
            <w:tcW w:type="dxa" w:w="1206"/>
          </w:tcPr>
          <w:p>
            <w:r>
              <w:rPr>
                <w:rFonts w:ascii="Arial" w:hAnsi="Arial"/>
                <w:sz w:val="18"/>
              </w:rPr>
              <w:t>2165.0</w:t>
            </w:r>
          </w:p>
        </w:tc>
      </w:tr>
    </w:tbl>
    <w:p>
      <w:r>
        <w:rPr>
          <w:rFonts w:ascii="Arial" w:hAnsi="Arial"/>
          <w:b w:val="0"/>
          <w:i w:val="0"/>
          <w:sz w:val="22"/>
        </w:rPr>
        <w:t>Cross-tabulated against job-seeking status and country, the three segments read as distinct, actionable HR profiles:</w:t>
      </w:r>
    </w:p>
    <w:p>
      <w:pPr>
        <w:pStyle w:val="ListBullet"/>
      </w:pPr>
      <w:r>
        <w:rPr>
          <w:rFonts w:ascii="Arial" w:hAnsi="Arial"/>
          <w:sz w:val="22"/>
        </w:rPr>
        <w:t>Cluster 0 - "Settled &amp; Satisfied" (n=4,183, 52.3% of sample): mid tenure (5.7 yrs), average pay (~$108k), high satisfaction (4.45/5), low risk - only 3.6% actively looking, 42.3% not interested in a move at all. The bulk of the stable workforce; retention spend here has the lowest ROI.</w:t>
      </w:r>
    </w:p>
    <w:p>
      <w:pPr>
        <w:pStyle w:val="ListBullet"/>
      </w:pPr>
      <w:r>
        <w:rPr>
          <w:rFonts w:ascii="Arial" w:hAnsi="Arial"/>
          <w:sz w:val="22"/>
        </w:rPr>
        <w:t>Cluster 1 - "Senior Specialists" (n=1,652, 20.7%): most experienced (20.1 yrs), oldest (43.7), highest paid (~$156k), moderately satisfied (3.78/5); only 7.9% actively looking. Low volume, high replacement cost - worth a lightweight, low-cost touch (career-growth/mentoring conversations) given how expensive and slow senior specialists are to replace.</w:t>
      </w:r>
    </w:p>
    <w:p>
      <w:pPr>
        <w:pStyle w:val="ListBullet"/>
      </w:pPr>
      <w:r>
        <w:rPr>
          <w:rFonts w:ascii="Arial" w:hAnsi="Arial"/>
          <w:sz w:val="22"/>
        </w:rPr>
        <w:t>Cluster 2 - "Early-Career Flight Risk" (n=2,165, 27.1%): youngest (28.1), similar tenure to Cluster 0 (5.1 yrs) but lowest pay (~$30k implied, reflecting a heavy India/lower-cost-market concentration: 40.7% of this cluster is India vs. 14.0% of the overall sample), lowest satisfaction (2.66/5) and heaviest code-review load (6.35 h/week). This segment is 25.2% actively looking for a job - roughly 7x Cluster 0's rate - and only 11.4% say they are not interested in a move. This is the highest-priority retention segment.</w:t>
      </w:r>
    </w:p>
    <w:p>
      <w:r>
        <w:rPr>
          <w:rFonts w:ascii="Arial" w:hAnsi="Arial"/>
          <w:b w:val="0"/>
          <w:i/>
          <w:sz w:val="22"/>
        </w:rPr>
        <w:t>HR takeaway: the clustering independently reproduces the MANOVA/logistic findings (satisfaction and, to a lesser extent, pay/tenure drive job-seeking) but turns them into a targeting list - Cluster 2 is a concrete, sizeable (27% of the workforce), identifiable population for a pay-equity review and workload rebalancing (code-review load), rather than a generic company-wide engagement initiative.</w:t>
      </w:r>
    </w:p>
    <w:p>
      <w:pPr>
        <w:pStyle w:val="Heading1"/>
      </w:pPr>
      <w:r>
        <w:rPr>
          <w:rFonts w:ascii="Arial" w:hAnsi="Arial"/>
          <w:color w:val="000000"/>
          <w:sz w:val="28"/>
        </w:rPr>
        <w:t>9. Conclusions &amp; HR Recommendations</w:t>
      </w:r>
    </w:p>
    <w:p>
      <w:pPr>
        <w:pStyle w:val="ListBullet"/>
      </w:pPr>
      <w:r>
        <w:rPr>
          <w:rFonts w:ascii="Arial" w:hAnsi="Arial"/>
          <w:sz w:val="22"/>
        </w:rPr>
        <w:t>Monitor job satisfaction as the primary, cheapest leading indicator: it dominates every model in this report (MANOVA, logistic odds ratios, ridge-stable coefficient, and the main cluster-separating axis).</w:t>
      </w:r>
    </w:p>
    <w:p>
      <w:pPr>
        <w:pStyle w:val="ListBullet"/>
      </w:pPr>
      <w:r>
        <w:rPr>
          <w:rFonts w:ascii="Arial" w:hAnsi="Arial"/>
          <w:sz w:val="22"/>
        </w:rPr>
        <w:t>Treat pay and tenure as a secondary, collinear pair, not independent levers; a pay review should be paired with a tenure/seniority context check rather than read in isolation (Section 6.1).</w:t>
      </w:r>
    </w:p>
    <w:p>
      <w:pPr>
        <w:pStyle w:val="ListBullet"/>
      </w:pPr>
      <w:r>
        <w:rPr>
          <w:rFonts w:ascii="Arial" w:hAnsi="Arial"/>
          <w:sz w:val="22"/>
        </w:rPr>
        <w:t>Prioritize the Early-Career Flight Risk segment (27% of the workforce, 25% actively job-seeking): a targeted pay-equity audit (this segment is disproportionately in lower-cost markets, notably India) and code-review workload rebalancing are the two most defensible, specific interventions the data support.</w:t>
      </w:r>
    </w:p>
    <w:p>
      <w:pPr>
        <w:pStyle w:val="ListBullet"/>
      </w:pPr>
      <w:r>
        <w:rPr>
          <w:rFonts w:ascii="Arial" w:hAnsi="Arial"/>
          <w:sz w:val="22"/>
        </w:rPr>
        <w:t>Give Senior Specialists (21% of the workforce, expensive to replace) a lighter-touch, non-monetary retention motion - this group is not highly price-sensitive by this evidence, but has an 8% active-seeking rate worth tracking.</w:t>
      </w:r>
    </w:p>
    <w:p>
      <w:pPr>
        <w:pStyle w:val="ListBullet"/>
      </w:pPr>
      <w:r>
        <w:rPr>
          <w:rFonts w:ascii="Arial" w:hAnsi="Arial"/>
          <w:sz w:val="22"/>
        </w:rPr>
        <w:t>For a predictive flight-risk score, deploy the logistic regression model (interpretable odds ratios, tunable decision threshold); use country and hobbyist status as context, not blame - both are strong statistical controls but not actionable levers on their own.</w:t>
      </w:r>
    </w:p>
    <w:p>
      <w:pPr>
        <w:pStyle w:val="Heading1"/>
      </w:pPr>
      <w:r>
        <w:rPr>
          <w:rFonts w:ascii="Arial" w:hAnsi="Arial"/>
          <w:color w:val="000000"/>
          <w:sz w:val="28"/>
        </w:rPr>
        <w:t>10. Limitations</w:t>
      </w:r>
    </w:p>
    <w:p>
      <w:pPr>
        <w:pStyle w:val="ListBullet"/>
      </w:pPr>
      <w:r>
        <w:rPr>
          <w:rFonts w:ascii="Arial" w:hAnsi="Arial"/>
          <w:sz w:val="22"/>
        </w:rPr>
        <w:t>Self-selection bias: Stack Overflow survey respondents are a convenience sample of developers engaged enough with the community to take the survey; they may not represent the full developer population or any single company's workforce.</w:t>
      </w:r>
    </w:p>
    <w:p>
      <w:pPr>
        <w:pStyle w:val="ListBullet"/>
      </w:pPr>
      <w:r>
        <w:rPr>
          <w:rFonts w:ascii="Arial" w:hAnsi="Arial"/>
          <w:sz w:val="22"/>
        </w:rPr>
        <w:t>Cross-sectional design: all variables are measured at one point in time, so reported associations (e.g., satisfaction -&gt; job-seeking) are correlational, not causal, and could run in either direction.</w:t>
      </w:r>
    </w:p>
    <w:p>
      <w:pPr>
        <w:pStyle w:val="ListBullet"/>
      </w:pPr>
      <w:r>
        <w:rPr>
          <w:rFonts w:ascii="Arial" w:hAnsi="Arial"/>
          <w:sz w:val="22"/>
        </w:rPr>
        <w:t>No true churn outcome: JobSeek is a stated intention/attitude, not observed turnover; the mapping of "open to opportunities" into the risk group (Section 2.2) is a modeling choice that inflates the positive class and should be validated against a company's own exit data before being used operationally.</w:t>
      </w:r>
    </w:p>
    <w:p>
      <w:pPr>
        <w:pStyle w:val="ListBullet"/>
      </w:pPr>
      <w:r>
        <w:rPr>
          <w:rFonts w:ascii="Arial" w:hAnsi="Arial"/>
          <w:sz w:val="22"/>
        </w:rPr>
        <w:t>External validity: the 2019 wave predates the 2020-2023 labor-market disruptions (COVID-19 hiring freezes, 2022-2023 tech layoffs) that materially changed developer job-seeking behavior; a current deployment should re-estimate on recent data.</w:t>
      </w:r>
    </w:p>
    <w:p>
      <w:pPr>
        <w:pStyle w:val="ListBullet"/>
      </w:pPr>
      <w:r>
        <w:rPr>
          <w:rFonts w:ascii="Arial" w:hAnsi="Arial"/>
          <w:sz w:val="22"/>
        </w:rPr>
        <w:t>Country generalizability: only the five largest-N countries are included; findings (especially the India effect) should not be extrapolated to markets not represented in the sample.</w:t>
      </w:r>
    </w:p>
    <w:sectPr w:rsidR="00FC693F" w:rsidRPr="0006063C" w:rsidSect="00034616">
      <w:pgSz w:w="12240" w:h="15840"/>
      <w:pgMar w:top="1008"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