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DD85" w14:textId="77777777" w:rsidR="00C77BDC" w:rsidRPr="003D66CD" w:rsidRDefault="00C77BDC" w:rsidP="00C77BDC">
      <w:pPr>
        <w:pStyle w:val="Heading1"/>
        <w:jc w:val="both"/>
        <w:rPr>
          <w:rFonts w:ascii="Arial" w:hAnsi="Arial" w:cs="Arial"/>
        </w:rPr>
      </w:pPr>
      <w:r w:rsidRPr="003D66CD">
        <w:rPr>
          <w:rFonts w:ascii="Arial" w:hAnsi="Arial" w:cs="Arial"/>
        </w:rPr>
        <w:t>Lab 3</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7DD5FFCB" w14:textId="77777777" w:rsidR="00C77BDC" w:rsidRPr="003D66CD" w:rsidRDefault="00C77BDC" w:rsidP="00C77BDC">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77777777"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293C021D" w14:textId="77777777" w:rsidR="00C77BDC" w:rsidRPr="003D66CD" w:rsidRDefault="00C77BDC" w:rsidP="00C77BDC">
      <w:pPr>
        <w:jc w:val="both"/>
        <w:rPr>
          <w:rFonts w:ascii="Arial" w:hAnsi="Arial" w:cs="Arial"/>
        </w:rPr>
      </w:pPr>
      <w:r w:rsidRPr="003D66CD">
        <w:rPr>
          <w:rFonts w:ascii="Arial" w:hAnsi="Arial" w:cs="Arial"/>
        </w:rPr>
        <w:t>Previous</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with an easy one. You want to show VanArsdel's sales (revenue) and units for each month and year in a single report. You choose to show this using two Matrix visualizations.</w:t>
      </w:r>
    </w:p>
    <w:p w14:paraId="37584F31"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r w:rsidRPr="003D66CD">
        <w:rPr>
          <w:rStyle w:val="Strong"/>
          <w:rFonts w:ascii="Arial" w:hAnsi="Arial" w:cs="Arial"/>
          <w:color w:val="313131"/>
        </w:rPr>
        <w:t>VanArsdel Sales and Units</w:t>
      </w:r>
      <w:r w:rsidRPr="003D66CD">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A239D25"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4F5BB510" w14:textId="7251155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is VanArsdel's sales for December 2013? (to two decimal places)</w:t>
      </w:r>
      <w:r w:rsidRPr="003D66CD">
        <w:rPr>
          <w:rFonts w:ascii="Arial" w:hAnsi="Arial" w:cs="Arial"/>
          <w:color w:val="222222"/>
        </w:rPr>
        <w:object w:dxaOrig="1440" w:dyaOrig="1440"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7pt;height:18pt" o:ole="">
            <v:imagedata r:id="rId8" o:title=""/>
          </v:shape>
          <w:control r:id="rId9" w:name="DefaultOcxName19" w:shapeid="_x0000_i1083"/>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C3DF424" w14:textId="77777777" w:rsidR="00C77BDC" w:rsidRPr="003D66CD" w:rsidRDefault="00C77BDC" w:rsidP="00C77BDC">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lastRenderedPageBreak/>
        <w:t>What is VanArsdel's total units for the March 2013?</w:t>
      </w:r>
    </w:p>
    <w:p w14:paraId="3FCBCDF0" w14:textId="50FAC625"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190A5617">
          <v:shape id="_x0000_i1086" type="#_x0000_t75" style="width:87pt;height:18pt" o:ole="">
            <v:imagedata r:id="rId8" o:title=""/>
          </v:shape>
          <w:control r:id="rId10" w:name="DefaultOcxName18" w:shapeid="_x0000_i108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7777777" w:rsidR="00C77BDC" w:rsidRPr="003D66CD" w:rsidRDefault="00C77BDC"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r w:rsidRPr="003D66CD">
        <w:rPr>
          <w:rStyle w:val="Strong"/>
          <w:rFonts w:ascii="Arial" w:hAnsi="Arial" w:cs="Arial"/>
          <w:color w:val="313131"/>
          <w:bdr w:val="none" w:sz="0" w:space="0" w:color="auto" w:frame="1"/>
        </w:rPr>
        <w:t>You should have something similar to the below:</w:t>
      </w:r>
    </w:p>
    <w:p w14:paraId="75D50BB7" w14:textId="30CE21CA" w:rsidR="00C77BDC" w:rsidRPr="003D66CD" w:rsidRDefault="001A1E84" w:rsidP="00C77BDC">
      <w:pPr>
        <w:pStyle w:val="NormalWeb"/>
        <w:shd w:val="clear" w:color="auto" w:fill="FFFFFF"/>
        <w:spacing w:before="0" w:beforeAutospacing="0" w:after="0" w:afterAutospacing="0"/>
        <w:jc w:val="both"/>
        <w:rPr>
          <w:rFonts w:ascii="Arial" w:hAnsi="Arial" w:cs="Arial"/>
          <w:color w:val="313131"/>
        </w:rPr>
      </w:pPr>
      <w:r>
        <w:rPr>
          <w:noProof/>
        </w:rPr>
        <w:lastRenderedPageBreak/>
        <w:drawing>
          <wp:inline distT="0" distB="0" distL="0" distR="0" wp14:anchorId="6EF3115B" wp14:editId="2DF8957E">
            <wp:extent cx="6152515" cy="4258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258310"/>
                    </a:xfrm>
                    <a:prstGeom prst="rect">
                      <a:avLst/>
                    </a:prstGeom>
                  </pic:spPr>
                </pic:pic>
              </a:graphicData>
            </a:graphic>
          </wp:inline>
        </w:drawing>
      </w:r>
      <w:bookmarkStart w:id="0" w:name="_GoBack"/>
      <w:bookmarkEnd w:id="0"/>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You should have something similar to the below:</w:t>
      </w: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948280B"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68995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In which year the Moderation segment first took over as the segment with most sales?                                                                                                                                                                                     </w:t>
      </w:r>
      <w:r w:rsidRPr="003D66CD">
        <w:rPr>
          <w:rFonts w:ascii="Arial" w:hAnsi="Arial" w:cs="Arial"/>
          <w:color w:val="222222"/>
        </w:rPr>
        <w:object w:dxaOrig="1440" w:dyaOrig="1440" w14:anchorId="3C957F41">
          <v:shape id="_x0000_i1088" type="#_x0000_t75" style="width:106.5pt;height:18pt" o:ole="">
            <v:imagedata r:id="rId13" o:title=""/>
          </v:shape>
          <w:control r:id="rId14" w:name="DefaultOcxName22" w:shapeid="_x0000_i1088"/>
        </w:object>
      </w:r>
      <w:r w:rsidRPr="003D66CD">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p>
    <w:p w14:paraId="03CC6A32" w14:textId="5EE53BA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in terms of Units? In which year the Moderation segment first took over as the segment with most units?                                                                                                                                                                                     </w:t>
      </w:r>
      <w:r w:rsidRPr="003D66CD">
        <w:rPr>
          <w:rFonts w:ascii="Arial" w:hAnsi="Arial" w:cs="Arial"/>
          <w:color w:val="222222"/>
        </w:rPr>
        <w:object w:dxaOrig="1440" w:dyaOrig="1440" w14:anchorId="4E3FC4B8">
          <v:shape id="_x0000_i1091" type="#_x0000_t75" style="width:106.5pt;height:18pt" o:ole="">
            <v:imagedata r:id="rId15" o:title=""/>
          </v:shape>
          <w:control r:id="rId16" w:name="DefaultOcxName111" w:shapeid="_x0000_i1091"/>
        </w:object>
      </w:r>
      <w:r w:rsidRPr="003D66CD">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do some trend analysis. First let's show a chart to compare Total Sales and Total Units throughout the years. And then let's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You should have something similar to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34FDE1A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0AC7202F"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42A745B"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In which year the growth of total sales were not matched by the growth of total units?</w:t>
      </w:r>
    </w:p>
    <w:p w14:paraId="3BBE9343" w14:textId="1F54987C"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7F6A9417">
          <v:shape id="_x0000_i1094" type="#_x0000_t75" style="width:20.25pt;height:18pt" o:ole="">
            <v:imagedata r:id="rId18" o:title=""/>
          </v:shape>
          <w:control r:id="rId19" w:name="DefaultOcxName24" w:shapeid="_x0000_i1094"/>
        </w:object>
      </w:r>
      <w:r w:rsidRPr="003D66CD">
        <w:rPr>
          <w:rFonts w:ascii="Arial" w:hAnsi="Arial" w:cs="Arial"/>
          <w:color w:val="222222"/>
        </w:rPr>
        <w:t>2005</w:t>
      </w:r>
    </w:p>
    <w:p w14:paraId="192440C4" w14:textId="729B1D01"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36C040F9">
          <v:shape id="_x0000_i1097" type="#_x0000_t75" style="width:20.25pt;height:18pt" o:ole="">
            <v:imagedata r:id="rId20" o:title=""/>
          </v:shape>
          <w:control r:id="rId21" w:name="DefaultOcxName113" w:shapeid="_x0000_i1097"/>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178CAF8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08896BCC">
          <v:shape id="_x0000_i1100" type="#_x0000_t75" style="width:20.25pt;height:18pt" o:ole="">
            <v:imagedata r:id="rId20" o:title=""/>
          </v:shape>
          <w:control r:id="rId22" w:name="DefaultOcxName23" w:shapeid="_x0000_i1100"/>
        </w:object>
      </w:r>
      <w:r w:rsidRPr="003D66CD">
        <w:rPr>
          <w:rFonts w:ascii="Arial" w:hAnsi="Arial" w:cs="Arial"/>
          <w:color w:val="222222"/>
        </w:rPr>
        <w:t>2007</w:t>
      </w:r>
    </w:p>
    <w:p w14:paraId="7BEB0B2F" w14:textId="17A92F21"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1AF934B3">
          <v:shape id="_x0000_i1103" type="#_x0000_t75" style="width:20.25pt;height:18pt" o:ole="">
            <v:imagedata r:id="rId20" o:title=""/>
          </v:shape>
          <w:control r:id="rId23" w:name="DefaultOcxName32" w:shapeid="_x0000_i1103"/>
        </w:object>
      </w:r>
      <w:r w:rsidRPr="003D66CD">
        <w:rPr>
          <w:rFonts w:ascii="Arial" w:hAnsi="Arial" w:cs="Arial"/>
          <w:color w:val="222222"/>
        </w:rPr>
        <w:t>2008</w:t>
      </w:r>
    </w:p>
    <w:p w14:paraId="03191751" w14:textId="77777777" w:rsidR="00C77BDC" w:rsidRPr="003D66CD" w:rsidRDefault="00C77BDC" w:rsidP="00C77BDC">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4A04109"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42EBE278" w14:textId="77777777" w:rsidR="00C77BDC" w:rsidRPr="003D66CD" w:rsidRDefault="00C77BDC" w:rsidP="00C77BDC">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6E5BEB3C"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75C4E3D"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B32544D"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Which year saw the biggest drop in total sales?</w:t>
      </w:r>
    </w:p>
    <w:p w14:paraId="24D8D528" w14:textId="54789A3A"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6567645B">
          <v:shape id="_x0000_i1106" type="#_x0000_t75" style="width:20.25pt;height:18pt" o:ole="">
            <v:imagedata r:id="rId18" o:title=""/>
          </v:shape>
          <w:control r:id="rId24" w:name="DefaultOcxName42" w:shapeid="_x0000_i1106"/>
        </w:object>
      </w:r>
      <w:r w:rsidRPr="003D66CD">
        <w:rPr>
          <w:rFonts w:ascii="Arial" w:hAnsi="Arial" w:cs="Arial"/>
          <w:color w:val="222222"/>
        </w:rPr>
        <w:t>2007</w:t>
      </w:r>
    </w:p>
    <w:p w14:paraId="2D762870" w14:textId="2CFD416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4A81F324">
          <v:shape id="_x0000_i1109" type="#_x0000_t75" style="width:20.25pt;height:18pt" o:ole="">
            <v:imagedata r:id="rId20" o:title=""/>
          </v:shape>
          <w:control r:id="rId25" w:name="DefaultOcxName52" w:shapeid="_x0000_i1109"/>
        </w:object>
      </w:r>
      <w:r w:rsidRPr="003D66CD">
        <w:rPr>
          <w:rFonts w:ascii="Arial" w:hAnsi="Arial" w:cs="Arial"/>
          <w:color w:val="222222"/>
        </w:rPr>
        <w:t>2008</w:t>
      </w:r>
    </w:p>
    <w:p w14:paraId="28FA206A" w14:textId="5757522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76597E1F">
          <v:shape id="_x0000_i1112" type="#_x0000_t75" style="width:20.25pt;height:18pt" o:ole="">
            <v:imagedata r:id="rId20" o:title=""/>
          </v:shape>
          <w:control r:id="rId26" w:name="DefaultOcxName62" w:shapeid="_x0000_i1112"/>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0DB0692D"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6248677E">
          <v:shape id="_x0000_i1115" type="#_x0000_t75" style="width:20.25pt;height:18pt" o:ole="">
            <v:imagedata r:id="rId20" o:title=""/>
          </v:shape>
          <w:control r:id="rId27" w:name="DefaultOcxName71" w:shapeid="_x0000_i1115"/>
        </w:object>
      </w:r>
      <w:r w:rsidRPr="003D66CD">
        <w:rPr>
          <w:rFonts w:ascii="Arial" w:hAnsi="Arial" w:cs="Arial"/>
          <w:color w:val="222222"/>
        </w:rPr>
        <w:t>2010</w:t>
      </w:r>
    </w:p>
    <w:p w14:paraId="6A3CC4A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total units? Which year saw the biggest drop in total units?</w:t>
      </w:r>
    </w:p>
    <w:p w14:paraId="38503CDD" w14:textId="54E5D38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0EB72CE9">
          <v:shape id="_x0000_i1118" type="#_x0000_t75" style="width:20.25pt;height:18pt" o:ole="">
            <v:imagedata r:id="rId18" o:title=""/>
          </v:shape>
          <w:control r:id="rId28" w:name="DefaultOcxName81" w:shapeid="_x0000_i1118"/>
        </w:object>
      </w:r>
      <w:r w:rsidRPr="003D66CD">
        <w:rPr>
          <w:rFonts w:ascii="Arial" w:hAnsi="Arial" w:cs="Arial"/>
          <w:color w:val="222222"/>
        </w:rPr>
        <w:t>2007</w:t>
      </w:r>
    </w:p>
    <w:p w14:paraId="793BC518" w14:textId="092BEB2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24429BD8">
          <v:shape id="_x0000_i1121" type="#_x0000_t75" style="width:20.25pt;height:18pt" o:ole="">
            <v:imagedata r:id="rId20" o:title=""/>
          </v:shape>
          <w:control r:id="rId29" w:name="DefaultOcxName91" w:shapeid="_x0000_i1121"/>
        </w:object>
      </w:r>
      <w:r w:rsidRPr="003D66CD">
        <w:rPr>
          <w:rFonts w:ascii="Arial" w:hAnsi="Arial" w:cs="Arial"/>
          <w:color w:val="222222"/>
        </w:rPr>
        <w:t>2008</w:t>
      </w:r>
    </w:p>
    <w:p w14:paraId="05052F9F" w14:textId="3D7A5E25"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2A6185F6">
          <v:shape id="_x0000_i1124" type="#_x0000_t75" style="width:20.25pt;height:18pt" o:ole="">
            <v:imagedata r:id="rId20" o:title=""/>
          </v:shape>
          <w:control r:id="rId30" w:name="DefaultOcxName101" w:shapeid="_x0000_i1124"/>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4A982974"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7A5CF5B2">
          <v:shape id="_x0000_i1127" type="#_x0000_t75" style="width:20.25pt;height:18pt" o:ole="">
            <v:imagedata r:id="rId20" o:title=""/>
          </v:shape>
          <w:control r:id="rId31" w:name="DefaultOcxName112" w:shapeid="_x0000_i1127"/>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You should have something similar to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B7D9475"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BB50779"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What is the top product in terms of sales for the year 2010?</w:t>
      </w:r>
    </w:p>
    <w:p w14:paraId="2AEC84ED" w14:textId="6F6C8EC8"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5B4AAADE">
          <v:shape id="_x0000_i1130" type="#_x0000_t75" style="width:20.25pt;height:18pt" o:ole="">
            <v:imagedata r:id="rId18" o:title=""/>
          </v:shape>
          <w:control r:id="rId33" w:name="DefaultOcxName26" w:shapeid="_x0000_i1130"/>
        </w:object>
      </w:r>
      <w:r w:rsidRPr="003D66CD">
        <w:rPr>
          <w:rFonts w:ascii="Arial" w:hAnsi="Arial" w:cs="Arial"/>
          <w:color w:val="222222"/>
        </w:rPr>
        <w:t>Maximus UM-92</w:t>
      </w:r>
    </w:p>
    <w:p w14:paraId="4EB43504" w14:textId="5CFAE392"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5A89F491">
          <v:shape id="_x0000_i1133" type="#_x0000_t75" style="width:20.25pt;height:18pt" o:ole="">
            <v:imagedata r:id="rId20" o:title=""/>
          </v:shape>
          <w:control r:id="rId34" w:name="DefaultOcxName114" w:shapeid="_x0000_i1133"/>
        </w:object>
      </w:r>
      <w:r w:rsidRPr="003D66CD">
        <w:rPr>
          <w:rFonts w:ascii="Arial" w:hAnsi="Arial" w:cs="Arial"/>
          <w:color w:val="222222"/>
        </w:rPr>
        <w:t>Maximus UM-43</w:t>
      </w:r>
    </w:p>
    <w:p w14:paraId="7262A7C7" w14:textId="43CB81D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79784A6B">
          <v:shape id="_x0000_i1136" type="#_x0000_t75" style="width:20.25pt;height:18pt" o:ole="">
            <v:imagedata r:id="rId20" o:title=""/>
          </v:shape>
          <w:control r:id="rId35" w:name="DefaultOcxName25" w:shapeid="_x0000_i1136"/>
        </w:object>
      </w:r>
      <w:r w:rsidRPr="003D66CD">
        <w:rPr>
          <w:rFonts w:ascii="Arial" w:hAnsi="Arial" w:cs="Arial"/>
          <w:color w:val="222222"/>
        </w:rPr>
        <w:t>Maximus UM-70</w:t>
      </w:r>
    </w:p>
    <w:p w14:paraId="4DCB6884" w14:textId="68598403"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16CBF2B8">
          <v:shape id="_x0000_i1139" type="#_x0000_t75" style="width:20.25pt;height:18pt" o:ole="">
            <v:imagedata r:id="rId20" o:title=""/>
          </v:shape>
          <w:control r:id="rId36" w:name="DefaultOcxName33" w:shapeid="_x0000_i1139"/>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7BD6E359"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292B3C76">
          <v:shape id="_x0000_i1142" type="#_x0000_t75" style="width:20.25pt;height:18pt" o:ole="">
            <v:imagedata r:id="rId20" o:title=""/>
          </v:shape>
          <w:control r:id="rId37" w:name="DefaultOcxName43" w:shapeid="_x0000_i1142"/>
        </w:object>
      </w:r>
      <w:r w:rsidRPr="003D66CD">
        <w:rPr>
          <w:rFonts w:ascii="Arial" w:hAnsi="Arial" w:cs="Arial"/>
          <w:color w:val="222222"/>
        </w:rPr>
        <w:t>Maximus UC-69</w:t>
      </w:r>
    </w:p>
    <w:p w14:paraId="2600E713"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in terms of units? What is the top product in terms of total units for the year 2010?</w:t>
      </w:r>
    </w:p>
    <w:p w14:paraId="0BAD9833" w14:textId="1A45064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7ABB3682">
          <v:shape id="_x0000_i1145" type="#_x0000_t75" style="width:20.25pt;height:18pt" o:ole="">
            <v:imagedata r:id="rId18" o:title=""/>
          </v:shape>
          <w:control r:id="rId38" w:name="DefaultOcxName53" w:shapeid="_x0000_i1145"/>
        </w:object>
      </w:r>
      <w:r w:rsidRPr="003D66CD">
        <w:rPr>
          <w:rFonts w:ascii="Arial" w:hAnsi="Arial" w:cs="Arial"/>
          <w:color w:val="222222"/>
        </w:rPr>
        <w:t>Maximus UM-92</w:t>
      </w:r>
    </w:p>
    <w:p w14:paraId="1DB49D45" w14:textId="37FE3F44"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7B27098A">
          <v:shape id="_x0000_i1148" type="#_x0000_t75" style="width:20.25pt;height:18pt" o:ole="">
            <v:imagedata r:id="rId20" o:title=""/>
          </v:shape>
          <w:control r:id="rId39" w:name="DefaultOcxName63" w:shapeid="_x0000_i1148"/>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703D13FB"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23A5FE20">
          <v:shape id="_x0000_i1151" type="#_x0000_t75" style="width:20.25pt;height:18pt" o:ole="">
            <v:imagedata r:id="rId20" o:title=""/>
          </v:shape>
          <w:control r:id="rId40" w:name="DefaultOcxName72" w:shapeid="_x0000_i1151"/>
        </w:object>
      </w:r>
      <w:r w:rsidRPr="003D66CD">
        <w:rPr>
          <w:rFonts w:ascii="Arial" w:hAnsi="Arial" w:cs="Arial"/>
          <w:color w:val="222222"/>
        </w:rPr>
        <w:t>Maximus UM-70</w:t>
      </w:r>
    </w:p>
    <w:p w14:paraId="2B58914F" w14:textId="73679FD2"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3212E95E">
          <v:shape id="_x0000_i1154" type="#_x0000_t75" style="width:20.25pt;height:18pt" o:ole="">
            <v:imagedata r:id="rId20" o:title=""/>
          </v:shape>
          <w:control r:id="rId41" w:name="DefaultOcxName82" w:shapeid="_x0000_i1154"/>
        </w:object>
      </w:r>
      <w:r w:rsidRPr="003D66CD">
        <w:rPr>
          <w:rFonts w:ascii="Arial" w:hAnsi="Arial" w:cs="Arial"/>
          <w:color w:val="222222"/>
        </w:rPr>
        <w:t>Maximus UM-11</w:t>
      </w:r>
    </w:p>
    <w:p w14:paraId="7FCB4781" w14:textId="794C17B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1A8F8987">
          <v:shape id="_x0000_i1157" type="#_x0000_t75" style="width:20.25pt;height:18pt" o:ole="">
            <v:imagedata r:id="rId20" o:title=""/>
          </v:shape>
          <w:control r:id="rId42" w:name="DefaultOcxName92" w:shapeid="_x0000_i1157"/>
        </w:object>
      </w:r>
      <w:r w:rsidRPr="003D66CD">
        <w:rPr>
          <w:rFonts w:ascii="Arial" w:hAnsi="Arial" w:cs="Arial"/>
          <w:color w:val="222222"/>
        </w:rPr>
        <w:t>Maximus UC-69</w:t>
      </w:r>
    </w:p>
    <w:p w14:paraId="34832ED4" w14:textId="77777777" w:rsidR="00C77BDC" w:rsidRPr="003D66CD" w:rsidRDefault="00C77BDC" w:rsidP="00C77BDC">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7A8445F"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1186DBE1"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348EEB66" wp14:editId="69E9687E">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7DAE0F57"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198F7D2F"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0C2423A"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27736FDB"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January 2014, what is VanArsdel's sales, from all manufacturers, for Urban category and Moderation segment? (to two decimal places) (Hint: Try hovering on the chart)</w:t>
      </w:r>
    </w:p>
    <w:p w14:paraId="1296F4A9" w14:textId="09888704"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0F9BB35F">
          <v:shape id="_x0000_i1161" type="#_x0000_t75" style="width:87pt;height:18pt" o:ole="">
            <v:imagedata r:id="rId8" o:title=""/>
          </v:shape>
          <w:control r:id="rId44" w:name="DefaultOcxName20" w:shapeid="_x0000_i116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434B18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p>
    <w:p w14:paraId="348BD32D" w14:textId="77777777" w:rsidR="00C77BDC" w:rsidRPr="003D66CD" w:rsidRDefault="00C77BDC" w:rsidP="00C77BDC">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In May 2015, what is VanArsdel's sales, from all manufacturers, for Mix category and All Season segment? (to two decimal places) (Hint: Try hovering on the chart)</w:t>
      </w:r>
    </w:p>
    <w:p w14:paraId="7331293B" w14:textId="12BCB94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1440" w:dyaOrig="1440" w14:anchorId="633D073F">
          <v:shape id="_x0000_i1164" type="#_x0000_t75" style="width:87pt;height:18pt" o:ole="">
            <v:imagedata r:id="rId8" o:title=""/>
          </v:shape>
          <w:control r:id="rId45" w:name="DefaultOcxName110" w:shapeid="_x0000_i1164"/>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007AC01"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015E67AD" w14:textId="77777777" w:rsidR="00C77BDC" w:rsidRPr="003D66CD" w:rsidRDefault="00C77BDC" w:rsidP="00C77BDC">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1DBC0C0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2251FA9"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53C7C8E"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2C835A29"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Drag the Manufacturer name to its appropriate box, 1 for the one with highest, and 4 for the one with the lowest.</w:t>
      </w:r>
    </w:p>
    <w:p w14:paraId="46269310"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6E084FC7" w14:textId="3C91C573" w:rsidR="00C77BDC" w:rsidRPr="003D66CD" w:rsidRDefault="00C77BDC" w:rsidP="00C77BDC">
      <w:pPr>
        <w:shd w:val="clear" w:color="auto" w:fill="D6D6D6"/>
        <w:jc w:val="both"/>
        <w:rPr>
          <w:rFonts w:ascii="Arial" w:hAnsi="Arial" w:cs="Arial"/>
          <w:color w:val="000000"/>
          <w:sz w:val="23"/>
          <w:szCs w:val="23"/>
        </w:rPr>
      </w:pPr>
    </w:p>
    <w:p w14:paraId="4FE97EFA"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Abbas</w:t>
      </w:r>
    </w:p>
    <w:p w14:paraId="4BB9160F"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Barba</w:t>
      </w:r>
    </w:p>
    <w:p w14:paraId="1690241B"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Currus</w:t>
      </w:r>
    </w:p>
    <w:p w14:paraId="32C5CD71"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Fama</w:t>
      </w:r>
    </w:p>
    <w:p w14:paraId="69673347"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Leo</w:t>
      </w:r>
    </w:p>
    <w:p w14:paraId="372712B8"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Pomum</w:t>
      </w:r>
    </w:p>
    <w:p w14:paraId="7105F435"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Quibus</w:t>
      </w:r>
    </w:p>
    <w:p w14:paraId="0C768D84"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Salvus</w:t>
      </w:r>
    </w:p>
    <w:p w14:paraId="3B1FC8F6"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Victoria</w:t>
      </w:r>
    </w:p>
    <w:p w14:paraId="4D6D4E32" w14:textId="77777777" w:rsidR="00C77BDC" w:rsidRPr="003D66CD" w:rsidRDefault="00C77BDC" w:rsidP="00C77BDC">
      <w:pPr>
        <w:jc w:val="both"/>
        <w:rPr>
          <w:rFonts w:ascii="Arial" w:hAnsi="Arial" w:cs="Arial"/>
        </w:rPr>
      </w:pPr>
    </w:p>
    <w:p w14:paraId="755DC348" w14:textId="77777777" w:rsidR="00C77BDC" w:rsidRPr="003D66CD" w:rsidRDefault="00C77BDC" w:rsidP="00C77BDC">
      <w:pPr>
        <w:jc w:val="both"/>
        <w:rPr>
          <w:rFonts w:ascii="Arial" w:hAnsi="Arial" w:cs="Arial"/>
        </w:rPr>
      </w:pPr>
    </w:p>
    <w:p w14:paraId="39AF3F17" w14:textId="77777777" w:rsidR="00E94C0C" w:rsidRDefault="001A1E84"/>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14097D"/>
    <w:rsid w:val="001A1E84"/>
    <w:rsid w:val="00C65B75"/>
    <w:rsid w:val="00C77BDC"/>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6.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3/Lab%203%20-%20Starting.zip" TargetMode="External"/><Relationship Id="rId11" Type="http://schemas.openxmlformats.org/officeDocument/2006/relationships/image" Target="media/image3.png"/><Relationship Id="rId24" Type="http://schemas.openxmlformats.org/officeDocument/2006/relationships/control" Target="activeX/activeX9.xml"/><Relationship Id="rId32" Type="http://schemas.openxmlformats.org/officeDocument/2006/relationships/image" Target="media/image10.png"/><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8.xml"/><Relationship Id="rId5" Type="http://schemas.openxmlformats.org/officeDocument/2006/relationships/hyperlink" Target="https://github.com/MicrosoftLearning/Analyzing-Visualizing-Data-PowerBI/raw/master/Lab3/Lab%203%20-%20Starting.zip" TargetMode="External"/><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5.xml"/><Relationship Id="rId31" Type="http://schemas.openxmlformats.org/officeDocument/2006/relationships/control" Target="activeX/activeX16.xml"/><Relationship Id="rId44"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image" Target="media/image11.png"/><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ontrol" Target="activeX/activeX10.xml"/><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Anastasiia Kudriashova1</cp:lastModifiedBy>
  <cp:revision>3</cp:revision>
  <dcterms:created xsi:type="dcterms:W3CDTF">2019-03-28T08:20:00Z</dcterms:created>
  <dcterms:modified xsi:type="dcterms:W3CDTF">2020-04-11T14:58:00Z</dcterms:modified>
</cp:coreProperties>
</file>