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HANDOFF SPECIFICATION: CarUp (Pvt) Ltd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AI Agent Core Blueprint (System Version: 3.1.0-Omni-Stakeholder-Expanded)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Target Platform:</w:t>
      </w:r>
      <w:r w:rsidDel="00000000" w:rsidR="00000000" w:rsidRPr="00000000">
        <w:rPr>
          <w:rFonts w:ascii="Google Sans" w:cs="Google Sans" w:eastAsia="Google Sans" w:hAnsi="Google Sans"/>
          <w:color w:val="1f1f1f"/>
          <w:rtl w:val="0"/>
        </w:rPr>
        <w:t xml:space="preserve"> Antigravity IDE Autonomous Developers / Google Agent Ecosystem / React Native / Next.js / Supabase Edge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Authorized By:</w:t>
      </w:r>
      <w:r w:rsidDel="00000000" w:rsidR="00000000" w:rsidRPr="00000000">
        <w:rPr>
          <w:rFonts w:ascii="Google Sans" w:cs="Google Sans" w:eastAsia="Google Sans" w:hAnsi="Google Sans"/>
          <w:color w:val="1f1f1f"/>
          <w:rtl w:val="0"/>
        </w:rPr>
        <w:t xml:space="preserve"> Shadreck Kudzanai Musarurwa (Project Sponsor &amp; Chief Architect)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 Purpose:</w:t>
      </w:r>
      <w:r w:rsidDel="00000000" w:rsidR="00000000" w:rsidRPr="00000000">
        <w:rPr>
          <w:rFonts w:ascii="Google Sans" w:cs="Google Sans" w:eastAsia="Google Sans" w:hAnsi="Google Sans"/>
          <w:color w:val="1f1f1f"/>
          <w:rtl w:val="0"/>
        </w:rPr>
        <w:t xml:space="preserve"> This specification serves as the deterministic execution mandate for autonomous AI developers. It provides absolute clarity on system architecture, database schema constraints, multi-tenant interactions, and the overarching socio-economic business logic required to build the CarUp platform without hallucination or architectural drift.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Project Vision &amp; The Neural Ecosystem Objective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CarUp</w:t>
      </w:r>
      <w:r w:rsidDel="00000000" w:rsidR="00000000" w:rsidRPr="00000000">
        <w:rPr>
          <w:rFonts w:ascii="Google Sans" w:cs="Google Sans" w:eastAsia="Google Sans" w:hAnsi="Google Sans"/>
          <w:color w:val="1f1f1f"/>
          <w:rtl w:val="0"/>
        </w:rPr>
        <w:t xml:space="preserve"> is Zimbabwe's first AI-orchestrated, multi-tenant vehicle history registry and trust-certified marketplace. It is designed to single-handedly eradicate the massive trust deficit currently paralyzing the Southern African pre-owned automotive sector.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Socio-Economic Problem Space:</w:t>
      </w:r>
      <w:r w:rsidDel="00000000" w:rsidR="00000000" w:rsidRPr="00000000">
        <w:rPr>
          <w:rFonts w:ascii="Google Sans" w:cs="Google Sans" w:eastAsia="Google Sans" w:hAnsi="Google Sans"/>
          <w:color w:val="1f1f1f"/>
          <w:rtl w:val="0"/>
        </w:rPr>
        <w:t xml:space="preserve"> The regional automotive market is plagued by severe informational asymmetries. Smuggled vehicles frequently bypass customs, entering the market with forged ZIMRA (Zimbabwe Revenue Authority) clearance papers. "Grey imports" from Japan and the UK routinely suffer extreme odometer rollbacks before hitting the local dealership lots. Furthermore, sophisticated syndicates target high-value vehicles, dismantling them within hours in illicit chop-shops (e.g., in Mbare or Gazaland) to liquidate them as untraceable spare parts. Consequently, honest buyers, diaspora sponsors, and financial institutions are forced to operate in a high-risk, low-trust environment.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Architectural Paradigm Shift:</w:t>
      </w:r>
      <w:r w:rsidDel="00000000" w:rsidR="00000000" w:rsidRPr="00000000">
        <w:rPr>
          <w:rFonts w:ascii="Google Sans" w:cs="Google Sans" w:eastAsia="Google Sans" w:hAnsi="Google Sans"/>
          <w:color w:val="1f1f1f"/>
          <w:rtl w:val="0"/>
        </w:rPr>
        <w:t xml:space="preserve"> CarUp is deliberately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engineered as a one-sided consumer classifieds app. It is constructed as a </w:t>
      </w:r>
      <w:r w:rsidDel="00000000" w:rsidR="00000000" w:rsidRPr="00000000">
        <w:rPr>
          <w:rFonts w:ascii="Google Sans" w:cs="Google Sans" w:eastAsia="Google Sans" w:hAnsi="Google Sans"/>
          <w:b w:val="1"/>
          <w:bCs w:val="1"/>
          <w:color w:val="1f1f1f"/>
          <w:rtl w:val="0"/>
        </w:rPr>
        <w:t xml:space="preserve">Centralized Neural Network</w:t>
      </w:r>
      <w:r w:rsidDel="00000000" w:rsidR="00000000" w:rsidRPr="00000000">
        <w:rPr>
          <w:rFonts w:ascii="Google Sans" w:cs="Google Sans" w:eastAsia="Google Sans" w:hAnsi="Google Sans"/>
          <w:color w:val="1f1f1f"/>
          <w:rtl w:val="0"/>
        </w:rPr>
        <w:t xml:space="preserve"> for the entire automotive sector. The system architecture must support distinct, cryptographically secure, and AI-assisted environments for Individual Consumers, Professional Dealerships, Automotive Workshops, Financial Institutions (Banks/Insurers), and Government Bodies (ZIMRA/CVR/Police). Every action taken by one stakeholder (e.g., a mechanic replacing an engine) instantly ripples through the network to update risk profiles for insurers and value metrics for buyers.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Pervasive AI (The Gutu Matrix):</w:t>
      </w:r>
      <w:r w:rsidDel="00000000" w:rsidR="00000000" w:rsidRPr="00000000">
        <w:rPr>
          <w:rFonts w:ascii="Google Sans" w:cs="Google Sans" w:eastAsia="Google Sans" w:hAnsi="Google Sans"/>
          <w:color w:val="1f1f1f"/>
          <w:rtl w:val="0"/>
        </w:rPr>
        <w:t xml:space="preserve"> Artificial Intelligence in CarUp is not relegated to a generic, single-purpose chatbot. The "Gutu" AI model acts as a highly specialized, context-aware departmental agent distributed across the entire platform. Gutu adapts its persona, memory context, and operational capabilities based strictly on the authenticated stakeholder utilizing the system. Gutu transitions seamlessly from a patient consumer guide to a ruthless fraud-detection auditor for government agencies.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Directory Structure &amp; Omni-Channel Workspace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agent developers must initialize the monorepo repository matching this strict multi-tenant modular file structure. This ensures microservice-like isolation while sharing core database typings and UI design systems.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carup-workspace/</w:t>
        <w:br w:type="textWrapping"/>
        <w:t xml:space="preserve">├── supabase/</w:t>
        <w:br w:type="textWrapping"/>
        <w:t xml:space="preserve">│   ├── config.toml                            # Supabase local development configurations</w:t>
        <w:br w:type="textWrapping"/>
        <w:t xml:space="preserve">│   ├── migrations/</w:t>
        <w:br w:type="textWrapping"/>
        <w:t xml:space="preserve">│   │   ├── 20260521000000_rbac_tenant_schema.sql  # Multi-Tenant &amp; RBAC (Organizations, Profiles)</w:t>
        <w:br w:type="textWrapping"/>
        <w:t xml:space="preserve">│   │   ├── 20260521000001_core_ledger_schema.sql  # Vehicle Registry &amp; Immutable Documents DDL</w:t>
        <w:br w:type="textWrapping"/>
        <w:t xml:space="preserve">│   │   └── 20260521000002_fintech_escrow.sql      # SafePay, Parts DNA BOM, &amp; Tax Ledgers</w:t>
        <w:br w:type="textWrapping"/>
        <w:t xml:space="preserve">│   └── functions/</w:t>
        <w:br w:type="textWrapping"/>
        <w:t xml:space="preserve">│       ├── gutu-omni-router/                      # Edge Function: Routes Gemini AI logic based on Tenant Role</w:t>
        <w:br w:type="textWrapping"/>
        <w:t xml:space="preserve">│       ├── gutu-vision-ocr/                       # Edge Function: Dedicated ingestion for paper documents</w:t>
        <w:br w:type="textWrapping"/>
        <w:t xml:space="preserve">│       └── safepay-tax-split/                     # Edge Function: Executes ZIMRA 5% withholding math</w:t>
        <w:br w:type="textWrapping"/>
        <w:t xml:space="preserve">├── web-admin-portals/                             # Next.js B2B/B2G Web Terminals (React Server Components)</w:t>
        <w:br w:type="textWrapping"/>
        <w:t xml:space="preserve">│   ├── src/</w:t>
        <w:br w:type="textWrapping"/>
        <w:t xml:space="preserve">│   │   ├── app/</w:t>
        <w:br w:type="textWrapping"/>
        <w:t xml:space="preserve">│   │   │   ├── (auth)/                            # Central secure login &amp; MFA portal</w:t>
        <w:br w:type="textWrapping"/>
        <w:t xml:space="preserve">│   │   │   ├── government/                        # ZIMRA &amp; Police Dashboard (Restricted IP access)</w:t>
        <w:br w:type="textWrapping"/>
        <w:t xml:space="preserve">│   │   │   ├── enterprise/                        # Banks &amp; Insurance Dashboard (Risk analytics)</w:t>
        <w:br w:type="textWrapping"/>
        <w:t xml:space="preserve">│   │   │   ├── garage/                            # Workshop CRM, Job Cards &amp; Parts Dashboard</w:t>
        <w:br w:type="textWrapping"/>
        <w:t xml:space="preserve">│   │   │   └── superadmin/                        # CarUp Internal Management &amp; Dispute Resolution</w:t>
        <w:br w:type="textWrapping"/>
        <w:t xml:space="preserve">│   │   └── components/</w:t>
        <w:br w:type="textWrapping"/>
        <w:t xml:space="preserve">│   │       ├── gutu-departmental-agents/          # Context-aware AI sidebars and chat overlays</w:t>
        <w:br w:type="textWrapping"/>
        <w:t xml:space="preserve">│   │       └── data-visualizations/               # Heatmaps, financial charts, and timeline renderers</w:t>
        <w:br w:type="textWrapping"/>
        <w:t xml:space="preserve">│   └── package.json</w:t>
        <w:br w:type="textWrapping"/>
        <w:t xml:space="preserve">├── mobile-app/                                    # React Native (Expo) B2C Application</w:t>
        <w:br w:type="textWrapping"/>
        <w:t xml:space="preserve">│   ├── src/</w:t>
        <w:br w:type="textWrapping"/>
        <w:t xml:space="preserve">│   │   ├── navigation/                            # Bottom Tab router (Hub, Verify, Shop, Garage, SafePay)</w:t>
        <w:br w:type="textWrapping"/>
        <w:t xml:space="preserve">│   │   ├── components/                            # Reusable mobile UI (Bouncy buttons, radial gauges)</w:t>
        <w:br w:type="textWrapping"/>
        <w:t xml:space="preserve">│   │   ├── screens/                               # Core consumer views</w:t>
        <w:br w:type="textWrapping"/>
        <w:t xml:space="preserve">│   │   └── services/                              # API bindings, local caching, and offline sync handlers</w:t>
        <w:br w:type="textWrapping"/>
        <w:t xml:space="preserve">│   └── package.json</w:t>
        <w:br w:type="textWrapping"/>
        <w:t xml:space="preserve">└── api-gateway/                                   # Institutional REST/GraphQL API layer for Enterprise ingest</w:t>
        <w:br w:type="textWrapping"/>
        <w:t xml:space="preserve">    ├── src/</w:t>
        <w:br w:type="textWrapping"/>
        <w:t xml:space="preserve">    │   ├── routes/</w:t>
        <w:br w:type="textWrapping"/>
        <w:t xml:space="preserve">    │   ├── middleware/                            # Rate-limiting, API key validation, and telemetry</w:t>
        <w:br w:type="textWrapping"/>
        <w:t xml:space="preserve">    │   └── controllers/</w:t>
        <w:br w:type="textWrapping"/>
        <w:t xml:space="preserve">    └── package.json</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Multi-Tenant RBAC &amp; Neural AI Matrix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true benchmark platform, developers must implement strict </w:t>
      </w:r>
      <w:r w:rsidDel="00000000" w:rsidR="00000000" w:rsidRPr="00000000">
        <w:rPr>
          <w:rFonts w:ascii="Google Sans" w:cs="Google Sans" w:eastAsia="Google Sans" w:hAnsi="Google Sans"/>
          <w:b w:val="1"/>
          <w:bCs w:val="1"/>
          <w:color w:val="1f1f1f"/>
          <w:rtl w:val="0"/>
        </w:rPr>
        <w:t xml:space="preserve">Row Level Security (RLS)</w:t>
      </w:r>
      <w:r w:rsidDel="00000000" w:rsidR="00000000" w:rsidRPr="00000000">
        <w:rPr>
          <w:rFonts w:ascii="Google Sans" w:cs="Google Sans" w:eastAsia="Google Sans" w:hAnsi="Google Sans"/>
          <w:color w:val="1f1f1f"/>
          <w:rtl w:val="0"/>
        </w:rPr>
        <w:t xml:space="preserve"> within the Supabase PostgreSQL database. Data visibility is absolutely governed by the user's institutional role. Gutu’s AI capabilities scale up or down based on these cryptographic role assignments.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Stakeholder Taxonomy &amp; Pervasive AI Integration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Stakeholder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Portal Environment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AI Persona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Specialized Departmental Capabilities &amp; Agent Instructions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Individuals</w:t>
            </w:r>
            <w:r w:rsidDel="00000000" w:rsidR="00000000" w:rsidRPr="00000000">
              <w:rPr>
                <w:rFonts w:ascii="Google Sans" w:cs="Google Sans" w:eastAsia="Google Sans" w:hAnsi="Google Sans"/>
                <w:color w:val="1f1f1f"/>
                <w:shd w:fill="auto" w:val="clear"/>
                <w:rtl w:val="0"/>
              </w:rPr>
              <w:t xml:space="preserve"> (Buyers &amp; Private Sellers)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Native B2C Mobile 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Gutu-Retail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Handles WhatsApp conversational queries and natural language search. Executes basic OCR document scanning for "lazy" users, auto-filling registration forms. Guides users step-by-step through SafePay escrow funding and the physical component handshake.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Garages &amp; Auto Parts Shops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 Web Terminal: /garage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Gutu-Tech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Designed to read messy, handwritten, oil-stained mechanic job cards. Automatically extracts part serial numbers and pushes sync requests to the PartSentry blockchain ledger. Capable of predicting parts failure based on historical timeline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Insurers &amp; Commercial Banks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/enterprise &amp; REST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Gutu-Finance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Mass-audits vast vehicle portfolios to assign dynamic risk scores. Automates loan valuation approvals by calculating real-time depreciation against the market index. Flags specific insurance fraud indicators (e.g., suspicious rapid churn in ownership prior to an accident claim).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Govt. (ZIMRA, CVR, Police)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/government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Gutu-Gov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Operates in a highly restricted, high-clearance mode. Ingests massive volumes of cross-border customs manifests. Handles global "Stolen Vehicle" lockdown alerts, cross-referencing VINs with INTERPOL databases. Audits total platform tax compliance for the Ministry of Finance.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Admins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/superadmin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Gutu-Core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central nervous system overseer. Monitors API endpoint health, flags systemic scraping abuses, reviews disputed escrow settlements, and handles OCR fallbacks when document legibility drops below the 85% confidence threshold.</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Database Architecture (Supabase / PostgreSQL DDL)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Agent Directive: The database is the bedrock of the trust ecosystem. The foundation must begin with Organizations and Profiles before creating Vehicle Ledgers to guarantee a strict chain of custody. Execute these migrations sequentially.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Multi-Tenant &amp; RBAC Foundation (Migration 00)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schema maps out the diverse entities interacting with the platform, ensuring that a dealership cannot view the internal mechanics of a government database, and vice versa.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migration: 20260521000000_rbac_tenant_schema.sql</w:t>
        <w:br w:type="textWrapping"/>
        <w:br w:type="textWrapping"/>
        <w:t xml:space="preserve">CREATE TYPE public.org_type AS ENUM ('DEALERSHIP', 'GARAGE', 'INSURANCE', 'BANK', 'GOVERNMENT', 'SYSTEM_ADMIN');</w:t>
        <w:br w:type="textWrapping"/>
        <w:t xml:space="preserve">CREATE TYPE public.user_role AS ENUM ('CONSUMER', 'ORG_ADMIN', 'ORG_STAFF', 'FIELD_AGENT');</w:t>
        <w:br w:type="textWrapping"/>
        <w:br w:type="textWrapping"/>
        <w:t xml:space="preserve">-- Institutional Accounts (The Tenants: The businesses and government bodies)</w:t>
        <w:br w:type="textWrapping"/>
        <w:t xml:space="preserve">CREATE TABLE public.organizations (</w:t>
        <w:br w:type="textWrapping"/>
        <w:t xml:space="preserve">    id UUID PRIMARY KEY DEFAULT gen_random_uuid(),</w:t>
        <w:br w:type="textWrapping"/>
        <w:t xml:space="preserve">    name VARCHAR(100) UNIQUE NOT NULL, -- e.g., 'Old Mutual Insurance', 'ZIMRA Beitbridge', 'Croco Motors'</w:t>
        <w:br w:type="textWrapping"/>
        <w:t xml:space="preserve">    org_type public.org_type NOT NULL,</w:t>
        <w:br w:type="textWrapping"/>
        <w:t xml:space="preserve">    tax_clearance_number VARCHAR(50),  -- Used to verify legitimate businesses</w:t>
        <w:br w:type="textWrapping"/>
        <w:t xml:space="preserve">    is_verified BOOLEAN DEFAULT FALSE, -- Must be manually verified by Gutu-Core</w:t>
        <w:br w:type="textWrapping"/>
        <w:t xml:space="preserve">    created_at TIMESTAMP WITH TIME ZONE DEFAULT TIMEZONE('utc', NOW())</w:t>
        <w:br w:type="textWrapping"/>
        <w:t xml:space="preserve">);</w:t>
        <w:br w:type="textWrapping"/>
        <w:br w:type="textWrapping"/>
        <w:t xml:space="preserve">-- User Accounts mapped to Tenants (The actual humans operating the system)</w:t>
        <w:br w:type="textWrapping"/>
        <w:t xml:space="preserve">CREATE TABLE public.profiles (</w:t>
        <w:br w:type="textWrapping"/>
        <w:t xml:space="preserve">    id UUID PRIMARY KEY REFERENCES auth.users(id) ON DELETE CASCADE,</w:t>
        <w:br w:type="textWrapping"/>
        <w:t xml:space="preserve">    organization_id UUID REFERENCES public.organizations(id), -- NULL if individual B2C consumer</w:t>
        <w:br w:type="textWrapping"/>
        <w:t xml:space="preserve">    full_name VARCHAR(100) NOT NULL,</w:t>
        <w:br w:type="textWrapping"/>
        <w:t xml:space="preserve">    role public.user_role DEFAULT 'CONSUMER' NOT NULL,</w:t>
        <w:br w:type="textWrapping"/>
        <w:t xml:space="preserve">    phone_number VARCHAR(20) UNIQUE NOT NULL,</w:t>
        <w:br w:type="textWrapping"/>
        <w:t xml:space="preserve">    is_active BOOLEAN DEFAULT TRUE,</w:t>
        <w:br w:type="textWrapping"/>
        <w:t xml:space="preserve">    created_at TIMESTAMP WITH TIME ZONE DEFAULT TIMEZONE('utc', NOW())</w:t>
        <w:br w:type="textWrapping"/>
        <w:t xml:space="preserve">);</w:t>
        <w:br w:type="textWrapping"/>
        <w:br w:type="textWrapping"/>
        <w:t xml:space="preserve">-- Enterprise API Keys for Banks/Insurers to query the neural net directly via the API Gateway</w:t>
        <w:br w:type="textWrapping"/>
        <w:t xml:space="preserve">CREATE TABLE public.institutional_api_keys (</w:t>
        <w:br w:type="textWrapping"/>
        <w:t xml:space="preserve">    id UUID PRIMARY KEY DEFAULT gen_random_uuid(),</w:t>
        <w:br w:type="textWrapping"/>
        <w:t xml:space="preserve">    organization_id UUID REFERENCES public.organizations(id) ON DELETE CASCADE,</w:t>
        <w:br w:type="textWrapping"/>
        <w:t xml:space="preserve">    api_key_hash VARCHAR(64) UNIQUE NOT NULL, -- Never store raw API keys</w:t>
        <w:br w:type="textWrapping"/>
        <w:t xml:space="preserve">    scopes JSONB NOT NULL, -- Granular permissions e.g., ["read:vehicle_trust_score", "write:insurance_note"]</w:t>
        <w:br w:type="textWrapping"/>
        <w:t xml:space="preserve">    expires_at TIMESTAMP WITH TIME ZONE,</w:t>
        <w:br w:type="textWrapping"/>
        <w:t xml:space="preserve">    created_at TIMESTAMP WITH TIME ZONE DEFAULT TIMEZONE('utc', NOW())</w:t>
        <w:br w:type="textWrapping"/>
        <w:t xml:space="preserve">);</w:t>
        <w:br w:type="textWrapping"/>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Core Vehicle &amp; Immutable Document Ledger (Migration 01)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Agent Directive: Vehicles and history logs must record EXACTLY WHICH institution and user recorded the data. This provides non-repudiation and a verifiable chain of custody.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migration: 20260521000001_core_ledger_schema.sql</w:t>
        <w:br w:type="textWrapping"/>
        <w:br w:type="textWrapping"/>
        <w:t xml:space="preserve">CREATE TYPE public.zim_document_type AS ENUM ('ZIMRA_CCC_FORM21', 'CVR_BLUE_BOOK', 'CID_POLICE_CLEAR', 'VID_CERTIFICATE', 'ZINARA_LICENSE', 'INSURANCE_NOTE', 'GARAGE_INVOICE');</w:t>
        <w:br w:type="textWrapping"/>
        <w:br w:type="textWrapping"/>
        <w:t xml:space="preserve">-- The Central Asset Registry</w:t>
        <w:br w:type="textWrapping"/>
        <w:t xml:space="preserve">CREATE TABLE public.vehicles (</w:t>
        <w:br w:type="textWrapping"/>
        <w:t xml:space="preserve">    id UUID PRIMARY KEY DEFAULT gen_random_uuid(),</w:t>
        <w:br w:type="textWrapping"/>
        <w:t xml:space="preserve">    plate_number VARCHAR(15) UNIQUE NOT NULL,</w:t>
        <w:br w:type="textWrapping"/>
        <w:t xml:space="preserve">    vin VARCHAR(17) UNIQUE NOT NULL,</w:t>
        <w:br w:type="textWrapping"/>
        <w:t xml:space="preserve">    make VARCHAR(50) NOT NULL,</w:t>
        <w:br w:type="textWrapping"/>
        <w:t xml:space="preserve">    model VARCHAR(50) NOT NULL,</w:t>
        <w:br w:type="textWrapping"/>
        <w:t xml:space="preserve">    manufacture_year INT NOT NULL,</w:t>
        <w:br w:type="textWrapping"/>
        <w:t xml:space="preserve">    current_health_score INT DEFAULT 50 CHECK (current_health_score BETWEEN 0 AND 100),</w:t>
        <w:br w:type="textWrapping"/>
        <w:t xml:space="preserve">    is_stolen BOOLEAN DEFAULT FALSE NOT NULL,</w:t>
        <w:br w:type="textWrapping"/>
        <w:t xml:space="preserve">    owner_profile_id UUID REFERENCES public.profiles(id), -- Tracks the current verified legal owner</w:t>
        <w:br w:type="textWrapping"/>
        <w:t xml:space="preserve">    created_at TIMESTAMP WITH TIME ZONE DEFAULT TIMEZONE('utc', NOW())</w:t>
        <w:br w:type="textWrapping"/>
        <w:t xml:space="preserve">);</w:t>
        <w:br w:type="textWrapping"/>
        <w:br w:type="textWrapping"/>
        <w:t xml:space="preserve">-- Cryptographically Traceable Timeline (The Immutable Blockchain Equivalent)</w:t>
        <w:br w:type="textWrapping"/>
        <w:t xml:space="preserve">CREATE TABLE public.vehicle_history (</w:t>
        <w:br w:type="textWrapping"/>
        <w:t xml:space="preserve">    id UUID PRIMARY KEY DEFAULT gen_random_uuid(),</w:t>
        <w:br w:type="textWrapping"/>
        <w:t xml:space="preserve">    vehicle_id UUID REFERENCES public.vehicles(id) ON DELETE CASCADE,</w:t>
        <w:br w:type="textWrapping"/>
        <w:t xml:space="preserve">    logging_organization_id UUID REFERENCES public.organizations(id), -- WHICH tenant logged this?</w:t>
        <w:br w:type="textWrapping"/>
        <w:t xml:space="preserve">    logging_profile_id UUID REFERENCES public.profiles(id),           -- WHICH exact user logged this?</w:t>
        <w:br w:type="textWrapping"/>
        <w:t xml:space="preserve">    event_date DATE NOT NULL,</w:t>
        <w:br w:type="textWrapping"/>
        <w:t xml:space="preserve">    event_type VARCHAR(50) NOT NULL,</w:t>
        <w:br w:type="textWrapping"/>
        <w:t xml:space="preserve">    mileage_reading INT NOT NULL,</w:t>
        <w:br w:type="textWrapping"/>
        <w:t xml:space="preserve">    location_recorded VARCHAR(100) NOT NULL,</w:t>
        <w:br w:type="textWrapping"/>
        <w:t xml:space="preserve">    narrative TEXT NOT NULL,</w:t>
        <w:br w:type="textWrapping"/>
        <w:t xml:space="preserve">    trust_badge VARCHAR(50) NOT NULL,</w:t>
        <w:br w:type="textWrapping"/>
        <w:t xml:space="preserve">    verified_hash VARCHAR(64), -- SHA-256 state tracking signature linking to previous event</w:t>
        <w:br w:type="textWrapping"/>
        <w:t xml:space="preserve">    created_at TIMESTAMP WITH TIME ZONE DEFAULT TIMEZONE('utc', NOW())</w:t>
        <w:br w:type="textWrapping"/>
        <w:t xml:space="preserve">);</w:t>
        <w:br w:type="textWrapping"/>
        <w:br w:type="textWrapping"/>
        <w:t xml:space="preserve">-- Postgres Watchdog: Active Odometer Rollback Detection &amp; Penalty Engine</w:t>
        <w:br w:type="textWrapping"/>
        <w:t xml:space="preserve">CREATE OR REPLACE FUNCTION check_odometer_rollback()</w:t>
        <w:br w:type="textWrapping"/>
        <w:t xml:space="preserve">RETURNS TRIGGER AS $$</w:t>
        <w:br w:type="textWrapping"/>
        <w:t xml:space="preserve">DECLARE</w:t>
        <w:br w:type="textWrapping"/>
        <w:t xml:space="preserve">    max_mileage INT;</w:t>
        <w:br w:type="textWrapping"/>
        <w:t xml:space="preserve">BEGIN</w:t>
        <w:br w:type="textWrapping"/>
        <w:t xml:space="preserve">    -- Evaluate the historical peak mileage for this asset</w:t>
        <w:br w:type="textWrapping"/>
        <w:t xml:space="preserve">    SELECT COALESCE(MAX(mileage_reading), 0) INTO max_mileage FROM public.vehicle_history WHERE vehicle_id = NEW.vehicle_id;</w:t>
        <w:br w:type="textWrapping"/>
        <w:t xml:space="preserve">    </w:t>
        <w:br w:type="textWrapping"/>
        <w:t xml:space="preserve">    -- If the new record attempts to log a lower mileage, the system intervenes</w:t>
        <w:br w:type="textWrapping"/>
        <w:t xml:space="preserve">    IF NEW.mileage_reading &lt; max_mileage THEN</w:t>
        <w:br w:type="textWrapping"/>
        <w:t xml:space="preserve">        NEW.trust_badge := 'Warning: Mileage Gap';</w:t>
        <w:br w:type="textWrapping"/>
        <w:t xml:space="preserve">        NEW.narrative := NEW.narrative || ' [CRITICAL INTERVENTION BY GUTU: Suspected odometer rollback detected. Previous maximum verified mileage was ' || max_mileage || ' km. Proceed with extreme caution.]';</w:t>
        <w:br w:type="textWrapping"/>
        <w:t xml:space="preserve">        </w:t>
        <w:br w:type="textWrapping"/>
        <w:t xml:space="preserve">        -- Automatically degrade the vehicle's market trust score by 30 points</w:t>
        <w:br w:type="textWrapping"/>
        <w:t xml:space="preserve">        UPDATE public.vehicles SET current_health_score = GREATEST(0, current_health_score - 30) WHERE id = NEW.vehicle_id;</w:t>
        <w:br w:type="textWrapping"/>
        <w:t xml:space="preserve">    END IF;</w:t>
        <w:br w:type="textWrapping"/>
        <w:t xml:space="preserve">    RETURN NEW;</w:t>
        <w:br w:type="textWrapping"/>
        <w:t xml:space="preserve">END;</w:t>
        <w:br w:type="textWrapping"/>
        <w:t xml:space="preserve">$$ LANGUAGE plpgsql;</w:t>
        <w:br w:type="textWrapping"/>
        <w:br w:type="textWrapping"/>
        <w:t xml:space="preserve">CREATE TRIGGER trg_odometer_integrity BEFORE INSERT ON public.vehicle_history FOR EACH ROW EXECUTE FUNCTION check_odometer_rollback();</w:t>
        <w:br w:type="textWrapping"/>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Web Admin Portals: B2B / B2G UI Specifications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Agent Directive: Construct the web-admin-portals Next.js application utilizing React Server Components for maximum security and minimal client-side payload. These dashboards are the operational headquarters for our institutional partners.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Government Terminal (/government)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Users:</w:t>
      </w:r>
      <w:r w:rsidDel="00000000" w:rsidR="00000000" w:rsidRPr="00000000">
        <w:rPr>
          <w:rFonts w:ascii="Google Sans" w:cs="Google Sans" w:eastAsia="Google Sans" w:hAnsi="Google Sans"/>
          <w:color w:val="1f1f1f"/>
          <w:rtl w:val="0"/>
        </w:rPr>
        <w:t xml:space="preserve"> ZIMRA Customs Officers, CID Vehicle Theft Squad Detectives, CVR Data Clerks.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UI Features &amp; Workflows:</w:t>
      </w:r>
    </w:p>
    <w:p w:rsidR="00000000" w:rsidDel="00000000" w:rsidP="00000000" w:rsidRDefault="00000000" w:rsidRPr="00000000" w14:paraId="0000003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High-Volume Border Ingestion Terminal:</w:t>
      </w:r>
      <w:r w:rsidDel="00000000" w:rsidR="00000000" w:rsidRPr="00000000">
        <w:rPr>
          <w:rFonts w:ascii="Google Sans" w:cs="Google Sans" w:eastAsia="Google Sans" w:hAnsi="Google Sans"/>
          <w:color w:val="1f1f1f"/>
          <w:rtl w:val="0"/>
        </w:rPr>
        <w:t xml:space="preserve"> A distraction-free, high-speed data entry interface. Border agents input arriving VINs, VDP (Value for Duty Purposes), and Form 21 details. Gutu-Gov instantly scans the inputs for cloned VINs.</w:t>
      </w:r>
    </w:p>
    <w:p w:rsidR="00000000" w:rsidDel="00000000" w:rsidP="00000000" w:rsidRDefault="00000000" w:rsidRPr="00000000" w14:paraId="0000003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National "Stolen Vehicle" Kill-Switch:</w:t>
      </w:r>
      <w:r w:rsidDel="00000000" w:rsidR="00000000" w:rsidRPr="00000000">
        <w:rPr>
          <w:rFonts w:ascii="Google Sans" w:cs="Google Sans" w:eastAsia="Google Sans" w:hAnsi="Google Sans"/>
          <w:color w:val="1f1f1f"/>
          <w:rtl w:val="0"/>
        </w:rPr>
        <w:t xml:space="preserve"> A master interface reserved for top-tier CID officials. If a car is reported hijacked or stolen, entering the plate here instantly flags the is_stolen boolean across the entire CarUp neural network. This action automatically locks out any pending SafePay escrow transactions, notifies all registered garages via their CRMs to detain the vehicle if it arrives for parts stripping, and triggers an alert to the original owner.</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Tax Yield Dashboards:</w:t>
      </w:r>
      <w:r w:rsidDel="00000000" w:rsidR="00000000" w:rsidRPr="00000000">
        <w:rPr>
          <w:rFonts w:ascii="Google Sans" w:cs="Google Sans" w:eastAsia="Google Sans" w:hAnsi="Google Sans"/>
          <w:color w:val="1f1f1f"/>
          <w:rtl w:val="0"/>
        </w:rPr>
        <w:t xml:space="preserve"> Real-time financial visualizations showing cumulative 5% Capital Gains taxes collected via the CarUp SafePay system.</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Enterprise Terminal (/enterprise)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Users:</w:t>
      </w:r>
      <w:r w:rsidDel="00000000" w:rsidR="00000000" w:rsidRPr="00000000">
        <w:rPr>
          <w:rFonts w:ascii="Google Sans" w:cs="Google Sans" w:eastAsia="Google Sans" w:hAnsi="Google Sans"/>
          <w:color w:val="1f1f1f"/>
          <w:rtl w:val="0"/>
        </w:rPr>
        <w:t xml:space="preserve"> Bank Credit/Loan Officers, Insurance Actuaries and Underwriters.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UI Features &amp; Workflows:</w:t>
      </w:r>
    </w:p>
    <w:p w:rsidR="00000000" w:rsidDel="00000000" w:rsidP="00000000" w:rsidRDefault="00000000" w:rsidRPr="00000000" w14:paraId="0000003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Risk &amp; Valuation Analytics Matrix:</w:t>
      </w:r>
      <w:r w:rsidDel="00000000" w:rsidR="00000000" w:rsidRPr="00000000">
        <w:rPr>
          <w:rFonts w:ascii="Google Sans" w:cs="Google Sans" w:eastAsia="Google Sans" w:hAnsi="Google Sans"/>
          <w:color w:val="1f1f1f"/>
          <w:rtl w:val="0"/>
        </w:rPr>
        <w:t xml:space="preserve"> Officers input a client's plate number and instantly receive a comprehensive dossier containing: The dynamic Gutu Trust Score, the un-redacted odometer timeline, the cryptographic PartSentry BOM (Bill of Materials), and any outstanding ZINARA debts.</w:t>
      </w:r>
    </w:p>
    <w:p w:rsidR="00000000" w:rsidDel="00000000" w:rsidP="00000000" w:rsidRDefault="00000000" w:rsidRPr="00000000" w14:paraId="0000003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Loan-to-Value (LTV) Calculator:</w:t>
      </w:r>
      <w:r w:rsidDel="00000000" w:rsidR="00000000" w:rsidRPr="00000000">
        <w:rPr>
          <w:rFonts w:ascii="Google Sans" w:cs="Google Sans" w:eastAsia="Google Sans" w:hAnsi="Google Sans"/>
          <w:color w:val="1f1f1f"/>
          <w:rtl w:val="0"/>
        </w:rPr>
        <w:t xml:space="preserve"> Integrated tools that project vehicle depreciation based on historical local market data, allowing banks to issue instantaneous, data-backed vehicle financing.</w:t>
      </w:r>
    </w:p>
    <w:p w:rsidR="00000000" w:rsidDel="00000000" w:rsidP="00000000" w:rsidRDefault="00000000" w:rsidRPr="00000000" w14:paraId="0000003D">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API Key Lifecycle Manager:</w:t>
      </w:r>
      <w:r w:rsidDel="00000000" w:rsidR="00000000" w:rsidRPr="00000000">
        <w:rPr>
          <w:rFonts w:ascii="Google Sans" w:cs="Google Sans" w:eastAsia="Google Sans" w:hAnsi="Google Sans"/>
          <w:color w:val="1f1f1f"/>
          <w:rtl w:val="0"/>
        </w:rPr>
        <w:t xml:space="preserve"> A secure dashboard to generate, monitor, and rotate institutional_api_keys, enabling enterprise IT teams to integrate CarUp data directly into their proprietary underwriting mainframes.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Garage &amp; Parts Portal (/garage)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Users:</w:t>
      </w:r>
      <w:r w:rsidDel="00000000" w:rsidR="00000000" w:rsidRPr="00000000">
        <w:rPr>
          <w:rFonts w:ascii="Google Sans" w:cs="Google Sans" w:eastAsia="Google Sans" w:hAnsi="Google Sans"/>
          <w:color w:val="1f1f1f"/>
          <w:rtl w:val="0"/>
        </w:rPr>
        <w:t xml:space="preserve"> Independent Mechanics, Dealership Service Managers, Salvage Yard Operators, Spare Parts Wholesalers.</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UI Features &amp; Workflows:</w:t>
      </w:r>
    </w:p>
    <w:p w:rsidR="00000000" w:rsidDel="00000000" w:rsidP="00000000" w:rsidRDefault="00000000" w:rsidRPr="00000000" w14:paraId="0000004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Digital Job Card Creator:</w:t>
      </w:r>
      <w:r w:rsidDel="00000000" w:rsidR="00000000" w:rsidRPr="00000000">
        <w:rPr>
          <w:rFonts w:ascii="Google Sans" w:cs="Google Sans" w:eastAsia="Google Sans" w:hAnsi="Google Sans"/>
          <w:color w:val="1f1f1f"/>
          <w:rtl w:val="0"/>
        </w:rPr>
        <w:t xml:space="preserve"> A streamlined CRM where mechanics log client repairs, generating professional, digital service records in lieu of easily lost paper receipts.</w:t>
      </w:r>
    </w:p>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PartSentry Ledger Sync (The Handshake):</w:t>
      </w:r>
      <w:r w:rsidDel="00000000" w:rsidR="00000000" w:rsidRPr="00000000">
        <w:rPr>
          <w:rFonts w:ascii="Google Sans" w:cs="Google Sans" w:eastAsia="Google Sans" w:hAnsi="Google Sans"/>
          <w:color w:val="1f1f1f"/>
          <w:rtl w:val="0"/>
        </w:rPr>
        <w:t xml:space="preserve"> A specific UI workflow used to log new Part Serial Numbers (e.g., swapping a damaged ECU). Logging the part triggers a push notification to the consumer's mobile app. Once the consumer approves the handshake, the part serial is cryptographically sealed into the vehicle's timeline.</w:t>
      </w:r>
    </w:p>
    <w:p w:rsidR="00000000" w:rsidDel="00000000" w:rsidP="00000000" w:rsidRDefault="00000000" w:rsidRPr="00000000" w14:paraId="00000043">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CarUp Credit Wallet:</w:t>
      </w:r>
      <w:r w:rsidDel="00000000" w:rsidR="00000000" w:rsidRPr="00000000">
        <w:rPr>
          <w:rFonts w:ascii="Google Sans" w:cs="Google Sans" w:eastAsia="Google Sans" w:hAnsi="Google Sans"/>
          <w:color w:val="1f1f1f"/>
          <w:rtl w:val="0"/>
        </w:rPr>
        <w:t xml:space="preserve"> A gamified dashboard displaying platform credits earned by the workshop for consistently logging verified maintenance data, which can be redeemed for premium listing placements or reduced subscription fees.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B2C Engine: The CarUp Mobile Marketplace &amp; Consumer App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Agent Directive: The React Native Mobile App is the front-line consumer interface. The Marketplace is the gravity well of the ecosystem. All B2B actions (repairs, tax filings, custom clearances) exist specifically to feed trust data to this B2C marketplace, creating a flywheel of verified inventory.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"Trust-First" Classifieds Feed (AutoTrader x CARFAX x Cars.com Synthesis)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standard, passive classifieds platforms (which are rampant with fraud), CarUp is engineered as an intelligent, trust-verified matrix.</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Trust Badges:</w:t>
      </w:r>
      <w:r w:rsidDel="00000000" w:rsidR="00000000" w:rsidRPr="00000000">
        <w:rPr>
          <w:rFonts w:ascii="Google Sans" w:cs="Google Sans" w:eastAsia="Google Sans" w:hAnsi="Google Sans"/>
          <w:color w:val="1f1f1f"/>
          <w:rtl w:val="0"/>
        </w:rPr>
        <w:t xml:space="preserve"> Every single listing card rendered in the UI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prominently feature the Gutu Trust Index percentage overlaying the vehicle image.</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Odometer Guard Overlay:</w:t>
      </w:r>
      <w:r w:rsidDel="00000000" w:rsidR="00000000" w:rsidRPr="00000000">
        <w:rPr>
          <w:rFonts w:ascii="Google Sans" w:cs="Google Sans" w:eastAsia="Google Sans" w:hAnsi="Google Sans"/>
          <w:color w:val="1f1f1f"/>
          <w:rtl w:val="0"/>
        </w:rPr>
        <w:t xml:space="preserve"> If the PostgreSQL check_odometer_rollback trigger has fired, the marketplace listing forces a permanent, un-removable red caution banner across the vehicle image: </w:t>
      </w:r>
      <w:r w:rsidDel="00000000" w:rsidR="00000000" w:rsidRPr="00000000">
        <w:rPr>
          <w:rFonts w:ascii="Google Sans" w:cs="Google Sans" w:eastAsia="Google Sans" w:hAnsi="Google Sans"/>
          <w:b w:val="1"/>
          <w:bCs w:val="1"/>
          <w:color w:val="1f1f1f"/>
          <w:rtl w:val="0"/>
        </w:rPr>
        <w:t xml:space="preserve">"⚠️ Odometer Alteration Detected."</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Instant Digital Passport Access:</w:t>
      </w:r>
      <w:r w:rsidDel="00000000" w:rsidR="00000000" w:rsidRPr="00000000">
        <w:rPr>
          <w:rFonts w:ascii="Google Sans" w:cs="Google Sans" w:eastAsia="Google Sans" w:hAnsi="Google Sans"/>
          <w:color w:val="1f1f1f"/>
          <w:rtl w:val="0"/>
        </w:rPr>
        <w:t xml:space="preserve"> The listing detail page contains a prominent "View State Documents" modal. Clicking this reveals the verified customs receipts, CVR blue book status, and VID certificates, establishing immediate buyer confidence.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Financial &amp; Value Intelligence Routing</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Value Evaluation Engine:</w:t>
      </w:r>
      <w:r w:rsidDel="00000000" w:rsidR="00000000" w:rsidRPr="00000000">
        <w:rPr>
          <w:rFonts w:ascii="Google Sans" w:cs="Google Sans" w:eastAsia="Google Sans" w:hAnsi="Google Sans"/>
          <w:color w:val="1f1f1f"/>
          <w:rtl w:val="0"/>
        </w:rPr>
        <w:t xml:space="preserve"> Implement a front-end algorithm that compares the seller's asking price against the historical average transaction price for that specific make, model, and year within the local city (e.g., Harare averages vs. Mutare averages).</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Price Tagging:</w:t>
      </w:r>
      <w:r w:rsidDel="00000000" w:rsidR="00000000" w:rsidRPr="00000000">
        <w:rPr>
          <w:rFonts w:ascii="Google Sans" w:cs="Google Sans" w:eastAsia="Google Sans" w:hAnsi="Google Sans"/>
          <w:color w:val="1f1f1f"/>
          <w:rtl w:val="0"/>
        </w:rPr>
        <w:t xml:space="preserve"> Automatically tag listings with highly visible, color-coded badges based on the algorithmic assessment: Great Deal (Green: priced &gt;10% below market average + &gt;80% Trust Score), Fair Price (Gray), or Overpriced (Red).</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Diaspora Proxy Shopping Gateway:</w:t>
      </w:r>
      <w:r w:rsidDel="00000000" w:rsidR="00000000" w:rsidRPr="00000000">
        <w:rPr>
          <w:rFonts w:ascii="Google Sans" w:cs="Google Sans" w:eastAsia="Google Sans" w:hAnsi="Google Sans"/>
          <w:color w:val="1f1f1f"/>
          <w:rtl w:val="0"/>
        </w:rPr>
        <w:t xml:space="preserve"> A bespoke checkout flow for overseas buyers. Diaspora users can request an on-demand, certified CarUp field mechanic to perform a physical inspection before wiring funds. The SafePay Escrow secures their foreign currency until local family members sign off on the physical vehicle handover.</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Operational Deployment &amp; Zero-Trust Security Checklist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Agent Directive: Security is paramount. You are constructing a multi-tenant financial and governmental system. Assume a hostile threat environment at all times.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Security Protocols &amp; Data Privacy</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Row Level Security (RLS) Enforcement:</w:t>
      </w:r>
      <w:r w:rsidDel="00000000" w:rsidR="00000000" w:rsidRPr="00000000">
        <w:rPr>
          <w:rFonts w:ascii="Google Sans" w:cs="Google Sans" w:eastAsia="Google Sans" w:hAnsi="Google Sans"/>
          <w:color w:val="1f1f1f"/>
          <w:rtl w:val="0"/>
        </w:rPr>
        <w:t xml:space="preserve"> Ensure ironclad RLS policies on Supabase. Consumers can strictly only view and mutate vehicle_documents linked to their specific profile_id. Government and Enterprise roles bypass this for reading data, but all read-access events must be logged in a secure system_audit_trail table to prevent unauthorized surveillance.</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Rate Limiting &amp; Telemetry:</w:t>
      </w:r>
      <w:r w:rsidDel="00000000" w:rsidR="00000000" w:rsidRPr="00000000">
        <w:rPr>
          <w:rFonts w:ascii="Google Sans" w:cs="Google Sans" w:eastAsia="Google Sans" w:hAnsi="Google Sans"/>
          <w:color w:val="1f1f1f"/>
          <w:rtl w:val="0"/>
        </w:rPr>
        <w:t xml:space="preserve"> Deploy strict rate limiters on the api-gateway to prevent malicious actors from scraping the vehicle database.</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Confidence Fallback Thresholds:</w:t>
      </w:r>
      <w:r w:rsidDel="00000000" w:rsidR="00000000" w:rsidRPr="00000000">
        <w:rPr>
          <w:rFonts w:ascii="Google Sans" w:cs="Google Sans" w:eastAsia="Google Sans" w:hAnsi="Google Sans"/>
          <w:color w:val="1f1f1f"/>
          <w:rtl w:val="0"/>
        </w:rPr>
        <w:t xml:space="preserve"> The Gutu-vision-ocr Edge Function must utilize predictive confidence scoring. If the OCR engine reads a faded, crumpled ZIMRA document and the confidence score drops below 85%, the system must halt automated entry and route the document image to the /superadmin dashboard for manual human-in-the-loop verification.</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Protection Compliance:</w:t>
      </w:r>
      <w:r w:rsidDel="00000000" w:rsidR="00000000" w:rsidRPr="00000000">
        <w:rPr>
          <w:rFonts w:ascii="Google Sans" w:cs="Google Sans" w:eastAsia="Google Sans" w:hAnsi="Google Sans"/>
          <w:color w:val="1f1f1f"/>
          <w:rtl w:val="0"/>
        </w:rPr>
        <w:t xml:space="preserve"> Ensure all personal identifier data (Names, Phone Numbers) are obfuscated or masked when displaying vehicle history to non-verified marketplace browsers, complying with regional data privacy acts.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Environment Variable Configuration Matrix</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.env Configuration Parameters</w:t>
        <w:br w:type="textWrapping"/>
        <w:t xml:space="preserve">SUPABASE_URL="https://YOUR_SUPABASE_ID.supabase.co"</w:t>
        <w:br w:type="textWrapping"/>
        <w:t xml:space="preserve">SUPABASE_ANON_KEY="YOUR_SUPABASE_ANON_PUBLIC_KEY"</w:t>
        <w:br w:type="textWrapping"/>
        <w:t xml:space="preserve">SUPABASE_SERVICE_ROLE_KEY="YOUR_SERVICE_ROLE_KEY" # Critical: Required for Admin/Gov portal overrides and AI routing</w:t>
        <w:br w:type="textWrapping"/>
        <w:t xml:space="preserve">GEMINI_API_KEY="YOUR_GOOGLE_GEMINI_PRO_API_KEY"   # Required for Gutu OCR and NLP generation</w:t>
        <w:br w:type="textWrapping"/>
        <w:t xml:space="preserve">TWILIO_WHATSAPP_SID="YOUR_TWILIO_ACCOUNT_SID"     # B2C Bot Gateway</w:t>
        <w:br w:type="textWrapping"/>
        <w:t xml:space="preserve">TWILIO_WHATSAPP_TOKEN="YOUR_TWILIO_WHATSAPP_SENDER_TOKEN"</w:t>
        <w:br w:type="textWrapping"/>
        <w:t xml:space="preserve">ZIMRA_SECURE_SALT="CRYPTOGRAPHIC_LEDGER_HASH_SALT_32_CHAR" # Used for immutable blockchain-style hashing</w:t>
        <w:br w:type="textWrapping"/>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Deployment and Key-Rotation Logistics</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Automated Key Rotation:</w:t>
      </w:r>
      <w:r w:rsidDel="00000000" w:rsidR="00000000" w:rsidRPr="00000000">
        <w:rPr>
          <w:rFonts w:ascii="Google Sans" w:cs="Google Sans" w:eastAsia="Google Sans" w:hAnsi="Google Sans"/>
          <w:color w:val="1f1f1f"/>
          <w:rtl w:val="0"/>
        </w:rPr>
        <w:t xml:space="preserve"> Ensure that the institutional_api_keys and the ZIMRA_SECURE_SALT are securely rotated every 90 days. Maintain a secure keystore array of deprecated decryption salts to ensure legacy timeline records remain verifiable.</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Disaster Recovery (DR):</w:t>
      </w:r>
      <w:r w:rsidDel="00000000" w:rsidR="00000000" w:rsidRPr="00000000">
        <w:rPr>
          <w:rFonts w:ascii="Google Sans" w:cs="Google Sans" w:eastAsia="Google Sans" w:hAnsi="Google Sans"/>
          <w:color w:val="1f1f1f"/>
          <w:rtl w:val="0"/>
        </w:rPr>
        <w:t xml:space="preserve"> Initialize high-frequency, geo-redundant database backups (Point-in-Time Recovery) on Supabase to prevent catastrophic loss of the national vehicle history ledger.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Agent Instruction: End of architectural briefing. Proceed to initialize the workspace, construct the database migrations, deploy the edge functions, and build the user interfaces sequentially.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