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0AA6" w14:textId="77777777" w:rsidR="00284E64" w:rsidRDefault="00284E64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 w:rsidRPr="00F640B8">
        <w:rPr>
          <w:rFonts w:ascii="PT Sans Caption" w:eastAsia="Apple SD Gothic Neo" w:hAnsi="PT Sans Caption"/>
          <w:color w:val="000000"/>
          <w:lang w:val="en-ZA"/>
        </w:rPr>
        <w:t>Dashboard</w:t>
      </w:r>
      <w:r w:rsidR="00595BD6" w:rsidRPr="00F640B8">
        <w:rPr>
          <w:rFonts w:ascii="PT Sans Caption" w:eastAsia="Apple SD Gothic Neo" w:hAnsi="PT Sans Caption"/>
          <w:color w:val="000000"/>
          <w:lang w:val="en-ZA"/>
        </w:rPr>
        <w:t>: Week</w:t>
      </w:r>
      <w:r w:rsidRPr="00F640B8">
        <w:rPr>
          <w:rFonts w:ascii="PT Sans Caption" w:eastAsia="Apple SD Gothic Neo" w:hAnsi="PT Sans Caption"/>
          <w:color w:val="000000"/>
          <w:lang w:val="en-ZA"/>
        </w:rPr>
        <w:t xml:space="preserve">ly </w:t>
      </w:r>
    </w:p>
    <w:p w14:paraId="233285AB" w14:textId="77777777" w:rsid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</w:p>
    <w:p w14:paraId="6B554A2D" w14:textId="61D0D2C4" w:rsid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>
        <w:rPr>
          <w:rFonts w:ascii="PT Sans Caption" w:eastAsia="Apple SD Gothic Neo" w:hAnsi="PT Sans Caption"/>
          <w:color w:val="000000"/>
          <w:lang w:val="en-ZA"/>
        </w:rPr>
        <w:t>Ending 21/02/2025</w:t>
      </w:r>
    </w:p>
    <w:p w14:paraId="38DEE639" w14:textId="392C1603" w:rsidR="00F640B8" w:rsidRP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 w:rsidRPr="00F640B8">
        <w:rPr>
          <w:rFonts w:ascii="PT Sans Caption" w:eastAsia="Apple SD Gothic Neo" w:hAnsi="PT Sans Caption"/>
          <w:color w:val="000000"/>
          <w:lang w:val="en-ZA"/>
        </w:rPr>
        <w:t xml:space="preserve">This week saw divergent trends in South African bond yields, with higher-yielding instruments experiencing modest declines, while lower-yielding bonds saw mixed movements. The R_186 bond, a key benchmark, remained stable at 8.34%, reflecting limited movement in shorter-term sovereign yields. However, some long-dated instruments such as R_2048 (-0.61%) and R_2053 (-0.53%) saw notable decreases, possibly indicating increased demand for longer-duration assets. </w:t>
      </w:r>
    </w:p>
    <w:p w14:paraId="5A32E356" w14:textId="29B63685" w:rsidR="00F640B8" w:rsidRP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 w:rsidRPr="00F640B8">
        <w:rPr>
          <w:rFonts w:ascii="PT Sans Caption" w:eastAsia="Apple SD Gothic Neo" w:hAnsi="PT Sans Caption"/>
          <w:color w:val="000000"/>
          <w:lang w:val="en-ZA"/>
        </w:rPr>
        <w:t>Most</w:t>
      </w:r>
      <w:r>
        <w:rPr>
          <w:rFonts w:ascii="PT Sans Caption" w:eastAsia="Apple SD Gothic Neo" w:hAnsi="PT Sans Caption"/>
          <w:color w:val="000000"/>
          <w:lang w:val="en-ZA"/>
        </w:rPr>
        <w:t xml:space="preserve"> </w:t>
      </w:r>
      <w:r w:rsidRPr="00F640B8">
        <w:rPr>
          <w:rFonts w:ascii="PT Sans Caption" w:eastAsia="Apple SD Gothic Neo" w:hAnsi="PT Sans Caption"/>
          <w:color w:val="000000"/>
          <w:lang w:val="en-ZA"/>
        </w:rPr>
        <w:t>Volatile</w:t>
      </w:r>
      <w:r>
        <w:rPr>
          <w:rFonts w:ascii="PT Sans Caption" w:eastAsia="Apple SD Gothic Neo" w:hAnsi="PT Sans Caption"/>
          <w:color w:val="000000"/>
          <w:lang w:val="en-ZA"/>
        </w:rPr>
        <w:t xml:space="preserve"> </w:t>
      </w:r>
      <w:r w:rsidRPr="00F640B8">
        <w:rPr>
          <w:rFonts w:ascii="PT Sans Caption" w:eastAsia="Apple SD Gothic Neo" w:hAnsi="PT Sans Caption"/>
          <w:color w:val="000000"/>
          <w:lang w:val="en-ZA"/>
        </w:rPr>
        <w:t>Instruments:</w:t>
      </w:r>
    </w:p>
    <w:p w14:paraId="6D4830C8" w14:textId="77777777" w:rsidR="00F640B8" w:rsidRP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 w:rsidRPr="00F640B8">
        <w:rPr>
          <w:rFonts w:ascii="PT Sans Caption" w:eastAsia="Apple SD Gothic Neo" w:hAnsi="PT Sans Caption"/>
          <w:color w:val="000000"/>
          <w:lang w:val="en-ZA"/>
        </w:rPr>
        <w:t>Short-term treasury bills (SATB3M, SATB6M, SATB9M) were the most volatile this week, with yields dropping sharply by 4.17%, 3.83%, and 1.68%, respectively. The repo rate fell significantly (-3.23%), hinting at expectations of potential easing in borrowing costs. These movements suggest that investors are positioning for a lower interest rate environment.</w:t>
      </w:r>
    </w:p>
    <w:p w14:paraId="058460FF" w14:textId="77777777" w:rsidR="00F640B8" w:rsidRP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 w:rsidRPr="00F640B8">
        <w:rPr>
          <w:rFonts w:ascii="PT Sans Caption" w:eastAsia="Apple SD Gothic Neo" w:hAnsi="PT Sans Caption"/>
          <w:color w:val="000000"/>
          <w:lang w:val="en-ZA"/>
        </w:rPr>
        <w:t>Contrasting Yield Movements:</w:t>
      </w:r>
    </w:p>
    <w:p w14:paraId="4289BF2C" w14:textId="77777777" w:rsidR="00F640B8" w:rsidRP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  <w:r w:rsidRPr="00F640B8">
        <w:rPr>
          <w:rFonts w:ascii="PT Sans Caption" w:eastAsia="Apple SD Gothic Neo" w:hAnsi="PT Sans Caption"/>
          <w:color w:val="000000"/>
          <w:lang w:val="en-ZA"/>
        </w:rPr>
        <w:t>Lower-yielding bonds, such as R_2023 (7.55%), saw limited movement, while higher-yielding long-dated bonds like R_214 (11.18%) experienced more pronounced shifts. The ZAR Government Bonds (ZARGB) series also saw yield declines, reinforcing a possible market rebalancing toward risk-adjusted returns.</w:t>
      </w:r>
    </w:p>
    <w:p w14:paraId="3977DF17" w14:textId="77777777" w:rsidR="00F640B8" w:rsidRPr="00F640B8" w:rsidRDefault="00F640B8" w:rsidP="00F640B8">
      <w:pPr>
        <w:spacing w:before="150" w:after="150"/>
        <w:outlineLvl w:val="4"/>
        <w:rPr>
          <w:rFonts w:ascii="PT Sans Caption" w:eastAsia="Apple SD Gothic Neo" w:hAnsi="PT Sans Caption"/>
          <w:color w:val="000000"/>
          <w:lang w:val="en-ZA"/>
        </w:rPr>
      </w:pPr>
    </w:p>
    <w:p w14:paraId="412912A3" w14:textId="30D84C50" w:rsidR="00714FED" w:rsidRDefault="00714FED" w:rsidP="00F640B8">
      <w:pPr>
        <w:pBdr>
          <w:bottom w:val="single" w:sz="6" w:space="1" w:color="auto"/>
        </w:pBdr>
        <w:jc w:val="both"/>
        <w:rPr>
          <w:rFonts w:ascii="PT Sans Caption" w:eastAsia="Apple SD Gothic Neo" w:hAnsi="PT Sans Caption"/>
        </w:rPr>
      </w:pPr>
    </w:p>
    <w:p w14:paraId="09603BA1" w14:textId="77777777" w:rsidR="00F640B8" w:rsidRDefault="00F640B8" w:rsidP="00F640B8">
      <w:pPr>
        <w:jc w:val="both"/>
        <w:rPr>
          <w:rFonts w:ascii="PT Sans Caption" w:eastAsia="Apple SD Gothic Neo" w:hAnsi="PT Sans Caption"/>
        </w:rPr>
      </w:pPr>
    </w:p>
    <w:p w14:paraId="4F61DCE8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  <w:r w:rsidRPr="00F640B8">
        <w:rPr>
          <w:rFonts w:ascii="PT Sans Caption" w:eastAsia="Apple SD Gothic Neo" w:hAnsi="PT Sans Caption"/>
        </w:rPr>
        <w:t>Market Overview:</w:t>
      </w:r>
    </w:p>
    <w:p w14:paraId="78649D4C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  <w:r w:rsidRPr="00F640B8">
        <w:rPr>
          <w:rFonts w:ascii="PT Sans Caption" w:eastAsia="Apple SD Gothic Neo" w:hAnsi="PT Sans Caption"/>
        </w:rPr>
        <w:t>This past week saw mixed movements in South African government bonds. High-yield bonds such as R_214 (11.18%), R_2053 (11.315%), and ZARGB20 (11.391%) experienced moderate declines, suggesting a recalibration in long-term risk sentiment. Conversely, lower-yielding instruments like R_186 (8.335%) and SATB12M (8.028%) remained relatively stable.</w:t>
      </w:r>
    </w:p>
    <w:p w14:paraId="46F377D3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</w:p>
    <w:p w14:paraId="0548C63A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  <w:r w:rsidRPr="00F640B8">
        <w:rPr>
          <w:rFonts w:ascii="PT Sans Caption" w:eastAsia="Apple SD Gothic Neo" w:hAnsi="PT Sans Caption"/>
        </w:rPr>
        <w:t>Volatility &amp; Key Movers:</w:t>
      </w:r>
    </w:p>
    <w:p w14:paraId="53E95A1D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  <w:r w:rsidRPr="00F640B8">
        <w:rPr>
          <w:rFonts w:ascii="PT Sans Caption" w:eastAsia="Apple SD Gothic Neo" w:hAnsi="PT Sans Caption"/>
        </w:rPr>
        <w:t>The most volatile bond was SATB3M, plunging -4.17% in a week and -12.03% over 90 days, reflecting sensitivity to short-term liquidity conditions. Meanwhile, SATB6M and SATB9M also declined sharply, hinting at increasing risk aversion in shorter maturities.</w:t>
      </w:r>
    </w:p>
    <w:p w14:paraId="3A32E978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</w:p>
    <w:p w14:paraId="4E337FC1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  <w:r w:rsidRPr="00F640B8">
        <w:rPr>
          <w:rFonts w:ascii="PT Sans Caption" w:eastAsia="Apple SD Gothic Neo" w:hAnsi="PT Sans Caption"/>
        </w:rPr>
        <w:lastRenderedPageBreak/>
        <w:t>Yield Differentials &amp; Trends:</w:t>
      </w:r>
    </w:p>
    <w:p w14:paraId="27E8F98F" w14:textId="56FBFF43" w:rsidR="00F640B8" w:rsidRDefault="00F640B8" w:rsidP="00F640B8">
      <w:pPr>
        <w:jc w:val="both"/>
        <w:rPr>
          <w:rFonts w:ascii="PT Sans Caption" w:eastAsia="Apple SD Gothic Neo" w:hAnsi="PT Sans Caption"/>
        </w:rPr>
      </w:pPr>
      <w:r w:rsidRPr="00F640B8">
        <w:rPr>
          <w:rFonts w:ascii="PT Sans Caption" w:eastAsia="Apple SD Gothic Neo" w:hAnsi="PT Sans Caption"/>
        </w:rPr>
        <w:t>The steepest declines were observed in mid-to-long-duration bonds, while short-term repo rates also fell (-3.23%), suggesting shifting expectations regarding SARB’s policy stance. With South Africa’s policy rate remaining elevated at 8.25%, expectations of easing later in the year remain intact.</w:t>
      </w:r>
      <w:r>
        <w:rPr>
          <w:rFonts w:ascii="PT Sans Caption" w:eastAsia="Apple SD Gothic Neo" w:hAnsi="PT Sans Caption"/>
        </w:rPr>
        <w:t xml:space="preserve"> </w:t>
      </w:r>
    </w:p>
    <w:p w14:paraId="7299A784" w14:textId="77777777" w:rsidR="00F640B8" w:rsidRDefault="00F640B8" w:rsidP="00F640B8">
      <w:pPr>
        <w:pBdr>
          <w:bottom w:val="single" w:sz="6" w:space="1" w:color="auto"/>
        </w:pBdr>
        <w:jc w:val="both"/>
        <w:rPr>
          <w:rFonts w:ascii="PT Sans Caption" w:eastAsia="Apple SD Gothic Neo" w:hAnsi="PT Sans Caption"/>
        </w:rPr>
      </w:pPr>
    </w:p>
    <w:p w14:paraId="3AA8CCB8" w14:textId="77777777" w:rsidR="00F640B8" w:rsidRPr="00F640B8" w:rsidRDefault="00F640B8" w:rsidP="00F640B8">
      <w:pPr>
        <w:jc w:val="both"/>
        <w:rPr>
          <w:rFonts w:ascii="PT Sans Caption" w:eastAsia="Apple SD Gothic Neo" w:hAnsi="PT Sans Caption"/>
        </w:rPr>
      </w:pPr>
    </w:p>
    <w:sectPr w:rsidR="00F640B8" w:rsidRPr="00F640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T Sans Caption">
    <w:panose1 w:val="020B0603020203020204"/>
    <w:charset w:val="4D"/>
    <w:family w:val="swiss"/>
    <w:pitch w:val="variable"/>
    <w:sig w:usb0="A00002EF" w:usb1="5000204B" w:usb2="00000000" w:usb3="00000000" w:csb0="00000097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D6"/>
    <w:rsid w:val="00157003"/>
    <w:rsid w:val="002670CE"/>
    <w:rsid w:val="00284E64"/>
    <w:rsid w:val="00326446"/>
    <w:rsid w:val="00553D86"/>
    <w:rsid w:val="005558FF"/>
    <w:rsid w:val="00595BD6"/>
    <w:rsid w:val="005A7361"/>
    <w:rsid w:val="006E766B"/>
    <w:rsid w:val="00714FED"/>
    <w:rsid w:val="00761014"/>
    <w:rsid w:val="00CF4D3B"/>
    <w:rsid w:val="00F06821"/>
    <w:rsid w:val="00F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2CEA6"/>
  <w15:chartTrackingRefBased/>
  <w15:docId w15:val="{CA9CD4FC-C34A-C145-9CEF-8887F967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821"/>
    <w:rPr>
      <w:rFonts w:ascii="Helvetica" w:hAnsi="Helvetica" w:cs="Times New Roman"/>
      <w:kern w:val="0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D86"/>
    <w:pPr>
      <w:keepNext/>
      <w:keepLines/>
      <w:spacing w:before="160" w:after="120"/>
      <w:jc w:val="both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BD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BD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95BD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BD6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BD6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BD6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BD6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3D86"/>
    <w:rPr>
      <w:rFonts w:ascii="Helvetica" w:eastAsiaTheme="majorEastAsia" w:hAnsi="Helvetica" w:cstheme="majorBidi"/>
      <w:b/>
      <w:color w:val="000000" w:themeColor="text1"/>
      <w:szCs w:val="26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595BD6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en-GB"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BD6"/>
    <w:rPr>
      <w:rFonts w:eastAsiaTheme="majorEastAsia" w:cstheme="majorBidi"/>
      <w:color w:val="0F4761" w:themeColor="accent1" w:themeShade="BF"/>
      <w:kern w:val="0"/>
      <w:sz w:val="28"/>
      <w:szCs w:val="28"/>
      <w:lang w:val="en-GB"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BD6"/>
    <w:rPr>
      <w:rFonts w:eastAsiaTheme="majorEastAsia" w:cstheme="majorBidi"/>
      <w:i/>
      <w:iCs/>
      <w:color w:val="0F4761" w:themeColor="accent1" w:themeShade="BF"/>
      <w:kern w:val="0"/>
      <w:lang w:val="en-GB" w:eastAsia="en-GB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595BD6"/>
    <w:rPr>
      <w:rFonts w:eastAsiaTheme="majorEastAsia" w:cstheme="majorBidi"/>
      <w:color w:val="0F4761" w:themeColor="accent1" w:themeShade="BF"/>
      <w:kern w:val="0"/>
      <w:lang w:val="en-GB"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BD6"/>
    <w:rPr>
      <w:rFonts w:eastAsiaTheme="majorEastAsia" w:cstheme="majorBidi"/>
      <w:i/>
      <w:iCs/>
      <w:color w:val="595959" w:themeColor="text1" w:themeTint="A6"/>
      <w:kern w:val="0"/>
      <w:lang w:val="en-GB" w:eastAsia="en-GB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BD6"/>
    <w:rPr>
      <w:rFonts w:eastAsiaTheme="majorEastAsia" w:cstheme="majorBidi"/>
      <w:color w:val="595959" w:themeColor="text1" w:themeTint="A6"/>
      <w:kern w:val="0"/>
      <w:lang w:val="en-GB" w:eastAsia="en-GB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BD6"/>
    <w:rPr>
      <w:rFonts w:eastAsiaTheme="majorEastAsia" w:cstheme="majorBidi"/>
      <w:i/>
      <w:iCs/>
      <w:color w:val="272727" w:themeColor="text1" w:themeTint="D8"/>
      <w:kern w:val="0"/>
      <w:lang w:val="en-GB" w:eastAsia="en-GB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BD6"/>
    <w:rPr>
      <w:rFonts w:eastAsiaTheme="majorEastAsia" w:cstheme="majorBidi"/>
      <w:color w:val="272727" w:themeColor="text1" w:themeTint="D8"/>
      <w:kern w:val="0"/>
      <w:lang w:val="en-GB" w:eastAsia="en-GB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5B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BD6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GB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BD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BD6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-GB" w:eastAsia="en-GB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595B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BD6"/>
    <w:rPr>
      <w:rFonts w:ascii="Helvetica" w:hAnsi="Helvetica" w:cs="Times New Roman"/>
      <w:i/>
      <w:iCs/>
      <w:color w:val="404040" w:themeColor="text1" w:themeTint="BF"/>
      <w:kern w:val="0"/>
      <w:lang w:val="en-GB"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595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B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B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BD6"/>
    <w:rPr>
      <w:rFonts w:ascii="Helvetica" w:hAnsi="Helvetica" w:cs="Times New Roman"/>
      <w:i/>
      <w:iCs/>
      <w:color w:val="0F4761" w:themeColor="accent1" w:themeShade="BF"/>
      <w:kern w:val="0"/>
      <w:lang w:val="en-GB" w:eastAsia="en-GB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595BD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5BD6"/>
    <w:pPr>
      <w:spacing w:before="100" w:beforeAutospacing="1" w:after="100" w:afterAutospacing="1"/>
    </w:pPr>
    <w:rPr>
      <w:rFonts w:ascii="Times New Roman" w:hAnsi="Times New Roman"/>
      <w:lang w:val="en-ZA"/>
    </w:rPr>
  </w:style>
  <w:style w:type="character" w:customStyle="1" w:styleId="apple-converted-space">
    <w:name w:val="apple-converted-space"/>
    <w:basedOn w:val="DefaultParagraphFont"/>
    <w:rsid w:val="00F640B8"/>
  </w:style>
  <w:style w:type="character" w:styleId="Strong">
    <w:name w:val="Strong"/>
    <w:basedOn w:val="DefaultParagraphFont"/>
    <w:uiPriority w:val="22"/>
    <w:qFormat/>
    <w:rsid w:val="00F640B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8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Kudzanai Tsunga</dc:creator>
  <cp:keywords/>
  <dc:description/>
  <cp:lastModifiedBy>Kudzanai Tsunga</cp:lastModifiedBy>
  <cp:revision>3</cp:revision>
  <dcterms:created xsi:type="dcterms:W3CDTF">2025-03-01T06:11:00Z</dcterms:created>
  <dcterms:modified xsi:type="dcterms:W3CDTF">2025-03-02T08:12:00Z</dcterms:modified>
</cp:coreProperties>
</file>