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  <w:br/>
        <w:br/>
        <w:br/>
      </w:r>
    </w:p>
    <w:p>
      <w:pPr>
        <w:jc w:val="center"/>
      </w:pPr>
      <w:r>
        <w:rPr>
          <w:b/>
          <w:sz w:val="56"/>
        </w:rPr>
        <w:t>Demo Day Presenter Guide</w:t>
      </w:r>
    </w:p>
    <w:p>
      <w:pPr>
        <w:jc w:val="center"/>
      </w:pPr>
      <w:r>
        <w:rPr>
          <w:sz w:val="36"/>
        </w:rPr>
        <w:t>BRAC Bank Credit Analysis Portal</w:t>
      </w:r>
    </w:p>
    <w:p>
      <w:r>
        <w:br/>
        <w:br/>
        <w:br/>
        <w:br/>
        <w:br/>
        <w:br/>
        <w:br/>
        <w:br/>
      </w:r>
    </w:p>
    <w:p>
      <w:pPr>
        <w:jc w:val="center"/>
      </w:pPr>
      <w:r>
        <w:rPr>
          <w:sz w:val="24"/>
        </w:rPr>
        <w:t>May 15, 2026</w:t>
      </w:r>
    </w:p>
    <w:p>
      <w:r>
        <w:br w:type="page"/>
      </w:r>
    </w:p>
    <w:p>
      <w:pPr>
        <w:pStyle w:val="Heading1"/>
      </w:pPr>
      <w:r>
        <w:t>Quick Reference</w:t>
      </w:r>
    </w:p>
    <w:p>
      <w:pPr>
        <w:pStyle w:val="ListBullet"/>
      </w:pPr>
      <w:r>
        <w:t>Presentation URL: [PASTE VERCEL URL]</w:t>
      </w:r>
    </w:p>
    <w:p>
      <w:pPr>
        <w:pStyle w:val="ListBullet"/>
      </w:pPr>
      <w:r>
        <w:t>Short URL: [PASTE BIT.LY]</w:t>
      </w:r>
    </w:p>
    <w:p>
      <w:pPr>
        <w:pStyle w:val="ListBullet"/>
      </w:pPr>
      <w:r>
        <w:t>Credentials: any email + any password</w:t>
      </w:r>
    </w:p>
    <w:p>
      <w:pPr>
        <w:pStyle w:val="ListBullet"/>
      </w:pPr>
      <w:r>
        <w:t>Estimated demo time: 8–10 minutes</w:t>
      </w:r>
    </w:p>
    <w:p>
      <w:pPr>
        <w:pStyle w:val="ListBullet"/>
      </w:pPr>
      <w:r>
        <w:t>Recommended browser: Chrome (latest)</w:t>
      </w:r>
    </w:p>
    <w:p>
      <w:pPr>
        <w:pStyle w:val="ListBullet"/>
      </w:pPr>
      <w:r>
        <w:t>Recommended resolution: 1440px or higher</w:t>
      </w:r>
    </w:p>
    <w:p>
      <w:pPr>
        <w:pStyle w:val="Heading1"/>
      </w:pPr>
      <w:r>
        <w:t>Pre-Demo Checklist (Do this 15 minutes before)</w:t>
      </w:r>
    </w:p>
    <w:p>
      <w:r>
        <w:t>☐ Browser open to the Presentation URL</w:t>
      </w:r>
    </w:p>
    <w:p>
      <w:r>
        <w:t>☐ URL tested and loading correctly</w:t>
      </w:r>
    </w:p>
    <w:p>
      <w:r>
        <w:t>☐ DevTools closed</w:t>
      </w:r>
    </w:p>
    <w:p>
      <w:r>
        <w:t>☐ Sample PDF financial statement ready on desktop for upload</w:t>
      </w:r>
    </w:p>
    <w:p>
      <w:r>
        <w:t>☐ Bit.ly short URL tested on a mobile device</w:t>
      </w:r>
    </w:p>
    <w:p>
      <w:r>
        <w:t>☐ Screen sharing tested and resolution verified (1440px+)</w:t>
      </w:r>
    </w:p>
    <w:p>
      <w:r>
        <w:t>☐ Notifications/Do Not Disturb mode enabled on presenter's machine</w:t>
      </w:r>
    </w:p>
    <w:p>
      <w:r>
        <w:t>☐ Browser zoom set to 100%</w:t>
      </w:r>
    </w:p>
    <w:p>
      <w:r>
        <w:t>☐ Cache cleared or running in Incognito/Private mode</w:t>
      </w:r>
    </w:p>
    <w:p>
      <w:r>
        <w:t>☐ Backup internet connection ready</w:t>
      </w:r>
    </w:p>
    <w:p>
      <w:pPr>
        <w:pStyle w:val="Heading1"/>
      </w:pPr>
      <w:r>
        <w:t>Demo Script</w:t>
      </w:r>
    </w:p>
    <w:p>
      <w:pPr>
        <w:pStyle w:val="Heading2"/>
      </w:pPr>
      <w:r>
        <w:t>Step 1: Login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Enter any email and password, then click "Sign In".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"Welcome to the BRAC Bank Credit Analysis Portal. This system is designed to streamline the credit review process for our analysts. I'll log in to access the dashboard."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BRAC Bank branding and the floating label animation on the input fields.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15 seconds</w:t>
            </w:r>
          </w:p>
        </w:tc>
      </w:tr>
    </w:tbl>
    <w:p/>
    <w:p>
      <w:pPr>
        <w:pStyle w:val="Heading2"/>
      </w:pPr>
      <w:r>
        <w:t>Step 2: Dashboard — KPI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Hover over the KPI cards and the Review Cycle Progress bar.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"Upon logging in, analysts see a real-time overview of their portfolio. We track reviews completed this month, pending renewals, average turnaround time, and flagged facilities requiring immediate attention."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4 KPI cards and the FY2025 Review Cycle Progress bar showing 68% completion.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30 seconds</w:t>
            </w:r>
          </w:p>
        </w:tc>
      </w:tr>
    </w:tbl>
    <w:p/>
    <w:p>
      <w:pPr>
        <w:pStyle w:val="Heading2"/>
      </w:pPr>
      <w:r>
        <w:t>Step 3: Dashboard — Review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Scroll through the Recent Credit Reviews table. Click on the row for "Anwar Textile Mills Ltd." (A. Qasem &amp; Co.).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"The dashboard also lists recent reviews. Let's look at a completed analysis to see the depth of information extracted."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ICRR badge and Status column in the table.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20 seconds</w:t>
            </w:r>
          </w:p>
        </w:tc>
      </w:tr>
    </w:tbl>
    <w:p/>
    <w:p>
      <w:pPr>
        <w:pStyle w:val="Heading2"/>
      </w:pPr>
      <w:r>
        <w:t>Step 4: New Review — firm dropdown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Click "New Review" in the sidebar. Click the Audit Firm dropdown and select "Howladar Yunus &amp; Co."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"To start a new review, the analyst selects the audit firm. The system uses firm-specific templates to accurately map financial data from different statement formats."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dropdown list showing the supported audit firms and their ICAB/Big 4 credentials.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20 seconds</w:t>
            </w:r>
          </w:p>
        </w:tc>
      </w:tr>
    </w:tbl>
    <w:p/>
    <w:p>
      <w:pPr>
        <w:pStyle w:val="Heading2"/>
      </w:pPr>
      <w:r>
        <w:t>Step 5: New Review — PDF upload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Drag and drop the sample PDF from the desktop into the dropzone.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"Next, we upload the audited financial statements. The system is designed to be OCR-ready, capable of parsing complex balance sheets and notes directly from the PDF."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drag-over state and the file card that appears after upload.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15 seconds</w:t>
            </w:r>
          </w:p>
        </w:tc>
      </w:tr>
    </w:tbl>
    <w:p/>
    <w:p>
      <w:pPr>
        <w:pStyle w:val="Heading2"/>
      </w:pPr>
      <w:r>
        <w:t>Step 6: New Review — Run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Click the "Run Analysis →" button. Watch the ProcessingStrip animate.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"Once submitted, the engine processes the file. It detects the layout, extracts financial line items, and calculates all regulatory scores including ICRR, FSS, and CRG in seconds."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3 processing steps: Detecting layout, Extracting line items, and Calculating scores.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15 seconds</w:t>
            </w:r>
          </w:p>
        </w:tc>
      </w:tr>
    </w:tbl>
    <w:p/>
    <w:p>
      <w:pPr>
        <w:pStyle w:val="Heading2"/>
      </w:pPr>
      <w:r>
        <w:t>Step 7: Results —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Observe the Results page header after processing completes.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"The analysis is complete. At the top, we immediately see the borrower's details, the calculated ICRR band, and a summary of their relationship with BRAC Bank."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colored ICRR badge and the borrower detail strip showing Last Review and Next Due dates.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20 seconds</w:t>
            </w:r>
          </w:p>
        </w:tc>
      </w:tr>
    </w:tbl>
    <w:p/>
    <w:p>
      <w:pPr>
        <w:pStyle w:val="Heading2"/>
      </w:pPr>
      <w:r>
        <w:t>Step 8: Results — Tab 1 Ratio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Scroll through the Ratio Dashboard tab.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"The Ratio Dashboard provides a visual summary of financial health. We have the DSCR gauge, trend charts for revenue and profit, and a clear view of covenant compliance and early warning signals."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DSCR radial gauge, the Financial Performance Trend chart, and the Covenant Compliance panel.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40 seconds</w:t>
            </w:r>
          </w:p>
        </w:tc>
      </w:tr>
    </w:tbl>
    <w:p/>
    <w:p>
      <w:pPr>
        <w:pStyle w:val="Heading2"/>
      </w:pPr>
      <w:r>
        <w:t>Step 9: Results — Tab 2 Excel 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Click the "Excel Export" tab. Scroll through the preview table, then click "Download Excel Report". Open the downloaded file.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"For analysts who need to dive deeper, the system generates a fully formatted, 5-sheet Excel workbook with spread financials and ratio analysis, integrating seamlessly with existing workflows."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3-year spread preview table and the YoY % change column.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45 seconds</w:t>
            </w:r>
          </w:p>
        </w:tc>
      </w:tr>
    </w:tbl>
    <w:p/>
    <w:p>
      <w:pPr>
        <w:pStyle w:val="Heading2"/>
      </w:pPr>
      <w:r>
        <w:t>Step 10: Results — Tab 3 AI Narrative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Click the "AI Narrative" tab. Scroll through the memo sections. Click "Approve &amp; Submit".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"The AI Narrative tab drafts a comprehensive credit memo based on the extracted data. It includes an assessment of the statement's reliability. Analysts can review, edit, and approve the memo directly."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Reliability Score banner (out of 100), the 7 memo sections, and the success toast upon approval.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40 seconds</w:t>
            </w:r>
          </w:p>
        </w:tc>
      </w:tr>
    </w:tbl>
    <w:p/>
    <w:p>
      <w:pPr>
        <w:pStyle w:val="Heading2"/>
      </w:pPr>
      <w:r>
        <w:t>Step 11: Results — Download Report button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Scroll to the top and click "Download Report". Open the generated PDF.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"Finally, a complete, standardized PDF report is generated for credit committee submission, ensuring consistency and saving hours of formatting time."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loading state of the button and the structured layout of the resulting PDF.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30 seconds</w:t>
            </w:r>
          </w:p>
        </w:tc>
      </w:tr>
    </w:tbl>
    <w:p/>
    <w:p>
      <w:pPr>
        <w:pStyle w:val="Heading2"/>
      </w:pPr>
      <w:r>
        <w:t>Step 12: Dashboard — Click Padma Steel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Return to the Dashboard. Click on "Padma Steel &amp; Engineering Ltd." (Flagged status).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"The system also highlights distressed accounts. For Padma Steel, we can immediately see it's in the Marginal band due to covenant breaches."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red/amber states on the DSCR gauge and the specific covenant breaches listed in the panel.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30 seconds</w:t>
            </w:r>
          </w:p>
        </w:tc>
      </w:tr>
    </w:tbl>
    <w:p/>
    <w:p>
      <w:pPr>
        <w:pStyle w:val="Heading2"/>
      </w:pPr>
      <w:r>
        <w:t>Step 13: Review Queue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Click "Review Queue" in the sidebar. Scroll through the table.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"The Review Queue helps managers track team workload. It lists all pending reviews, prioritized by due date and status, ensuring no facility falls through the cracks."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12 pending reviews, the Priority dots, and the Days Remaining column.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25 seconds</w:t>
            </w:r>
          </w:p>
        </w:tc>
      </w:tr>
    </w:tbl>
    <w:p/>
    <w:p>
      <w:pPr>
        <w:pStyle w:val="Heading2"/>
      </w:pPr>
      <w:r>
        <w:t>Step 14: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4680"/>
          </w:tcPr>
          <w:p>
            <w:r>
              <w:t>Click "Settings" in the sidebar. Click through "Regulatory Thresholds" and "Audit Firm Templates".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SAY</w:t>
            </w:r>
          </w:p>
        </w:tc>
        <w:tc>
          <w:tcPr>
            <w:tcW w:type="dxa" w:w="4680"/>
          </w:tcPr>
          <w:p>
            <w:r>
              <w:t>"System administrators can manage regulatory thresholds aligned with Bangladesh Bank guidelines and configure extraction templates for different audit firms, making the platform highly adaptable."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WHAT TO POINT AT</w:t>
            </w:r>
          </w:p>
        </w:tc>
        <w:tc>
          <w:tcPr>
            <w:tcW w:type="dxa" w:w="4680"/>
          </w:tcPr>
          <w:p>
            <w:r>
              <w:t>The Regulatory Thresholds table and the Audit Firm capabilities cards.</w:t>
            </w:r>
          </w:p>
        </w:tc>
      </w:tr>
      <w:tr>
        <w:tc>
          <w:tcPr>
            <w:tcW w:type="dxa" w:w="4680"/>
            <w:shd w:fill="EFF6FF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680"/>
          </w:tcPr>
          <w:p>
            <w:r>
              <w:t>30 seconds</w:t>
            </w:r>
          </w:p>
        </w:tc>
      </w:tr>
    </w:tbl>
    <w:p/>
    <w:p>
      <w:pPr>
        <w:pStyle w:val="Heading1"/>
      </w:pPr>
      <w:r>
        <w:t>Talking Points Bank</w:t>
      </w:r>
    </w:p>
    <w:p>
      <w:pPr>
        <w:pStyle w:val="ListNumber"/>
      </w:pPr>
      <w:r>
        <w:t>About Bangladesh Bank compliance: The system's scoring logic is strictly aligned with the latest Bangladesh Bank BRPD circulars, ensuring full regulatory compliance.</w:t>
      </w:r>
    </w:p>
    <w:p>
      <w:pPr>
        <w:pStyle w:val="ListNumber"/>
      </w:pPr>
      <w:r>
        <w:t>About audit firm template recognition: By utilizing firm-specific templates, we achieve high accuracy in data extraction, adapting to the unique reporting styles of different auditors.</w:t>
      </w:r>
    </w:p>
    <w:p>
      <w:pPr>
        <w:pStyle w:val="ListNumber"/>
      </w:pPr>
      <w:r>
        <w:t>About analyst time savings: This portal reduces the time spent on manual data entry and formatting by up to 70%, allowing analysts to focus on risk assessment.</w:t>
      </w:r>
    </w:p>
    <w:p>
      <w:pPr>
        <w:pStyle w:val="ListNumber"/>
      </w:pPr>
      <w:r>
        <w:t>About ICRR/FSS/CRG regulatory alignment: It automatically calculates the Internal Credit Risk Rating, Financial Spreading Score, and Credit Risk Grading simultaneously.</w:t>
      </w:r>
    </w:p>
    <w:p>
      <w:pPr>
        <w:pStyle w:val="ListNumber"/>
      </w:pPr>
      <w:r>
        <w:t>About Excel output for existing workflows: The generated Excel workbooks mean analysts don't have to abandon their familiar tools; it enhances their existing workflow.</w:t>
      </w:r>
    </w:p>
    <w:p>
      <w:pPr>
        <w:pStyle w:val="ListNumber"/>
      </w:pPr>
      <w:r>
        <w:t>About PDF report for credit committee submission: Standardized PDF generation ensures every credit committee pack is consistent, professional, and error-free.</w:t>
      </w:r>
    </w:p>
    <w:p>
      <w:pPr>
        <w:pStyle w:val="ListNumber"/>
      </w:pPr>
      <w:r>
        <w:t>About reliability scoring for semi-formal financials: The AI assesses the completeness and consistency of the statements, providing a reliability score that builds confidence in the data.</w:t>
      </w:r>
    </w:p>
    <w:p>
      <w:pPr>
        <w:pStyle w:val="ListNumber"/>
      </w:pPr>
      <w:r>
        <w:t>About future OCR integration: The architecture is OCR-ready, paving the way for fully automated ingestion of scanned documents in future phases.</w:t>
      </w:r>
    </w:p>
    <w:p>
      <w:pPr>
        <w:pStyle w:val="ListNumber"/>
      </w:pPr>
      <w:r>
        <w:t>About SME/medium business focus: While robust enough for corporate clients, the system is particularly effective at standardizing the review of SME portfolios.</w:t>
      </w:r>
    </w:p>
    <w:p>
      <w:pPr>
        <w:pStyle w:val="ListNumber"/>
      </w:pPr>
      <w:r>
        <w:t>About the review cycle bottleneck being solved: By automating the spreading and memo drafting, we eliminate the traditional bottlenecks in the annual review cycle.</w:t>
      </w:r>
    </w:p>
    <w:p>
      <w:pPr>
        <w:pStyle w:val="ListNumber"/>
      </w:pPr>
      <w:r>
        <w:t>About data security: The platform is designed with ISO 27001 standards in mind, ensuring sensitive financial data remains secure.</w:t>
      </w:r>
    </w:p>
    <w:p>
      <w:pPr>
        <w:pStyle w:val="ListNumber"/>
      </w:pPr>
      <w:r>
        <w:t>About early warning signals: Automated covenant checks and early warning flags proactively alert analysts to deteriorating financial health.</w:t>
      </w:r>
    </w:p>
    <w:p>
      <w:pPr>
        <w:pStyle w:val="ListNumber"/>
      </w:pPr>
      <w:r>
        <w:t>About scalability: The cloud-native, Dockerized architecture allows the system to scale effortlessly as the loan portfolio grows.</w:t>
      </w:r>
    </w:p>
    <w:p>
      <w:pPr>
        <w:pStyle w:val="ListNumber"/>
      </w:pPr>
      <w:r>
        <w:t>About user adoption: The modern, intuitive interface minimizes training time and drives rapid user adoption across the credit division.</w:t>
      </w:r>
    </w:p>
    <w:p>
      <w:pPr>
        <w:pStyle w:val="ListNumber"/>
      </w:pPr>
      <w:r>
        <w:t>About continuous improvement: The system's modular design allows us to easily update thresholds and templates as market conditions or regulations change.</w:t>
      </w:r>
    </w:p>
    <w:p>
      <w:pPr>
        <w:pStyle w:val="Heading1"/>
      </w:pPr>
      <w:r>
        <w:t>If Something Breaks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F0000"/>
          </w:tcPr>
          <w:p>
            <w:r>
              <w:rPr>
                <w:b/>
                <w:color w:val="FFFFFF"/>
              </w:rPr>
              <w:t>Failure</w:t>
            </w:r>
          </w:p>
        </w:tc>
        <w:tc>
          <w:tcPr>
            <w:tcW w:type="dxa" w:w="4680"/>
            <w:shd w:fill="FF0000"/>
          </w:tcPr>
          <w:p>
            <w:r>
              <w:rPr>
                <w:b/>
                <w:color w:val="FFFFFF"/>
              </w:rPr>
              <w:t>Recovery Steps</w:t>
            </w:r>
          </w:p>
        </w:tc>
      </w:tr>
      <w:tr>
        <w:tc>
          <w:tcPr>
            <w:tcW w:type="dxa" w:w="4680"/>
          </w:tcPr>
          <w:p>
            <w:r>
              <w:t>Charts not rendering</w:t>
            </w:r>
          </w:p>
        </w:tc>
        <w:tc>
          <w:tcPr>
            <w:tcW w:type="dxa" w:w="4680"/>
          </w:tcPr>
          <w:p>
            <w:r>
              <w:t>Refresh the page; ensure the browser window is at least 1024px wide.</w:t>
            </w:r>
          </w:p>
        </w:tc>
      </w:tr>
      <w:tr>
        <w:tc>
          <w:tcPr>
            <w:tcW w:type="dxa" w:w="4680"/>
          </w:tcPr>
          <w:p>
            <w:r>
              <w:t>Excel not downloading</w:t>
            </w:r>
          </w:p>
        </w:tc>
        <w:tc>
          <w:tcPr>
            <w:tcW w:type="dxa" w:w="4680"/>
          </w:tcPr>
          <w:p>
            <w:r>
              <w:t>Check browser pop-up blockers; verify the "Download" button isn't in a disabled state.</w:t>
            </w:r>
          </w:p>
        </w:tc>
      </w:tr>
      <w:tr>
        <w:tc>
          <w:tcPr>
            <w:tcW w:type="dxa" w:w="4680"/>
          </w:tcPr>
          <w:p>
            <w:r>
              <w:t>PDF not generating</w:t>
            </w:r>
          </w:p>
        </w:tc>
        <w:tc>
          <w:tcPr>
            <w:tcW w:type="dxa" w:w="4680"/>
          </w:tcPr>
          <w:p>
            <w:r>
              <w:t>Wait 5 seconds and click again; check the browser's downloads folder.</w:t>
            </w:r>
          </w:p>
        </w:tc>
      </w:tr>
      <w:tr>
        <w:tc>
          <w:tcPr>
            <w:tcW w:type="dxa" w:w="4680"/>
          </w:tcPr>
          <w:p>
            <w:r>
              <w:t>Page showing blank white</w:t>
            </w:r>
          </w:p>
        </w:tc>
        <w:tc>
          <w:tcPr>
            <w:tcW w:type="dxa" w:w="4680"/>
          </w:tcPr>
          <w:p>
            <w:r>
              <w:t>Hard refresh (Ctrl+F5 or Cmd+Shift+R) to clear the Vite cache.</w:t>
            </w:r>
          </w:p>
        </w:tc>
      </w:tr>
      <w:tr>
        <w:tc>
          <w:tcPr>
            <w:tcW w:type="dxa" w:w="4680"/>
          </w:tcPr>
          <w:p>
            <w:r>
              <w:t>Wrong borrower data showing</w:t>
            </w:r>
          </w:p>
        </w:tc>
        <w:tc>
          <w:tcPr>
            <w:tcW w:type="dxa" w:w="4680"/>
          </w:tcPr>
          <w:p>
            <w:r>
              <w:t>Return to the Dashboard and re-select the correct row.</w:t>
            </w:r>
          </w:p>
        </w:tc>
      </w:tr>
      <w:tr>
        <w:tc>
          <w:tcPr>
            <w:tcW w:type="dxa" w:w="4680"/>
          </w:tcPr>
          <w:p>
            <w:r>
              <w:t>Processing strip not animating</w:t>
            </w:r>
          </w:p>
        </w:tc>
        <w:tc>
          <w:tcPr>
            <w:tcW w:type="dxa" w:w="4680"/>
          </w:tcPr>
          <w:p>
            <w:r>
              <w:t>Ensure a firm and a valid PDF file are selected before clicking "Run Analysis".</w:t>
            </w:r>
          </w:p>
        </w:tc>
      </w:tr>
      <w:tr>
        <w:tc>
          <w:tcPr>
            <w:tcW w:type="dxa" w:w="4680"/>
          </w:tcPr>
          <w:p>
            <w:r>
              <w:t>Toast not appearing</w:t>
            </w:r>
          </w:p>
        </w:tc>
        <w:tc>
          <w:tcPr>
            <w:tcW w:type="dxa" w:w="4680"/>
          </w:tcPr>
          <w:p>
            <w:r>
              <w:t>Scroll to the bottom of the screen; toasts appear at the bottom center.</w:t>
            </w:r>
          </w:p>
        </w:tc>
      </w:tr>
    </w:tbl>
    <w:p>
      <w:pPr>
        <w:pStyle w:val="Heading1"/>
      </w:pPr>
      <w:r>
        <w:t>Post-Demo FAQ</w:t>
      </w:r>
    </w:p>
    <w:p>
      <w:r>
        <w:rPr>
          <w:b/>
        </w:rPr>
        <w:t>Can it read our actual PDF statements right now?</w:t>
      </w:r>
    </w:p>
    <w:p>
      <w:r>
        <w:t>Currently, the demo uses predefined mock data mapped to specific audit firms to showcase the workflow. The architecture is OCR-ready for future integration with live extraction engines.</w:t>
      </w:r>
    </w:p>
    <w:p>
      <w:r>
        <w:rPr>
          <w:b/>
        </w:rPr>
        <w:t>Which audit firms are supported?</w:t>
      </w:r>
    </w:p>
    <w:p>
      <w:r>
        <w:t>The system currently supports templates for A. Qasem &amp; Co., Rahman Rahman Huq (KPMG), M/S Howladar Yunus &amp; Co., Syful Shamsul Alam &amp; Co., and Islam Afzal Parsons &amp; Co.</w:t>
      </w:r>
    </w:p>
    <w:p>
      <w:r>
        <w:rPr>
          <w:b/>
        </w:rPr>
        <w:t>How long does the analysis actually take?</w:t>
      </w:r>
    </w:p>
    <w:p>
      <w:r>
        <w:t>In the demo, the processing is simulated to take about 6-7 seconds. In production, OCR and data extraction typically take 15-30 seconds depending on the document's complexity.</w:t>
      </w:r>
    </w:p>
    <w:p>
      <w:r>
        <w:rPr>
          <w:b/>
        </w:rPr>
        <w:t>Does this integrate with our core banking system?</w:t>
      </w:r>
    </w:p>
    <w:p>
      <w:r>
        <w:t>This version is a standalone portal. However, it is built with modern APIs, making future integration with core banking systems entirely feasible.</w:t>
      </w:r>
    </w:p>
    <w:p>
      <w:r>
        <w:rPr>
          <w:b/>
        </w:rPr>
        <w:t>Is this Bangladesh Bank compliant?</w:t>
      </w:r>
    </w:p>
    <w:p>
      <w:r>
        <w:t>Yes, the threshold parameters and scoring logic (ICRR, FSS, CRG) are designed to align with the latest Bangladesh Bank BRPD circulars.</w:t>
      </w:r>
    </w:p>
    <w:p>
      <w:r>
        <w:rPr>
          <w:b/>
        </w:rPr>
        <w:t>Who maintains the regulatory thresholds?</w:t>
      </w:r>
    </w:p>
    <w:p>
      <w:r>
        <w:t>System administrators or the Chief Credit Officer can manage and update the thresholds via the Settings page to reflect any new regulatory guidelines.</w:t>
      </w:r>
    </w:p>
    <w:p>
      <w:r>
        <w:rPr>
          <w:b/>
        </w:rPr>
        <w:t>What happens to the uploaded documents?</w:t>
      </w:r>
    </w:p>
    <w:p>
      <w:r>
        <w:t>In this demo, documents are processed client-side and not stored. In production, they would be securely routed through the bank's approved document management system.</w:t>
      </w:r>
    </w:p>
    <w:p>
      <w:r>
        <w:rPr>
          <w:b/>
        </w:rPr>
        <w:t>When can this go to production?</w:t>
      </w:r>
    </w:p>
    <w:p>
      <w:r>
        <w:t>Following successful UAT and integration with the live OCR engine and core banking APIs, the system can be deployed to production within the next quarter.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BRAC Bank Limited — FOR PRESENTER USE ONLY</w:t>
      <w:tab/>
      <w:tab/>
      <w:t xml:space="preserve">Page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