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00336" w14:textId="7FF74155" w:rsidR="00695409" w:rsidRDefault="00C01318" w:rsidP="0015366A">
      <w:r>
        <w:br/>
      </w:r>
      <w:r>
        <w:br/>
      </w:r>
    </w:p>
    <w:p w14:paraId="44781DBC" w14:textId="77777777" w:rsidR="00695409" w:rsidRDefault="00C01318">
      <w:pPr>
        <w:pStyle w:val="Heading1"/>
      </w:pPr>
      <w:r>
        <w:t>T</w:t>
      </w:r>
      <w:r>
        <w:t>able of Contents</w:t>
      </w:r>
    </w:p>
    <w:p w14:paraId="4F199D72" w14:textId="77777777" w:rsidR="00695409" w:rsidRDefault="00C01318">
      <w:pPr>
        <w:pStyle w:val="ListBullet"/>
      </w:pPr>
      <w:r>
        <w:t>Tech Stack</w:t>
      </w:r>
    </w:p>
    <w:p w14:paraId="24BA0AB0" w14:textId="77777777" w:rsidR="00695409" w:rsidRDefault="00C01318">
      <w:pPr>
        <w:pStyle w:val="ListBullet"/>
      </w:pPr>
      <w:r>
        <w:t>Project Structure</w:t>
      </w:r>
    </w:p>
    <w:p w14:paraId="1038C779" w14:textId="77777777" w:rsidR="00695409" w:rsidRDefault="00C01318">
      <w:pPr>
        <w:pStyle w:val="ListBullet"/>
      </w:pPr>
      <w:r>
        <w:t>Pages &amp; Features</w:t>
      </w:r>
    </w:p>
    <w:p w14:paraId="6D493602" w14:textId="77777777" w:rsidR="00695409" w:rsidRDefault="00C01318">
      <w:pPr>
        <w:pStyle w:val="ListBullet"/>
      </w:pPr>
      <w:r>
        <w:t>Mock Data</w:t>
      </w:r>
    </w:p>
    <w:p w14:paraId="2CA9EEC0" w14:textId="77777777" w:rsidR="00695409" w:rsidRDefault="00C01318">
      <w:pPr>
        <w:pStyle w:val="ListBullet"/>
      </w:pPr>
      <w:r>
        <w:t>Output Modules</w:t>
      </w:r>
    </w:p>
    <w:p w14:paraId="0E3917B1" w14:textId="77777777" w:rsidR="00695409" w:rsidRDefault="00C01318">
      <w:pPr>
        <w:pStyle w:val="ListBullet"/>
      </w:pPr>
      <w:r>
        <w:t>Docker Setup</w:t>
      </w:r>
    </w:p>
    <w:p w14:paraId="3F4E8FE8" w14:textId="77777777" w:rsidR="00695409" w:rsidRDefault="00C01318">
      <w:pPr>
        <w:pStyle w:val="ListBullet"/>
      </w:pPr>
      <w:r>
        <w:t xml:space="preserve">Vercel </w:t>
      </w:r>
      <w:r>
        <w:t>Deployment</w:t>
      </w:r>
    </w:p>
    <w:p w14:paraId="43F3905F" w14:textId="77777777" w:rsidR="00695409" w:rsidRDefault="00C01318">
      <w:pPr>
        <w:pStyle w:val="ListBullet"/>
      </w:pPr>
      <w:r>
        <w:t>Local Development</w:t>
      </w:r>
    </w:p>
    <w:p w14:paraId="71F66539" w14:textId="77777777" w:rsidR="00695409" w:rsidRDefault="00C01318">
      <w:pPr>
        <w:pStyle w:val="ListBullet"/>
      </w:pPr>
      <w:r>
        <w:t>Demo Credentials</w:t>
      </w:r>
    </w:p>
    <w:p w14:paraId="14963E4F" w14:textId="77777777" w:rsidR="00695409" w:rsidRDefault="00C01318">
      <w:pPr>
        <w:pStyle w:val="ListBullet"/>
      </w:pPr>
      <w:r>
        <w:t>Known Limitations</w:t>
      </w:r>
    </w:p>
    <w:p w14:paraId="62E12740" w14:textId="77777777" w:rsidR="00695409" w:rsidRDefault="00C01318">
      <w:r>
        <w:br w:type="page"/>
      </w:r>
    </w:p>
    <w:p w14:paraId="72ABB82F" w14:textId="77777777" w:rsidR="00695409" w:rsidRDefault="00C01318">
      <w:pPr>
        <w:pStyle w:val="Heading1"/>
      </w:pPr>
      <w:r>
        <w:lastRenderedPageBreak/>
        <w:t>Tech Stack</w:t>
      </w:r>
    </w:p>
    <w:tbl>
      <w:tblPr>
        <w:tblStyle w:val="TableGrid"/>
        <w:tblW w:w="0" w:type="auto"/>
        <w:tblLook w:val="04A0" w:firstRow="1" w:lastRow="0" w:firstColumn="1" w:lastColumn="0" w:noHBand="0" w:noVBand="1"/>
      </w:tblPr>
      <w:tblGrid>
        <w:gridCol w:w="3120"/>
        <w:gridCol w:w="3120"/>
        <w:gridCol w:w="3120"/>
      </w:tblGrid>
      <w:tr w:rsidR="00695409" w14:paraId="247DE3BE" w14:textId="77777777">
        <w:tc>
          <w:tcPr>
            <w:tcW w:w="3120" w:type="dxa"/>
            <w:shd w:val="clear" w:color="auto" w:fill="0052A5"/>
          </w:tcPr>
          <w:p w14:paraId="40C5DF88" w14:textId="77777777" w:rsidR="00695409" w:rsidRDefault="00C01318">
            <w:r>
              <w:rPr>
                <w:b/>
                <w:color w:val="FFFFFF"/>
              </w:rPr>
              <w:t>Package</w:t>
            </w:r>
          </w:p>
        </w:tc>
        <w:tc>
          <w:tcPr>
            <w:tcW w:w="3120" w:type="dxa"/>
            <w:shd w:val="clear" w:color="auto" w:fill="0052A5"/>
          </w:tcPr>
          <w:p w14:paraId="021D3303" w14:textId="77777777" w:rsidR="00695409" w:rsidRDefault="00C01318">
            <w:r>
              <w:rPr>
                <w:b/>
                <w:color w:val="FFFFFF"/>
              </w:rPr>
              <w:t>Version</w:t>
            </w:r>
          </w:p>
        </w:tc>
        <w:tc>
          <w:tcPr>
            <w:tcW w:w="3120" w:type="dxa"/>
            <w:shd w:val="clear" w:color="auto" w:fill="0052A5"/>
          </w:tcPr>
          <w:p w14:paraId="353A9BF5" w14:textId="77777777" w:rsidR="00695409" w:rsidRDefault="00C01318">
            <w:r>
              <w:rPr>
                <w:b/>
                <w:color w:val="FFFFFF"/>
              </w:rPr>
              <w:t>Purpose</w:t>
            </w:r>
          </w:p>
        </w:tc>
      </w:tr>
      <w:tr w:rsidR="00695409" w14:paraId="0457E37C" w14:textId="77777777">
        <w:tc>
          <w:tcPr>
            <w:tcW w:w="3120" w:type="dxa"/>
          </w:tcPr>
          <w:p w14:paraId="0C96C36C" w14:textId="77777777" w:rsidR="00695409" w:rsidRDefault="00C01318">
            <w:r>
              <w:t>@tailwindcss/vite</w:t>
            </w:r>
          </w:p>
        </w:tc>
        <w:tc>
          <w:tcPr>
            <w:tcW w:w="3120" w:type="dxa"/>
          </w:tcPr>
          <w:p w14:paraId="0ED3C015" w14:textId="77777777" w:rsidR="00695409" w:rsidRDefault="00C01318">
            <w:r>
              <w:t>^4.3.0</w:t>
            </w:r>
          </w:p>
        </w:tc>
        <w:tc>
          <w:tcPr>
            <w:tcW w:w="3120" w:type="dxa"/>
          </w:tcPr>
          <w:p w14:paraId="6C7CA1CB" w14:textId="77777777" w:rsidR="00695409" w:rsidRDefault="00C01318">
            <w:r>
              <w:t>Vite plugin for Tailwind CSS integration.</w:t>
            </w:r>
          </w:p>
        </w:tc>
      </w:tr>
      <w:tr w:rsidR="00695409" w14:paraId="0D6E788F" w14:textId="77777777">
        <w:tc>
          <w:tcPr>
            <w:tcW w:w="3120" w:type="dxa"/>
          </w:tcPr>
          <w:p w14:paraId="3ABEAD8A" w14:textId="77777777" w:rsidR="00695409" w:rsidRDefault="00C01318">
            <w:r>
              <w:t>jspdf</w:t>
            </w:r>
          </w:p>
        </w:tc>
        <w:tc>
          <w:tcPr>
            <w:tcW w:w="3120" w:type="dxa"/>
          </w:tcPr>
          <w:p w14:paraId="40146864" w14:textId="77777777" w:rsidR="00695409" w:rsidRDefault="00C01318">
            <w:r>
              <w:t>^4.2.1</w:t>
            </w:r>
          </w:p>
        </w:tc>
        <w:tc>
          <w:tcPr>
            <w:tcW w:w="3120" w:type="dxa"/>
          </w:tcPr>
          <w:p w14:paraId="69F59553" w14:textId="77777777" w:rsidR="00695409" w:rsidRDefault="00C01318">
            <w:r>
              <w:t>Generates PDF reports of credit reviews.</w:t>
            </w:r>
          </w:p>
        </w:tc>
      </w:tr>
      <w:tr w:rsidR="00695409" w14:paraId="62FE1FDA" w14:textId="77777777">
        <w:tc>
          <w:tcPr>
            <w:tcW w:w="3120" w:type="dxa"/>
          </w:tcPr>
          <w:p w14:paraId="6213AC89" w14:textId="77777777" w:rsidR="00695409" w:rsidRDefault="00C01318">
            <w:r>
              <w:t>jspdf-autotable</w:t>
            </w:r>
          </w:p>
        </w:tc>
        <w:tc>
          <w:tcPr>
            <w:tcW w:w="3120" w:type="dxa"/>
          </w:tcPr>
          <w:p w14:paraId="27CEF284" w14:textId="77777777" w:rsidR="00695409" w:rsidRDefault="00C01318">
            <w:r>
              <w:t>^5.0.7</w:t>
            </w:r>
          </w:p>
        </w:tc>
        <w:tc>
          <w:tcPr>
            <w:tcW w:w="3120" w:type="dxa"/>
          </w:tcPr>
          <w:p w14:paraId="493A7743" w14:textId="77777777" w:rsidR="00695409" w:rsidRDefault="00C01318">
            <w:r>
              <w:t>Creates tables within the generated PDF reports.</w:t>
            </w:r>
          </w:p>
        </w:tc>
      </w:tr>
      <w:tr w:rsidR="00695409" w14:paraId="38BED793" w14:textId="77777777">
        <w:tc>
          <w:tcPr>
            <w:tcW w:w="3120" w:type="dxa"/>
          </w:tcPr>
          <w:p w14:paraId="4A18D838" w14:textId="77777777" w:rsidR="00695409" w:rsidRDefault="00C01318">
            <w:r>
              <w:t>lucide-react</w:t>
            </w:r>
          </w:p>
        </w:tc>
        <w:tc>
          <w:tcPr>
            <w:tcW w:w="3120" w:type="dxa"/>
          </w:tcPr>
          <w:p w14:paraId="362BB702" w14:textId="77777777" w:rsidR="00695409" w:rsidRDefault="00C01318">
            <w:r>
              <w:t>^1.16.0</w:t>
            </w:r>
          </w:p>
        </w:tc>
        <w:tc>
          <w:tcPr>
            <w:tcW w:w="3120" w:type="dxa"/>
          </w:tcPr>
          <w:p w14:paraId="46189953" w14:textId="77777777" w:rsidR="00695409" w:rsidRDefault="00C01318">
            <w:r>
              <w:t>Provides SVG icons used throughout the UI.</w:t>
            </w:r>
          </w:p>
        </w:tc>
      </w:tr>
      <w:tr w:rsidR="00695409" w14:paraId="5E6D449C" w14:textId="77777777">
        <w:tc>
          <w:tcPr>
            <w:tcW w:w="3120" w:type="dxa"/>
          </w:tcPr>
          <w:p w14:paraId="0C60F4C1" w14:textId="77777777" w:rsidR="00695409" w:rsidRDefault="00C01318">
            <w:r>
              <w:t>react</w:t>
            </w:r>
          </w:p>
        </w:tc>
        <w:tc>
          <w:tcPr>
            <w:tcW w:w="3120" w:type="dxa"/>
          </w:tcPr>
          <w:p w14:paraId="7E9A3520" w14:textId="77777777" w:rsidR="00695409" w:rsidRDefault="00C01318">
            <w:r>
              <w:t>^19.2.6</w:t>
            </w:r>
          </w:p>
        </w:tc>
        <w:tc>
          <w:tcPr>
            <w:tcW w:w="3120" w:type="dxa"/>
          </w:tcPr>
          <w:p w14:paraId="7CF5027C" w14:textId="77777777" w:rsidR="00695409" w:rsidRDefault="00C01318">
            <w:r>
              <w:t>Core library for building the user interface.</w:t>
            </w:r>
          </w:p>
        </w:tc>
      </w:tr>
      <w:tr w:rsidR="00695409" w14:paraId="10899BC2" w14:textId="77777777">
        <w:tc>
          <w:tcPr>
            <w:tcW w:w="3120" w:type="dxa"/>
          </w:tcPr>
          <w:p w14:paraId="20EDEE5D" w14:textId="77777777" w:rsidR="00695409" w:rsidRDefault="00C01318">
            <w:r>
              <w:t>react-dom</w:t>
            </w:r>
          </w:p>
        </w:tc>
        <w:tc>
          <w:tcPr>
            <w:tcW w:w="3120" w:type="dxa"/>
          </w:tcPr>
          <w:p w14:paraId="62DE2985" w14:textId="77777777" w:rsidR="00695409" w:rsidRDefault="00C01318">
            <w:r>
              <w:t>^19.2.6</w:t>
            </w:r>
          </w:p>
        </w:tc>
        <w:tc>
          <w:tcPr>
            <w:tcW w:w="3120" w:type="dxa"/>
          </w:tcPr>
          <w:p w14:paraId="7FEBB4F2" w14:textId="77777777" w:rsidR="00695409" w:rsidRDefault="00C01318">
            <w:r>
              <w:t>Renders React components into the DOM.</w:t>
            </w:r>
          </w:p>
        </w:tc>
      </w:tr>
      <w:tr w:rsidR="00695409" w14:paraId="270871B7" w14:textId="77777777">
        <w:tc>
          <w:tcPr>
            <w:tcW w:w="3120" w:type="dxa"/>
          </w:tcPr>
          <w:p w14:paraId="0A290E10" w14:textId="77777777" w:rsidR="00695409" w:rsidRDefault="00C01318">
            <w:r>
              <w:t>react-router-dom</w:t>
            </w:r>
          </w:p>
        </w:tc>
        <w:tc>
          <w:tcPr>
            <w:tcW w:w="3120" w:type="dxa"/>
          </w:tcPr>
          <w:p w14:paraId="640D3235" w14:textId="77777777" w:rsidR="00695409" w:rsidRDefault="00C01318">
            <w:r>
              <w:t>^7.15.1</w:t>
            </w:r>
          </w:p>
        </w:tc>
        <w:tc>
          <w:tcPr>
            <w:tcW w:w="3120" w:type="dxa"/>
          </w:tcPr>
          <w:p w14:paraId="694C1682" w14:textId="77777777" w:rsidR="00695409" w:rsidRDefault="00C01318">
            <w:r>
              <w:t>Handles client-side routing and navigation.</w:t>
            </w:r>
          </w:p>
        </w:tc>
      </w:tr>
      <w:tr w:rsidR="00695409" w14:paraId="71240C7E" w14:textId="77777777">
        <w:tc>
          <w:tcPr>
            <w:tcW w:w="3120" w:type="dxa"/>
          </w:tcPr>
          <w:p w14:paraId="09FF2FF5" w14:textId="77777777" w:rsidR="00695409" w:rsidRDefault="00C01318">
            <w:r>
              <w:t>recharts</w:t>
            </w:r>
          </w:p>
        </w:tc>
        <w:tc>
          <w:tcPr>
            <w:tcW w:w="3120" w:type="dxa"/>
          </w:tcPr>
          <w:p w14:paraId="1DDF7F81" w14:textId="77777777" w:rsidR="00695409" w:rsidRDefault="00C01318">
            <w:r>
              <w:t>^3.8.1</w:t>
            </w:r>
          </w:p>
        </w:tc>
        <w:tc>
          <w:tcPr>
            <w:tcW w:w="3120" w:type="dxa"/>
          </w:tcPr>
          <w:p w14:paraId="222B45DE" w14:textId="77777777" w:rsidR="00695409" w:rsidRDefault="00C01318">
            <w:r>
              <w:t>Renders charts for the ratio dashboard and trend analysis.</w:t>
            </w:r>
          </w:p>
        </w:tc>
      </w:tr>
      <w:tr w:rsidR="00695409" w14:paraId="4AF7E751" w14:textId="77777777">
        <w:tc>
          <w:tcPr>
            <w:tcW w:w="3120" w:type="dxa"/>
          </w:tcPr>
          <w:p w14:paraId="0F003C7B" w14:textId="77777777" w:rsidR="00695409" w:rsidRDefault="00C01318">
            <w:r>
              <w:t>tailwindcss</w:t>
            </w:r>
          </w:p>
        </w:tc>
        <w:tc>
          <w:tcPr>
            <w:tcW w:w="3120" w:type="dxa"/>
          </w:tcPr>
          <w:p w14:paraId="171CF428" w14:textId="77777777" w:rsidR="00695409" w:rsidRDefault="00C01318">
            <w:r>
              <w:t>^4.3.0</w:t>
            </w:r>
          </w:p>
        </w:tc>
        <w:tc>
          <w:tcPr>
            <w:tcW w:w="3120" w:type="dxa"/>
          </w:tcPr>
          <w:p w14:paraId="4CCF6238" w14:textId="77777777" w:rsidR="00695409" w:rsidRDefault="00C01318">
            <w:r>
              <w:t>Utility-first CSS framework for styling components.</w:t>
            </w:r>
          </w:p>
        </w:tc>
      </w:tr>
      <w:tr w:rsidR="00695409" w14:paraId="4CF0A69B" w14:textId="77777777">
        <w:tc>
          <w:tcPr>
            <w:tcW w:w="3120" w:type="dxa"/>
          </w:tcPr>
          <w:p w14:paraId="2371FAA0" w14:textId="77777777" w:rsidR="00695409" w:rsidRDefault="00C01318">
            <w:r>
              <w:t>xlsx-js-style</w:t>
            </w:r>
          </w:p>
        </w:tc>
        <w:tc>
          <w:tcPr>
            <w:tcW w:w="3120" w:type="dxa"/>
          </w:tcPr>
          <w:p w14:paraId="66A88AB0" w14:textId="77777777" w:rsidR="00695409" w:rsidRDefault="00C01318">
            <w:r>
              <w:t>^1.2.0</w:t>
            </w:r>
          </w:p>
        </w:tc>
        <w:tc>
          <w:tcPr>
            <w:tcW w:w="3120" w:type="dxa"/>
          </w:tcPr>
          <w:p w14:paraId="6ADD757A" w14:textId="77777777" w:rsidR="00695409" w:rsidRDefault="00C01318">
            <w:r>
              <w:t>Generates and styles Excel workbooks for financial data export.</w:t>
            </w:r>
          </w:p>
        </w:tc>
      </w:tr>
    </w:tbl>
    <w:p w14:paraId="473467B1" w14:textId="77777777" w:rsidR="00695409" w:rsidRDefault="00C01318">
      <w:pPr>
        <w:pStyle w:val="Heading1"/>
      </w:pPr>
      <w:r>
        <w:t>Project Structure</w:t>
      </w:r>
    </w:p>
    <w:p w14:paraId="407AD3E8" w14:textId="77777777" w:rsidR="00695409" w:rsidRDefault="00C01318">
      <w:pPr>
        <w:shd w:val="clear" w:color="auto" w:fill="F0F0F0"/>
      </w:pPr>
      <w:r>
        <w:rPr>
          <w:rFonts w:ascii="Courier New" w:hAnsi="Courier New"/>
          <w:sz w:val="20"/>
        </w:rPr>
        <w:t>src/</w:t>
      </w:r>
      <w:r>
        <w:rPr>
          <w:rFonts w:ascii="Courier New" w:hAnsi="Courier New"/>
          <w:sz w:val="20"/>
        </w:rPr>
        <w:br/>
        <w:t>├── App.tsx - Main application component and route definitions</w:t>
      </w:r>
      <w:r>
        <w:rPr>
          <w:rFonts w:ascii="Courier New" w:hAnsi="Courier New"/>
          <w:sz w:val="20"/>
        </w:rPr>
        <w:br/>
        <w:t>├── index.css - Global styles and Tailwind CSS configuration</w:t>
      </w:r>
      <w:r>
        <w:rPr>
          <w:rFonts w:ascii="Courier New" w:hAnsi="Courier New"/>
          <w:sz w:val="20"/>
        </w:rPr>
        <w:br/>
        <w:t>├── main.tsx - Application entry point</w:t>
      </w:r>
      <w:r>
        <w:rPr>
          <w:rFonts w:ascii="Courier New" w:hAnsi="Courier New"/>
          <w:sz w:val="20"/>
        </w:rPr>
        <w:br/>
      </w:r>
      <w:r>
        <w:rPr>
          <w:rFonts w:ascii="Courier New" w:hAnsi="Courier New"/>
          <w:sz w:val="20"/>
        </w:rPr>
        <w:t>├── vite-env.d.ts - TypeScript declarations for Vite</w:t>
      </w:r>
      <w:r>
        <w:rPr>
          <w:rFonts w:ascii="Courier New" w:hAnsi="Courier New"/>
          <w:sz w:val="20"/>
        </w:rPr>
        <w:br/>
        <w:t>├── components/</w:t>
      </w:r>
      <w:r>
        <w:rPr>
          <w:rFonts w:ascii="Courier New" w:hAnsi="Courier New"/>
          <w:sz w:val="20"/>
        </w:rPr>
        <w:br/>
        <w:t>│   ├── BorrowerHeaderStrip.tsx - Displays borrower summary details in results</w:t>
      </w:r>
      <w:r>
        <w:rPr>
          <w:rFonts w:ascii="Courier New" w:hAnsi="Courier New"/>
          <w:sz w:val="20"/>
        </w:rPr>
        <w:br/>
        <w:t>│   ├── ExcelExportTab.tsx - Renders Excel export preview and download button</w:t>
      </w:r>
      <w:r>
        <w:rPr>
          <w:rFonts w:ascii="Courier New" w:hAnsi="Courier New"/>
          <w:sz w:val="20"/>
        </w:rPr>
        <w:br/>
        <w:t>│   ├── KPICard.tsx - Reusable</w:t>
      </w:r>
      <w:r>
        <w:rPr>
          <w:rFonts w:ascii="Courier New" w:hAnsi="Courier New"/>
          <w:sz w:val="20"/>
        </w:rPr>
        <w:t xml:space="preserve"> KPI card component for dashboards</w:t>
      </w:r>
      <w:r>
        <w:rPr>
          <w:rFonts w:ascii="Courier New" w:hAnsi="Courier New"/>
          <w:sz w:val="20"/>
        </w:rPr>
        <w:br/>
        <w:t>│   ├── MinWidthGuard.tsx - Enforces minimum screen width for the application</w:t>
      </w:r>
      <w:r>
        <w:rPr>
          <w:rFonts w:ascii="Courier New" w:hAnsi="Courier New"/>
          <w:sz w:val="20"/>
        </w:rPr>
        <w:br/>
        <w:t>│   ├── NarrativeTab.tsx - Displays AI narrative and reliability scores</w:t>
      </w:r>
      <w:r>
        <w:rPr>
          <w:rFonts w:ascii="Courier New" w:hAnsi="Courier New"/>
          <w:sz w:val="20"/>
        </w:rPr>
        <w:br/>
        <w:t>│   ├── Navbar.tsx - Top navigation bar with breadcrumbs and notificati</w:t>
      </w:r>
      <w:r>
        <w:rPr>
          <w:rFonts w:ascii="Courier New" w:hAnsi="Courier New"/>
          <w:sz w:val="20"/>
        </w:rPr>
        <w:t>ons</w:t>
      </w:r>
      <w:r>
        <w:rPr>
          <w:rFonts w:ascii="Courier New" w:hAnsi="Courier New"/>
          <w:sz w:val="20"/>
        </w:rPr>
        <w:br/>
        <w:t>│   ├── ProcessingStrip.tsx - Animated progress strip for review processing</w:t>
      </w:r>
      <w:r>
        <w:rPr>
          <w:rFonts w:ascii="Courier New" w:hAnsi="Courier New"/>
          <w:sz w:val="20"/>
        </w:rPr>
        <w:br/>
        <w:t>│   ├── RatioDashboard.tsx - Renders financial charts and ratio summaries</w:t>
      </w:r>
      <w:r>
        <w:rPr>
          <w:rFonts w:ascii="Courier New" w:hAnsi="Courier New"/>
          <w:sz w:val="20"/>
        </w:rPr>
        <w:br/>
        <w:t>│   ├── Sidebar.tsx - Left sidebar navigation and review cycle progress</w:t>
      </w:r>
      <w:r>
        <w:rPr>
          <w:rFonts w:ascii="Courier New" w:hAnsi="Courier New"/>
          <w:sz w:val="20"/>
        </w:rPr>
        <w:br/>
        <w:t>│   └── Toast.tsx - Toast noti</w:t>
      </w:r>
      <w:r>
        <w:rPr>
          <w:rFonts w:ascii="Courier New" w:hAnsi="Courier New"/>
          <w:sz w:val="20"/>
        </w:rPr>
        <w:t>fication component</w:t>
      </w:r>
      <w:r>
        <w:rPr>
          <w:rFonts w:ascii="Courier New" w:hAnsi="Courier New"/>
          <w:sz w:val="20"/>
        </w:rPr>
        <w:br/>
        <w:t>├── mockData/</w:t>
      </w:r>
      <w:r>
        <w:rPr>
          <w:rFonts w:ascii="Courier New" w:hAnsi="Courier New"/>
          <w:sz w:val="20"/>
        </w:rPr>
        <w:br/>
        <w:t>│   ├── aqasem.ts - Mock data for A. Qasem &amp; Co.</w:t>
      </w:r>
      <w:r>
        <w:rPr>
          <w:rFonts w:ascii="Courier New" w:hAnsi="Courier New"/>
          <w:sz w:val="20"/>
        </w:rPr>
        <w:br/>
        <w:t>│   ├── howladar.ts - Mock data for Howladar Yunus &amp; Co.</w:t>
      </w:r>
      <w:r>
        <w:rPr>
          <w:rFonts w:ascii="Courier New" w:hAnsi="Courier New"/>
          <w:sz w:val="20"/>
        </w:rPr>
        <w:br/>
        <w:t>│   ├── islam.ts - Mock data for Islam Afzal Parsons &amp; Co.</w:t>
      </w:r>
      <w:r>
        <w:rPr>
          <w:rFonts w:ascii="Courier New" w:hAnsi="Courier New"/>
          <w:sz w:val="20"/>
        </w:rPr>
        <w:br/>
        <w:t>│   ├── rrh.ts - Mock data for Rahman Rahman Huq &amp; Co.</w:t>
      </w:r>
      <w:r>
        <w:rPr>
          <w:rFonts w:ascii="Courier New" w:hAnsi="Courier New"/>
          <w:sz w:val="20"/>
        </w:rPr>
        <w:br/>
        <w:t xml:space="preserve">│  </w:t>
      </w:r>
      <w:r>
        <w:rPr>
          <w:rFonts w:ascii="Courier New" w:hAnsi="Courier New"/>
          <w:sz w:val="20"/>
        </w:rPr>
        <w:t xml:space="preserve"> └── syful.ts - Mock data for Syful Shamsul Alam &amp; Co.</w:t>
      </w:r>
      <w:r>
        <w:rPr>
          <w:rFonts w:ascii="Courier New" w:hAnsi="Courier New"/>
          <w:sz w:val="20"/>
        </w:rPr>
        <w:br/>
        <w:t>├── pages/</w:t>
      </w:r>
      <w:r>
        <w:rPr>
          <w:rFonts w:ascii="Courier New" w:hAnsi="Courier New"/>
          <w:sz w:val="20"/>
        </w:rPr>
        <w:br/>
        <w:t>│   ├── DashboardPage.tsx - Main dashboard with KPIs and recent reviews</w:t>
      </w:r>
      <w:r>
        <w:rPr>
          <w:rFonts w:ascii="Courier New" w:hAnsi="Courier New"/>
          <w:sz w:val="20"/>
        </w:rPr>
        <w:br/>
        <w:t>│   ├── LoginPage.tsx - Authentication page</w:t>
      </w:r>
      <w:r>
        <w:rPr>
          <w:rFonts w:ascii="Courier New" w:hAnsi="Courier New"/>
          <w:sz w:val="20"/>
        </w:rPr>
        <w:br/>
        <w:t>│   ├── NewReviewPage.tsx - Form to upload statements and start a review</w:t>
      </w:r>
      <w:r>
        <w:rPr>
          <w:rFonts w:ascii="Courier New" w:hAnsi="Courier New"/>
          <w:sz w:val="20"/>
        </w:rPr>
        <w:br/>
        <w:t>│</w:t>
      </w:r>
      <w:r>
        <w:rPr>
          <w:rFonts w:ascii="Courier New" w:hAnsi="Courier New"/>
          <w:sz w:val="20"/>
        </w:rPr>
        <w:t xml:space="preserve">   ├── ResultsPage.tsx - Displays analysis results, charts, and exports</w:t>
      </w:r>
      <w:r>
        <w:rPr>
          <w:rFonts w:ascii="Courier New" w:hAnsi="Courier New"/>
          <w:sz w:val="20"/>
        </w:rPr>
        <w:br/>
        <w:t>│   ├── ReviewQueuePage.tsx - Shows pending and overdue credit reviews</w:t>
      </w:r>
      <w:r>
        <w:rPr>
          <w:rFonts w:ascii="Courier New" w:hAnsi="Courier New"/>
          <w:sz w:val="20"/>
        </w:rPr>
        <w:br/>
        <w:t>│   └── SettingsPage.tsx - Application settings and configurations</w:t>
      </w:r>
      <w:r>
        <w:rPr>
          <w:rFonts w:ascii="Courier New" w:hAnsi="Courier New"/>
          <w:sz w:val="20"/>
        </w:rPr>
        <w:br/>
        <w:t>├── types/</w:t>
      </w:r>
      <w:r>
        <w:rPr>
          <w:rFonts w:ascii="Courier New" w:hAnsi="Courier New"/>
          <w:sz w:val="20"/>
        </w:rPr>
        <w:br/>
        <w:t>│   └── mockData.ts - TypeScript de</w:t>
      </w:r>
      <w:r>
        <w:rPr>
          <w:rFonts w:ascii="Courier New" w:hAnsi="Courier New"/>
          <w:sz w:val="20"/>
        </w:rPr>
        <w:t>finitions for mock data structures</w:t>
      </w:r>
      <w:r>
        <w:rPr>
          <w:rFonts w:ascii="Courier New" w:hAnsi="Courier New"/>
          <w:sz w:val="20"/>
        </w:rPr>
        <w:br/>
        <w:t>└── utils/</w:t>
      </w:r>
      <w:r>
        <w:rPr>
          <w:rFonts w:ascii="Courier New" w:hAnsi="Courier New"/>
          <w:sz w:val="20"/>
        </w:rPr>
        <w:br/>
        <w:t xml:space="preserve">    ├── excelExporter.ts - Logic for generating multi-sheet Excel workbooks</w:t>
      </w:r>
      <w:r>
        <w:rPr>
          <w:rFonts w:ascii="Courier New" w:hAnsi="Courier New"/>
          <w:sz w:val="20"/>
        </w:rPr>
        <w:br/>
        <w:t xml:space="preserve">    ├── icrrBandStyles.ts - Utility functions for ICRR band styling</w:t>
      </w:r>
      <w:r>
        <w:rPr>
          <w:rFonts w:ascii="Courier New" w:hAnsi="Courier New"/>
          <w:sz w:val="20"/>
        </w:rPr>
        <w:br/>
        <w:t xml:space="preserve">    └── pdfExporter.ts - Logic for generating PDF credit review re</w:t>
      </w:r>
      <w:r>
        <w:rPr>
          <w:rFonts w:ascii="Courier New" w:hAnsi="Courier New"/>
          <w:sz w:val="20"/>
        </w:rPr>
        <w:t>ports</w:t>
      </w:r>
    </w:p>
    <w:p w14:paraId="4320469E" w14:textId="77777777" w:rsidR="00695409" w:rsidRDefault="00C01318">
      <w:pPr>
        <w:pStyle w:val="Heading1"/>
      </w:pPr>
      <w:r>
        <w:t>Pages &amp; Features</w:t>
      </w:r>
    </w:p>
    <w:p w14:paraId="48420559" w14:textId="77777777" w:rsidR="00695409" w:rsidRDefault="00C01318">
      <w:pPr>
        <w:pStyle w:val="Heading2"/>
      </w:pPr>
      <w:r>
        <w:t>Login Page (/)</w:t>
      </w:r>
    </w:p>
    <w:p w14:paraId="27D3FB07" w14:textId="77777777" w:rsidR="00695409" w:rsidRDefault="00C01318">
      <w:r>
        <w:t>Features a diagonal gradient background with decorative circles (5% white). The center card has a top border accent, brand mark, and floating label animations for the email and password inputs. It includes a password v</w:t>
      </w:r>
      <w:r>
        <w:t>isibility toggle, a shake animation on validation failure (empty fields), footer text, and navigates to the dashboard upon successful submission.</w:t>
      </w:r>
    </w:p>
    <w:p w14:paraId="0A521144" w14:textId="77777777" w:rsidR="00695409" w:rsidRDefault="00C01318">
      <w:pPr>
        <w:pStyle w:val="Heading2"/>
      </w:pPr>
      <w:r>
        <w:t>Dashboard (/dashboard)</w:t>
      </w:r>
    </w:p>
    <w:p w14:paraId="096D0964" w14:textId="77777777" w:rsidR="00695409" w:rsidRDefault="00C01318">
      <w:r>
        <w:t>Displays a time-aware greeting banner. Features 4 KPI cards with exact values and icons</w:t>
      </w:r>
      <w:r>
        <w:t>. Includes a review cycle progress bar. The Recent Reviews table shows columns for Borrower, Audit Firm, Sector, Review Date, ICRR, and Status, with search and sorting capabilities, a skeleton loader, row click navigation to results, and a "New Review" but</w:t>
      </w:r>
      <w:r>
        <w:t>ton.</w:t>
      </w:r>
    </w:p>
    <w:p w14:paraId="370DF0D5" w14:textId="77777777" w:rsidR="00695409" w:rsidRDefault="00C01318">
      <w:pPr>
        <w:pStyle w:val="Heading2"/>
      </w:pPr>
      <w:r>
        <w:t>New Review (/new-review)</w:t>
      </w:r>
    </w:p>
    <w:p w14:paraId="2CDCFB5D" w14:textId="77777777" w:rsidR="00695409" w:rsidRDefault="00C01318">
      <w:r>
        <w:t>Features a 3-step stepper (Firm, File, Analysis). Includes a dropdown to select from 5 audit firms with their subtitles. The PDF dropzone supports drag-over states, displays a file card upon upload, and has a remove button. Th</w:t>
      </w:r>
      <w:r>
        <w:t>e "Run Analysis" button is enabled only when a firm and file are selected. Clicking it triggers the ProcessingStrip with 3 step labels and exact timings (2000ms, 4000ms, 6000ms, navigating at 6800ms).</w:t>
      </w:r>
    </w:p>
    <w:p w14:paraId="34A3EC69" w14:textId="77777777" w:rsidR="00695409" w:rsidRDefault="00C01318">
      <w:pPr>
        <w:pStyle w:val="Heading2"/>
      </w:pPr>
      <w:r>
        <w:t>Review Queue (/review-queue)</w:t>
      </w:r>
    </w:p>
    <w:p w14:paraId="0FB158E1" w14:textId="77777777" w:rsidR="00695409" w:rsidRDefault="00C01318">
      <w:r>
        <w:t>Displays 4 stat cards. The</w:t>
      </w:r>
      <w:r>
        <w:t xml:space="preserve"> table includes columns for Priority, Borrower, Sector, Facility (BDT M), Analyst Assigned, Due Date, Days Remaining, Status, and Action. It lists all 12 borrower rows with their respective priority, status, analyst, and due date. Includes a search filter </w:t>
      </w:r>
      <w:r>
        <w:t>and a "Review" button that navigates to the New Review page.</w:t>
      </w:r>
    </w:p>
    <w:p w14:paraId="21AB7653" w14:textId="77777777" w:rsidR="00695409" w:rsidRDefault="00C01318">
      <w:pPr>
        <w:pStyle w:val="Heading2"/>
      </w:pPr>
      <w:r>
        <w:t>Results (/results)</w:t>
      </w:r>
    </w:p>
    <w:p w14:paraId="49E705AD" w14:textId="77777777" w:rsidR="00695409" w:rsidRDefault="00C01318">
      <w:r>
        <w:t>Includes an empty state guard if accessed without a selected review. The header features the borrower name, audit firm, review date, an ICRR badge with color logic for all 5 ba</w:t>
      </w:r>
      <w:r>
        <w:t>nds, and a "Download Report" button with a loading state. The borrower detail strip displays 6 columns. It has 3 tabs: Ratio Dashboard, Excel Export, and AI Narrative. The Download Report button generates a PDF.</w:t>
      </w:r>
    </w:p>
    <w:p w14:paraId="3ED1882D" w14:textId="77777777" w:rsidR="00695409" w:rsidRDefault="00C01318">
      <w:pPr>
        <w:pStyle w:val="Heading2"/>
      </w:pPr>
      <w:r>
        <w:t>Settings (/settings)</w:t>
      </w:r>
    </w:p>
    <w:p w14:paraId="07620762" w14:textId="77777777" w:rsidR="00695409" w:rsidRDefault="00C01318">
      <w:r>
        <w:t>Contains 5 left-nav sec</w:t>
      </w:r>
      <w:r>
        <w:t>tions: User Profile, Notifications (6 toggles), Audit Firm Templates (cards for all 5 supported audit firms), Regulatory Thresholds (table detailing thresholds for DSCR, Current Ratio, Debt/Equity, Interest Coverage, Leverage Ratio, and ICRR Score), and Sy</w:t>
      </w:r>
      <w:r>
        <w:t>stem Information (fields and 3 compliance certificates).</w:t>
      </w:r>
    </w:p>
    <w:p w14:paraId="56C1F6B1" w14:textId="77777777" w:rsidR="00695409" w:rsidRDefault="00C01318">
      <w:pPr>
        <w:pStyle w:val="Heading1"/>
      </w:pPr>
      <w:r>
        <w:t>Mock Data</w:t>
      </w:r>
    </w:p>
    <w:tbl>
      <w:tblPr>
        <w:tblStyle w:val="TableGrid"/>
        <w:tblW w:w="0" w:type="auto"/>
        <w:tblLook w:val="04A0" w:firstRow="1" w:lastRow="0" w:firstColumn="1" w:lastColumn="0" w:noHBand="0" w:noVBand="1"/>
      </w:tblPr>
      <w:tblGrid>
        <w:gridCol w:w="1091"/>
        <w:gridCol w:w="1357"/>
        <w:gridCol w:w="1328"/>
        <w:gridCol w:w="1733"/>
        <w:gridCol w:w="762"/>
        <w:gridCol w:w="1221"/>
        <w:gridCol w:w="943"/>
        <w:gridCol w:w="1141"/>
      </w:tblGrid>
      <w:tr w:rsidR="00695409" w14:paraId="09C44F1E" w14:textId="77777777">
        <w:tc>
          <w:tcPr>
            <w:tcW w:w="1170" w:type="dxa"/>
            <w:shd w:val="clear" w:color="auto" w:fill="0052A5"/>
          </w:tcPr>
          <w:p w14:paraId="6A21D810" w14:textId="77777777" w:rsidR="00695409" w:rsidRDefault="00C01318">
            <w:r>
              <w:rPr>
                <w:b/>
                <w:color w:val="FFFFFF"/>
              </w:rPr>
              <w:t>Firm Key</w:t>
            </w:r>
          </w:p>
        </w:tc>
        <w:tc>
          <w:tcPr>
            <w:tcW w:w="1170" w:type="dxa"/>
            <w:shd w:val="clear" w:color="auto" w:fill="0052A5"/>
          </w:tcPr>
          <w:p w14:paraId="2F6AD001" w14:textId="77777777" w:rsidR="00695409" w:rsidRDefault="00C01318">
            <w:r>
              <w:rPr>
                <w:b/>
                <w:color w:val="FFFFFF"/>
              </w:rPr>
              <w:t>Audit Firm</w:t>
            </w:r>
          </w:p>
        </w:tc>
        <w:tc>
          <w:tcPr>
            <w:tcW w:w="1170" w:type="dxa"/>
            <w:shd w:val="clear" w:color="auto" w:fill="0052A5"/>
          </w:tcPr>
          <w:p w14:paraId="2FBA894F" w14:textId="77777777" w:rsidR="00695409" w:rsidRDefault="00C01318">
            <w:r>
              <w:rPr>
                <w:b/>
                <w:color w:val="FFFFFF"/>
              </w:rPr>
              <w:t>Borrower</w:t>
            </w:r>
          </w:p>
        </w:tc>
        <w:tc>
          <w:tcPr>
            <w:tcW w:w="1170" w:type="dxa"/>
            <w:shd w:val="clear" w:color="auto" w:fill="0052A5"/>
          </w:tcPr>
          <w:p w14:paraId="22327876" w14:textId="77777777" w:rsidR="00695409" w:rsidRDefault="00C01318">
            <w:r>
              <w:rPr>
                <w:b/>
                <w:color w:val="FFFFFF"/>
              </w:rPr>
              <w:t>Sector</w:t>
            </w:r>
          </w:p>
        </w:tc>
        <w:tc>
          <w:tcPr>
            <w:tcW w:w="1170" w:type="dxa"/>
            <w:shd w:val="clear" w:color="auto" w:fill="0052A5"/>
          </w:tcPr>
          <w:p w14:paraId="05441BC4" w14:textId="77777777" w:rsidR="00695409" w:rsidRDefault="00C01318">
            <w:r>
              <w:rPr>
                <w:b/>
                <w:color w:val="FFFFFF"/>
              </w:rPr>
              <w:t>ICRR Score</w:t>
            </w:r>
          </w:p>
        </w:tc>
        <w:tc>
          <w:tcPr>
            <w:tcW w:w="1170" w:type="dxa"/>
            <w:shd w:val="clear" w:color="auto" w:fill="0052A5"/>
          </w:tcPr>
          <w:p w14:paraId="20E9D9F7" w14:textId="77777777" w:rsidR="00695409" w:rsidRDefault="00C01318">
            <w:r>
              <w:rPr>
                <w:b/>
                <w:color w:val="FFFFFF"/>
              </w:rPr>
              <w:t>ICRR Band</w:t>
            </w:r>
          </w:p>
        </w:tc>
        <w:tc>
          <w:tcPr>
            <w:tcW w:w="1170" w:type="dxa"/>
            <w:shd w:val="clear" w:color="auto" w:fill="0052A5"/>
          </w:tcPr>
          <w:p w14:paraId="465B8F34" w14:textId="77777777" w:rsidR="00695409" w:rsidRDefault="00C01318">
            <w:r>
              <w:rPr>
                <w:b/>
                <w:color w:val="FFFFFF"/>
              </w:rPr>
              <w:t>Facility Limit</w:t>
            </w:r>
          </w:p>
        </w:tc>
        <w:tc>
          <w:tcPr>
            <w:tcW w:w="1170" w:type="dxa"/>
            <w:shd w:val="clear" w:color="auto" w:fill="0052A5"/>
          </w:tcPr>
          <w:p w14:paraId="419199C1" w14:textId="77777777" w:rsidR="00695409" w:rsidRDefault="00C01318">
            <w:r>
              <w:rPr>
                <w:b/>
                <w:color w:val="FFFFFF"/>
              </w:rPr>
              <w:t>Covenant Breaches</w:t>
            </w:r>
          </w:p>
        </w:tc>
      </w:tr>
      <w:tr w:rsidR="00695409" w14:paraId="5AD36AC6" w14:textId="77777777">
        <w:tc>
          <w:tcPr>
            <w:tcW w:w="1170" w:type="dxa"/>
          </w:tcPr>
          <w:p w14:paraId="4B1BE8BF" w14:textId="77777777" w:rsidR="00695409" w:rsidRDefault="00C01318">
            <w:r>
              <w:t>aqasem</w:t>
            </w:r>
          </w:p>
        </w:tc>
        <w:tc>
          <w:tcPr>
            <w:tcW w:w="1170" w:type="dxa"/>
          </w:tcPr>
          <w:p w14:paraId="08BCBFBB" w14:textId="77777777" w:rsidR="00695409" w:rsidRDefault="00C01318">
            <w:r>
              <w:t>A. Qasem &amp; Co. Chartered Accountants</w:t>
            </w:r>
          </w:p>
        </w:tc>
        <w:tc>
          <w:tcPr>
            <w:tcW w:w="1170" w:type="dxa"/>
          </w:tcPr>
          <w:p w14:paraId="4C142254" w14:textId="77777777" w:rsidR="00695409" w:rsidRDefault="00C01318">
            <w:r>
              <w:t>Anwar Textile Mills Ltd.</w:t>
            </w:r>
          </w:p>
        </w:tc>
        <w:tc>
          <w:tcPr>
            <w:tcW w:w="1170" w:type="dxa"/>
          </w:tcPr>
          <w:p w14:paraId="3B75CF9A" w14:textId="77777777" w:rsidR="00695409" w:rsidRDefault="00C01318">
            <w:r>
              <w:t xml:space="preserve">Ready Made Garments </w:t>
            </w:r>
            <w:r>
              <w:t>(RMG)</w:t>
            </w:r>
          </w:p>
        </w:tc>
        <w:tc>
          <w:tcPr>
            <w:tcW w:w="1170" w:type="dxa"/>
          </w:tcPr>
          <w:p w14:paraId="31AA0DAE" w14:textId="77777777" w:rsidR="00695409" w:rsidRDefault="00C01318">
            <w:r>
              <w:t>72</w:t>
            </w:r>
          </w:p>
        </w:tc>
        <w:tc>
          <w:tcPr>
            <w:tcW w:w="1170" w:type="dxa"/>
          </w:tcPr>
          <w:p w14:paraId="63DB91AB" w14:textId="77777777" w:rsidR="00695409" w:rsidRDefault="00C01318">
            <w:r>
              <w:t>Good</w:t>
            </w:r>
          </w:p>
        </w:tc>
        <w:tc>
          <w:tcPr>
            <w:tcW w:w="1170" w:type="dxa"/>
          </w:tcPr>
          <w:p w14:paraId="79703591" w14:textId="77777777" w:rsidR="00695409" w:rsidRDefault="00C01318">
            <w:r>
              <w:t>BDT 118.0 Million</w:t>
            </w:r>
          </w:p>
        </w:tc>
        <w:tc>
          <w:tcPr>
            <w:tcW w:w="1170" w:type="dxa"/>
          </w:tcPr>
          <w:p w14:paraId="60C403D2" w14:textId="77777777" w:rsidR="00695409" w:rsidRDefault="00C01318">
            <w:r>
              <w:t>0</w:t>
            </w:r>
          </w:p>
        </w:tc>
      </w:tr>
      <w:tr w:rsidR="00695409" w14:paraId="53E79467" w14:textId="77777777">
        <w:tc>
          <w:tcPr>
            <w:tcW w:w="1170" w:type="dxa"/>
          </w:tcPr>
          <w:p w14:paraId="7BB425D0" w14:textId="77777777" w:rsidR="00695409" w:rsidRDefault="00C01318">
            <w:r>
              <w:t>rrh</w:t>
            </w:r>
          </w:p>
        </w:tc>
        <w:tc>
          <w:tcPr>
            <w:tcW w:w="1170" w:type="dxa"/>
          </w:tcPr>
          <w:p w14:paraId="491B8E61" w14:textId="77777777" w:rsidR="00695409" w:rsidRDefault="00C01318">
            <w:r>
              <w:t>Rahman Rahman Huq &amp; Co. (KPMG Bangladesh)</w:t>
            </w:r>
          </w:p>
        </w:tc>
        <w:tc>
          <w:tcPr>
            <w:tcW w:w="1170" w:type="dxa"/>
          </w:tcPr>
          <w:p w14:paraId="4131F5C8" w14:textId="77777777" w:rsidR="00695409" w:rsidRDefault="00C01318">
            <w:r>
              <w:t>Bengal Agro Processing Ltd.</w:t>
            </w:r>
          </w:p>
        </w:tc>
        <w:tc>
          <w:tcPr>
            <w:tcW w:w="1170" w:type="dxa"/>
          </w:tcPr>
          <w:p w14:paraId="34AECBA1" w14:textId="77777777" w:rsidR="00695409" w:rsidRDefault="00C01318">
            <w:r>
              <w:t>Food &amp; Agro Processing</w:t>
            </w:r>
          </w:p>
        </w:tc>
        <w:tc>
          <w:tcPr>
            <w:tcW w:w="1170" w:type="dxa"/>
          </w:tcPr>
          <w:p w14:paraId="30C6AE64" w14:textId="77777777" w:rsidR="00695409" w:rsidRDefault="00C01318">
            <w:r>
              <w:t>65</w:t>
            </w:r>
          </w:p>
        </w:tc>
        <w:tc>
          <w:tcPr>
            <w:tcW w:w="1170" w:type="dxa"/>
          </w:tcPr>
          <w:p w14:paraId="511CF011" w14:textId="77777777" w:rsidR="00695409" w:rsidRDefault="00C01318">
            <w:r>
              <w:t>Acceptable</w:t>
            </w:r>
          </w:p>
        </w:tc>
        <w:tc>
          <w:tcPr>
            <w:tcW w:w="1170" w:type="dxa"/>
          </w:tcPr>
          <w:p w14:paraId="5E32AFCA" w14:textId="77777777" w:rsidR="00695409" w:rsidRDefault="00C01318">
            <w:r>
              <w:t>BDT 92.5 Million</w:t>
            </w:r>
          </w:p>
        </w:tc>
        <w:tc>
          <w:tcPr>
            <w:tcW w:w="1170" w:type="dxa"/>
          </w:tcPr>
          <w:p w14:paraId="598EBCA3" w14:textId="77777777" w:rsidR="00695409" w:rsidRDefault="00C01318">
            <w:r>
              <w:t>0</w:t>
            </w:r>
          </w:p>
        </w:tc>
      </w:tr>
      <w:tr w:rsidR="00695409" w14:paraId="3277FDB4" w14:textId="77777777">
        <w:tc>
          <w:tcPr>
            <w:tcW w:w="1170" w:type="dxa"/>
          </w:tcPr>
          <w:p w14:paraId="76350F6D" w14:textId="77777777" w:rsidR="00695409" w:rsidRDefault="00C01318">
            <w:r>
              <w:t>howladar</w:t>
            </w:r>
          </w:p>
        </w:tc>
        <w:tc>
          <w:tcPr>
            <w:tcW w:w="1170" w:type="dxa"/>
          </w:tcPr>
          <w:p w14:paraId="6C9DCAE5" w14:textId="77777777" w:rsidR="00695409" w:rsidRDefault="00C01318">
            <w:r>
              <w:t>M/S Howladar Yunus &amp; Co.</w:t>
            </w:r>
          </w:p>
        </w:tc>
        <w:tc>
          <w:tcPr>
            <w:tcW w:w="1170" w:type="dxa"/>
          </w:tcPr>
          <w:p w14:paraId="7C7DAE98" w14:textId="77777777" w:rsidR="00695409" w:rsidRDefault="00C01318">
            <w:r>
              <w:t>Padma Steel &amp; Engineering Ltd.</w:t>
            </w:r>
          </w:p>
        </w:tc>
        <w:tc>
          <w:tcPr>
            <w:tcW w:w="1170" w:type="dxa"/>
          </w:tcPr>
          <w:p w14:paraId="7CA003B6" w14:textId="77777777" w:rsidR="00695409" w:rsidRDefault="00C01318">
            <w:r>
              <w:t xml:space="preserve">Engineering &amp; Metal </w:t>
            </w:r>
            <w:r>
              <w:t>Fabrication</w:t>
            </w:r>
          </w:p>
        </w:tc>
        <w:tc>
          <w:tcPr>
            <w:tcW w:w="1170" w:type="dxa"/>
          </w:tcPr>
          <w:p w14:paraId="21BB5F1F" w14:textId="77777777" w:rsidR="00695409" w:rsidRDefault="00C01318">
            <w:r>
              <w:t>58</w:t>
            </w:r>
          </w:p>
        </w:tc>
        <w:tc>
          <w:tcPr>
            <w:tcW w:w="1170" w:type="dxa"/>
          </w:tcPr>
          <w:p w14:paraId="2C3CE16F" w14:textId="77777777" w:rsidR="00695409" w:rsidRDefault="00C01318">
            <w:r>
              <w:t>Marginal</w:t>
            </w:r>
          </w:p>
        </w:tc>
        <w:tc>
          <w:tcPr>
            <w:tcW w:w="1170" w:type="dxa"/>
          </w:tcPr>
          <w:p w14:paraId="36A12981" w14:textId="77777777" w:rsidR="00695409" w:rsidRDefault="00C01318">
            <w:r>
              <w:t>BDT 135.0 Million</w:t>
            </w:r>
          </w:p>
        </w:tc>
        <w:tc>
          <w:tcPr>
            <w:tcW w:w="1170" w:type="dxa"/>
          </w:tcPr>
          <w:p w14:paraId="5FC20CF5" w14:textId="77777777" w:rsidR="00695409" w:rsidRDefault="00C01318">
            <w:r>
              <w:t>2</w:t>
            </w:r>
          </w:p>
        </w:tc>
      </w:tr>
      <w:tr w:rsidR="00695409" w14:paraId="72C3F11C" w14:textId="77777777">
        <w:tc>
          <w:tcPr>
            <w:tcW w:w="1170" w:type="dxa"/>
          </w:tcPr>
          <w:p w14:paraId="404CAF0B" w14:textId="77777777" w:rsidR="00695409" w:rsidRDefault="00C01318">
            <w:r>
              <w:t>syful</w:t>
            </w:r>
          </w:p>
        </w:tc>
        <w:tc>
          <w:tcPr>
            <w:tcW w:w="1170" w:type="dxa"/>
          </w:tcPr>
          <w:p w14:paraId="58E40BDE" w14:textId="77777777" w:rsidR="00695409" w:rsidRDefault="00C01318">
            <w:r>
              <w:t>Syful Shamsul Alam &amp; Co.</w:t>
            </w:r>
          </w:p>
        </w:tc>
        <w:tc>
          <w:tcPr>
            <w:tcW w:w="1170" w:type="dxa"/>
          </w:tcPr>
          <w:p w14:paraId="3FA81971" w14:textId="77777777" w:rsidR="00695409" w:rsidRDefault="00C01318">
            <w:r>
              <w:t>Dhaka Pharma Industries Ltd.</w:t>
            </w:r>
          </w:p>
        </w:tc>
        <w:tc>
          <w:tcPr>
            <w:tcW w:w="1170" w:type="dxa"/>
          </w:tcPr>
          <w:p w14:paraId="2EE4DD11" w14:textId="77777777" w:rsidR="00695409" w:rsidRDefault="00C01318">
            <w:r>
              <w:t>Pharmaceuticals (Formulations)</w:t>
            </w:r>
          </w:p>
        </w:tc>
        <w:tc>
          <w:tcPr>
            <w:tcW w:w="1170" w:type="dxa"/>
          </w:tcPr>
          <w:p w14:paraId="1D01A6ED" w14:textId="77777777" w:rsidR="00695409" w:rsidRDefault="00C01318">
            <w:r>
              <w:t>79</w:t>
            </w:r>
          </w:p>
        </w:tc>
        <w:tc>
          <w:tcPr>
            <w:tcW w:w="1170" w:type="dxa"/>
          </w:tcPr>
          <w:p w14:paraId="636D8C17" w14:textId="77777777" w:rsidR="00695409" w:rsidRDefault="00C01318">
            <w:r>
              <w:t>Strong</w:t>
            </w:r>
          </w:p>
        </w:tc>
        <w:tc>
          <w:tcPr>
            <w:tcW w:w="1170" w:type="dxa"/>
          </w:tcPr>
          <w:p w14:paraId="7CA43ED2" w14:textId="77777777" w:rsidR="00695409" w:rsidRDefault="00C01318">
            <w:r>
              <w:t>BDT 165.0 Million</w:t>
            </w:r>
          </w:p>
        </w:tc>
        <w:tc>
          <w:tcPr>
            <w:tcW w:w="1170" w:type="dxa"/>
          </w:tcPr>
          <w:p w14:paraId="440AF0C8" w14:textId="77777777" w:rsidR="00695409" w:rsidRDefault="00C01318">
            <w:r>
              <w:t>0</w:t>
            </w:r>
          </w:p>
        </w:tc>
      </w:tr>
      <w:tr w:rsidR="00695409" w14:paraId="5A074982" w14:textId="77777777">
        <w:tc>
          <w:tcPr>
            <w:tcW w:w="1170" w:type="dxa"/>
          </w:tcPr>
          <w:p w14:paraId="6205B1CF" w14:textId="77777777" w:rsidR="00695409" w:rsidRDefault="00C01318">
            <w:r>
              <w:t>islam</w:t>
            </w:r>
          </w:p>
        </w:tc>
        <w:tc>
          <w:tcPr>
            <w:tcW w:w="1170" w:type="dxa"/>
          </w:tcPr>
          <w:p w14:paraId="0F834F1C" w14:textId="77777777" w:rsidR="00695409" w:rsidRDefault="00C01318">
            <w:r>
              <w:t>Islam Afzal Parsons &amp; Co.</w:t>
            </w:r>
          </w:p>
        </w:tc>
        <w:tc>
          <w:tcPr>
            <w:tcW w:w="1170" w:type="dxa"/>
          </w:tcPr>
          <w:p w14:paraId="3B7E90C8" w14:textId="77777777" w:rsidR="00695409" w:rsidRDefault="00C01318">
            <w:r>
              <w:t>Chittagong Shipping Services Ltd.</w:t>
            </w:r>
          </w:p>
        </w:tc>
        <w:tc>
          <w:tcPr>
            <w:tcW w:w="1170" w:type="dxa"/>
          </w:tcPr>
          <w:p w14:paraId="0185178F" w14:textId="77777777" w:rsidR="00695409" w:rsidRDefault="00C01318">
            <w:r>
              <w:t xml:space="preserve">Logistics &amp; </w:t>
            </w:r>
            <w:r>
              <w:t>Coastal Shipping</w:t>
            </w:r>
          </w:p>
        </w:tc>
        <w:tc>
          <w:tcPr>
            <w:tcW w:w="1170" w:type="dxa"/>
          </w:tcPr>
          <w:p w14:paraId="69E586B0" w14:textId="77777777" w:rsidR="00695409" w:rsidRDefault="00C01318">
            <w:r>
              <w:t>61</w:t>
            </w:r>
          </w:p>
        </w:tc>
        <w:tc>
          <w:tcPr>
            <w:tcW w:w="1170" w:type="dxa"/>
          </w:tcPr>
          <w:p w14:paraId="256D018E" w14:textId="77777777" w:rsidR="00695409" w:rsidRDefault="00C01318">
            <w:r>
              <w:t>Acceptable</w:t>
            </w:r>
          </w:p>
        </w:tc>
        <w:tc>
          <w:tcPr>
            <w:tcW w:w="1170" w:type="dxa"/>
          </w:tcPr>
          <w:p w14:paraId="61E16DF0" w14:textId="77777777" w:rsidR="00695409" w:rsidRDefault="00C01318">
            <w:r>
              <w:t>BDT 88.0 Million</w:t>
            </w:r>
          </w:p>
        </w:tc>
        <w:tc>
          <w:tcPr>
            <w:tcW w:w="1170" w:type="dxa"/>
          </w:tcPr>
          <w:p w14:paraId="204389B9" w14:textId="77777777" w:rsidR="00695409" w:rsidRDefault="00C01318">
            <w:r>
              <w:t>0</w:t>
            </w:r>
          </w:p>
        </w:tc>
      </w:tr>
    </w:tbl>
    <w:p w14:paraId="649BEF1E" w14:textId="77777777" w:rsidR="00695409" w:rsidRDefault="00C01318">
      <w:r>
        <w:br/>
        <w:t>The MockData TypeScript type shape includes:</w:t>
      </w:r>
    </w:p>
    <w:p w14:paraId="4D314B82" w14:textId="77777777" w:rsidR="00695409" w:rsidRDefault="00C01318">
      <w:pPr>
        <w:pStyle w:val="ListBullet"/>
      </w:pPr>
      <w:r>
        <w:t>borrower (string)</w:t>
      </w:r>
    </w:p>
    <w:p w14:paraId="772A8C7F" w14:textId="77777777" w:rsidR="00695409" w:rsidRDefault="00C01318">
      <w:pPr>
        <w:pStyle w:val="ListBullet"/>
      </w:pPr>
      <w:r>
        <w:t>auditFirm (string)</w:t>
      </w:r>
    </w:p>
    <w:p w14:paraId="365CCEE9" w14:textId="77777777" w:rsidR="00695409" w:rsidRDefault="00C01318">
      <w:pPr>
        <w:pStyle w:val="ListBullet"/>
      </w:pPr>
      <w:r>
        <w:t>reviewDate (string)</w:t>
      </w:r>
    </w:p>
    <w:p w14:paraId="217A9457" w14:textId="77777777" w:rsidR="00695409" w:rsidRDefault="00C01318">
      <w:pPr>
        <w:pStyle w:val="ListBullet"/>
      </w:pPr>
      <w:r>
        <w:t>financials: Object with years, revenue, costOfSales, grossProfit, operatingExpenses, ebitda, netProfit</w:t>
      </w:r>
      <w:r>
        <w:t>, totalAssets, totalLiabilities, equity, currentAssets, currentLiabilities, operatingCF, debtService</w:t>
      </w:r>
    </w:p>
    <w:p w14:paraId="7699A352" w14:textId="77777777" w:rsidR="00695409" w:rsidRDefault="00C01318">
      <w:pPr>
        <w:pStyle w:val="ListBullet"/>
      </w:pPr>
      <w:r>
        <w:t>ratios: Object with dscr, currentRatio, debtToEquity, interestCoverage, leverageRatio</w:t>
      </w:r>
    </w:p>
    <w:p w14:paraId="7F1B7932" w14:textId="77777777" w:rsidR="00695409" w:rsidRDefault="00C01318">
      <w:pPr>
        <w:pStyle w:val="ListBullet"/>
      </w:pPr>
      <w:r>
        <w:t>regulatory: Object with icrrScore, icrrBand, fssScore, crgScore, cove</w:t>
      </w:r>
      <w:r>
        <w:t>nantBreaches, earlyWarnings</w:t>
      </w:r>
    </w:p>
    <w:p w14:paraId="5C056F78" w14:textId="77777777" w:rsidR="00695409" w:rsidRDefault="00C01318">
      <w:pPr>
        <w:pStyle w:val="ListBullet"/>
      </w:pPr>
      <w:r>
        <w:t>narrative (string)</w:t>
      </w:r>
    </w:p>
    <w:p w14:paraId="5792359E" w14:textId="77777777" w:rsidR="00695409" w:rsidRDefault="00C01318">
      <w:pPr>
        <w:pStyle w:val="ListBullet"/>
      </w:pPr>
      <w:r>
        <w:t>borrowerDetails: Object with sector, subSector, established, employees, facilityType, facilityLimit, facilityOutstanding, lastReviewDate, nextReviewDue, relationshipYears, collateral</w:t>
      </w:r>
    </w:p>
    <w:p w14:paraId="1F1FE53D" w14:textId="77777777" w:rsidR="00695409" w:rsidRDefault="00C01318">
      <w:pPr>
        <w:pStyle w:val="ListBullet"/>
      </w:pPr>
      <w:r>
        <w:t xml:space="preserve">reliabilityScores: Object </w:t>
      </w:r>
      <w:r>
        <w:t>with completeness, consistency, auditorQuality, cashFlowMatch, taxAlignment, total, assessment</w:t>
      </w:r>
    </w:p>
    <w:p w14:paraId="25AA0BC9" w14:textId="77777777" w:rsidR="00695409" w:rsidRDefault="00C01318">
      <w:pPr>
        <w:pStyle w:val="ListBullet"/>
      </w:pPr>
      <w:r>
        <w:t>narrativeSections: Object with executiveSummary, financialPerformance, liquidityWorkingCapital, leverageDebt, covenantCompliance, riskFlags, recommendation</w:t>
      </w:r>
    </w:p>
    <w:p w14:paraId="0792E175" w14:textId="77777777" w:rsidR="00695409" w:rsidRDefault="00C01318">
      <w:pPr>
        <w:pStyle w:val="Heading1"/>
      </w:pPr>
      <w:r>
        <w:t>Outpu</w:t>
      </w:r>
      <w:r>
        <w:t>t Modules</w:t>
      </w:r>
    </w:p>
    <w:p w14:paraId="28E00B44" w14:textId="77777777" w:rsidR="00695409" w:rsidRDefault="00C01318">
      <w:pPr>
        <w:pStyle w:val="Heading2"/>
      </w:pPr>
      <w:r>
        <w:t>Excel Export</w:t>
      </w:r>
    </w:p>
    <w:p w14:paraId="361CE74D" w14:textId="77777777" w:rsidR="00695409" w:rsidRDefault="00C01318">
      <w:r>
        <w:t>Contains 5 sheets: Spread Financials, Ratio Analysis, ICRR Working Paper, FSS-CRG Calculation, Trend Analysis. Mention YoY % column, number formatting (BDT #,##0 and 0.0%), filename format (CreditReview_[Borrower]_[YYYYMMDD].xlsx).</w:t>
      </w:r>
    </w:p>
    <w:p w14:paraId="0DE24646" w14:textId="77777777" w:rsidR="00695409" w:rsidRDefault="00C01318">
      <w:pPr>
        <w:pStyle w:val="Heading2"/>
      </w:pPr>
      <w:r>
        <w:t>P</w:t>
      </w:r>
      <w:r>
        <w:t>DF Export</w:t>
      </w:r>
    </w:p>
    <w:p w14:paraId="3CAEA1FA" w14:textId="77777777" w:rsidR="00695409" w:rsidRDefault="00C01318">
      <w:r>
        <w:t>Contains 4 pages: Cover Page, Financial Statements, Ratio Analysis &amp; Regulatory Assessment, Credit Review Narrative. Mention cover page fields, branding, filename format.</w:t>
      </w:r>
    </w:p>
    <w:p w14:paraId="1288D6A7" w14:textId="77777777" w:rsidR="00695409" w:rsidRDefault="00C01318">
      <w:pPr>
        <w:pStyle w:val="Heading2"/>
      </w:pPr>
      <w:r>
        <w:t>AI Narrative</w:t>
      </w:r>
    </w:p>
    <w:p w14:paraId="269F8E8D" w14:textId="77777777" w:rsidR="00695409" w:rsidRDefault="00C01318">
      <w:r>
        <w:t xml:space="preserve">Contains 7 memo sections. Mention reliability score </w:t>
      </w:r>
      <w:r>
        <w:t>segments (all 5), banner color logic (Green for &gt;=75, Amber for &gt;=60, Red for &lt;60), word count, clipboard copy, approve toast.</w:t>
      </w:r>
    </w:p>
    <w:p w14:paraId="522C6E72" w14:textId="77777777" w:rsidR="00695409" w:rsidRDefault="00C01318">
      <w:pPr>
        <w:pStyle w:val="Heading1"/>
      </w:pPr>
      <w:r>
        <w:t>Docker Setup</w:t>
      </w:r>
    </w:p>
    <w:p w14:paraId="0D95E03C" w14:textId="77777777" w:rsidR="00695409" w:rsidRDefault="00C01318">
      <w:pPr>
        <w:shd w:val="clear" w:color="auto" w:fill="F0F0F0"/>
      </w:pPr>
      <w:r>
        <w:rPr>
          <w:rFonts w:ascii="Courier New" w:hAnsi="Courier New"/>
          <w:sz w:val="20"/>
        </w:rPr>
        <w:t>docker build -t brac-credit-demo .</w:t>
      </w:r>
      <w:r>
        <w:rPr>
          <w:rFonts w:ascii="Courier New" w:hAnsi="Courier New"/>
          <w:sz w:val="20"/>
        </w:rPr>
        <w:br/>
        <w:t>docker run -p 3000:80 brac-credit-demo</w:t>
      </w:r>
      <w:r>
        <w:rPr>
          <w:rFonts w:ascii="Courier New" w:hAnsi="Courier New"/>
          <w:sz w:val="20"/>
        </w:rPr>
        <w:br/>
        <w:t>docker-compose up --build</w:t>
      </w:r>
    </w:p>
    <w:p w14:paraId="49C828F3" w14:textId="77777777" w:rsidR="00695409" w:rsidRDefault="00C01318">
      <w:r>
        <w:t xml:space="preserve">Runs on port 80 </w:t>
      </w:r>
      <w:r>
        <w:t>inside, mapped to 3000. Nginx SPA fallback config is try_files $uri $uri/ /index.html;.</w:t>
      </w:r>
    </w:p>
    <w:p w14:paraId="1ED7D33D" w14:textId="77777777" w:rsidR="00695409" w:rsidRDefault="00C01318">
      <w:pPr>
        <w:pStyle w:val="Heading1"/>
      </w:pPr>
      <w:r>
        <w:t>Vercel Deployment</w:t>
      </w:r>
    </w:p>
    <w:p w14:paraId="58CF8048" w14:textId="77777777" w:rsidR="00695409" w:rsidRDefault="00C01318">
      <w:r>
        <w:t>Auto-deploy works by pushing to main -&gt; Vercel redeploys. Rewrite rule: { "source": "/(.*)", "destination": "/index.html" }. Framework preset: Vite, b</w:t>
      </w:r>
      <w:r>
        <w:t>uild command: npm run build, output directory: dist.</w:t>
      </w:r>
    </w:p>
    <w:p w14:paraId="2B79420B" w14:textId="77777777" w:rsidR="00695409" w:rsidRDefault="00C01318">
      <w:pPr>
        <w:pStyle w:val="Heading1"/>
      </w:pPr>
      <w:r>
        <w:t>Local Development</w:t>
      </w:r>
    </w:p>
    <w:p w14:paraId="65E76B72" w14:textId="77777777" w:rsidR="00695409" w:rsidRDefault="00C01318">
      <w:pPr>
        <w:shd w:val="clear" w:color="auto" w:fill="F0F0F0"/>
      </w:pPr>
      <w:r>
        <w:rPr>
          <w:rFonts w:ascii="Courier New" w:hAnsi="Courier New"/>
          <w:sz w:val="20"/>
        </w:rPr>
        <w:t>npm install</w:t>
      </w:r>
      <w:r>
        <w:rPr>
          <w:rFonts w:ascii="Courier New" w:hAnsi="Courier New"/>
          <w:sz w:val="20"/>
        </w:rPr>
        <w:br/>
        <w:t>npm run dev</w:t>
      </w:r>
      <w:r>
        <w:rPr>
          <w:rFonts w:ascii="Courier New" w:hAnsi="Courier New"/>
          <w:sz w:val="20"/>
        </w:rPr>
        <w:br/>
        <w:t>npm run build</w:t>
      </w:r>
      <w:r>
        <w:rPr>
          <w:rFonts w:ascii="Courier New" w:hAnsi="Courier New"/>
          <w:sz w:val="20"/>
        </w:rPr>
        <w:br/>
        <w:t>npm run preview</w:t>
      </w:r>
    </w:p>
    <w:p w14:paraId="7A11F13E" w14:textId="77777777" w:rsidR="00695409" w:rsidRDefault="00C01318">
      <w:r>
        <w:t>Runs on port 5173.</w:t>
      </w:r>
    </w:p>
    <w:p w14:paraId="1D60C8E4" w14:textId="77777777" w:rsidR="00695409" w:rsidRDefault="00C01318">
      <w:pPr>
        <w:pStyle w:val="Heading1"/>
      </w:pPr>
      <w:r>
        <w:t>Demo Credentials</w:t>
      </w:r>
    </w:p>
    <w:p w14:paraId="2507A5ED" w14:textId="77777777" w:rsidR="00695409" w:rsidRDefault="00C01318">
      <w:r>
        <w:t>Any email + any password. No real authentication.</w:t>
      </w:r>
    </w:p>
    <w:p w14:paraId="3175396F" w14:textId="77777777" w:rsidR="00695409" w:rsidRDefault="00C01318">
      <w:pPr>
        <w:pStyle w:val="Heading1"/>
      </w:pPr>
      <w:r>
        <w:t>Known Limitations</w:t>
      </w:r>
    </w:p>
    <w:p w14:paraId="792923F9" w14:textId="77777777" w:rsidR="00695409" w:rsidRDefault="00C01318">
      <w:r>
        <w:t xml:space="preserve">No real PDF </w:t>
      </w:r>
      <w:r>
        <w:t>parsing, no backend, single JS chunk size warning, demo-only data.</w:t>
      </w:r>
    </w:p>
    <w:sectPr w:rsidR="00695409"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E3BB4" w14:textId="77777777" w:rsidR="00C01318" w:rsidRDefault="00C01318">
      <w:pPr>
        <w:spacing w:after="0" w:line="240" w:lineRule="auto"/>
      </w:pPr>
      <w:r>
        <w:separator/>
      </w:r>
    </w:p>
  </w:endnote>
  <w:endnote w:type="continuationSeparator" w:id="0">
    <w:p w14:paraId="6C98D705" w14:textId="77777777" w:rsidR="00C01318" w:rsidRDefault="00C01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3FCF0" w14:textId="77777777" w:rsidR="00C01318" w:rsidRDefault="00C01318">
      <w:pPr>
        <w:spacing w:after="0" w:line="240" w:lineRule="auto"/>
      </w:pPr>
      <w:r>
        <w:separator/>
      </w:r>
    </w:p>
  </w:footnote>
  <w:footnote w:type="continuationSeparator" w:id="0">
    <w:p w14:paraId="4DBBAA35" w14:textId="77777777" w:rsidR="00C01318" w:rsidRDefault="00C013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66A"/>
    <w:rsid w:val="0029639D"/>
    <w:rsid w:val="00326F90"/>
    <w:rsid w:val="00695409"/>
    <w:rsid w:val="00AA1D8D"/>
    <w:rsid w:val="00B47730"/>
    <w:rsid w:val="00C0131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8A00E"/>
  <w14:defaultImageDpi w14:val="300"/>
  <w15:docId w15:val="{1D00A427-0268-4F0B-B34A-5EC984D30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 Amin</cp:lastModifiedBy>
  <cp:revision>2</cp:revision>
  <dcterms:created xsi:type="dcterms:W3CDTF">2013-12-23T23:15:00Z</dcterms:created>
  <dcterms:modified xsi:type="dcterms:W3CDTF">2026-05-15T08:07:00Z</dcterms:modified>
  <cp:category/>
</cp:coreProperties>
</file>