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336" w14:textId="61E898B0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2A107A">
        <w:rPr>
          <w:b/>
        </w:rPr>
        <w:t>1</w:t>
      </w:r>
      <w:r w:rsidR="00A14BD0">
        <w:rPr>
          <w:b/>
        </w:rPr>
        <w:t>6</w:t>
      </w:r>
      <w:r w:rsidR="002A107A">
        <w:rPr>
          <w:b/>
        </w:rPr>
        <w:t>.</w:t>
      </w:r>
      <w:r w:rsidR="00A14BD0">
        <w:rPr>
          <w:b/>
        </w:rPr>
        <w:t>1</w:t>
      </w:r>
    </w:p>
    <w:p w14:paraId="61ED7DA0" w14:textId="77777777" w:rsidR="00142415" w:rsidRPr="00DA2C6C" w:rsidRDefault="00142415" w:rsidP="00142415"/>
    <w:p w14:paraId="42C15F2D" w14:textId="77777777" w:rsidR="00A14BD0" w:rsidRPr="00A14BD0" w:rsidRDefault="00A14BD0" w:rsidP="00A14BD0">
      <w:pPr>
        <w:pStyle w:val="Heading1"/>
        <w:numPr>
          <w:ilvl w:val="0"/>
          <w:numId w:val="9"/>
        </w:numPr>
        <w:rPr>
          <w:rFonts w:asciiTheme="minorHAnsi" w:hAnsiTheme="minorHAnsi"/>
          <w:b w:val="0"/>
          <w:i/>
          <w:iCs/>
        </w:rPr>
      </w:pPr>
      <w:r w:rsidRPr="00A14BD0">
        <w:rPr>
          <w:rFonts w:asciiTheme="minorHAnsi" w:hAnsiTheme="minorHAnsi"/>
          <w:b w:val="0"/>
          <w:i/>
          <w:iCs/>
        </w:rPr>
        <w:t xml:space="preserve">Using the </w:t>
      </w:r>
      <w:proofErr w:type="spellStart"/>
      <w:r w:rsidRPr="00A14BD0">
        <w:rPr>
          <w:rFonts w:asciiTheme="minorHAnsi" w:hAnsiTheme="minorHAnsi"/>
          <w:b w:val="0"/>
          <w:i/>
          <w:iCs/>
        </w:rPr>
        <w:t>GermanCredit</w:t>
      </w:r>
      <w:proofErr w:type="spellEnd"/>
      <w:r w:rsidRPr="00A14BD0">
        <w:rPr>
          <w:rFonts w:asciiTheme="minorHAnsi" w:hAnsiTheme="minorHAnsi"/>
          <w:b w:val="0"/>
          <w:i/>
          <w:iCs/>
        </w:rPr>
        <w:t xml:space="preserve"> data set </w:t>
      </w:r>
      <w:r w:rsidRPr="00A14BD0">
        <w:rPr>
          <w:rFonts w:ascii="Courier New" w:hAnsi="Courier New" w:cs="Courier New"/>
          <w:b w:val="0"/>
          <w:i/>
          <w:iCs/>
        </w:rPr>
        <w:t>germancredit.txt</w:t>
      </w:r>
      <w:r w:rsidRPr="00A14BD0">
        <w:rPr>
          <w:rFonts w:asciiTheme="minorHAnsi" w:hAnsiTheme="minorHAnsi"/>
          <w:b w:val="0"/>
          <w:i/>
          <w:iCs/>
        </w:rPr>
        <w:t xml:space="preserve"> from </w:t>
      </w:r>
      <w:hyperlink r:id="rId7" w:history="1">
        <w:r w:rsidRPr="00A14BD0">
          <w:rPr>
            <w:rStyle w:val="Hyperlink"/>
            <w:rFonts w:asciiTheme="minorHAnsi" w:hAnsiTheme="minorHAnsi"/>
            <w:b w:val="0"/>
            <w:i/>
            <w:iCs/>
          </w:rPr>
          <w:t>http://archive.ics.uci.edu/ml/machine-learning-databases/statlog/german</w:t>
        </w:r>
      </w:hyperlink>
      <w:r w:rsidRPr="00A14BD0">
        <w:rPr>
          <w:rFonts w:asciiTheme="minorHAnsi" w:hAnsiTheme="minorHAnsi"/>
          <w:b w:val="0"/>
          <w:i/>
          <w:iCs/>
        </w:rPr>
        <w:t xml:space="preserve"> / (description at </w:t>
      </w:r>
      <w:hyperlink r:id="rId8" w:history="1">
        <w:r w:rsidRPr="00A14BD0">
          <w:rPr>
            <w:rStyle w:val="Hyperlink"/>
            <w:rFonts w:asciiTheme="minorHAnsi" w:hAnsiTheme="minorHAnsi"/>
            <w:b w:val="0"/>
            <w:i/>
            <w:iCs/>
          </w:rPr>
          <w:t>http://archive.ics.uci.edu/ml/datasets/Statlog+%28German+Credit+Data%29</w:t>
        </w:r>
      </w:hyperlink>
      <w:r w:rsidRPr="00A14BD0">
        <w:rPr>
          <w:rFonts w:asciiTheme="minorHAnsi" w:hAnsiTheme="minorHAnsi"/>
          <w:b w:val="0"/>
          <w:i/>
          <w:iCs/>
        </w:rPr>
        <w:t xml:space="preserve"> ), use the </w:t>
      </w:r>
      <w:proofErr w:type="spellStart"/>
      <w:r w:rsidRPr="00A14BD0">
        <w:rPr>
          <w:rFonts w:asciiTheme="minorHAnsi" w:hAnsiTheme="minorHAnsi"/>
          <w:b w:val="0"/>
          <w:i/>
          <w:iCs/>
        </w:rPr>
        <w:t>xgboost</w:t>
      </w:r>
      <w:proofErr w:type="spellEnd"/>
      <w:r w:rsidRPr="00A14BD0">
        <w:rPr>
          <w:rFonts w:asciiTheme="minorHAnsi" w:hAnsiTheme="minorHAnsi"/>
          <w:b w:val="0"/>
          <w:i/>
          <w:iCs/>
        </w:rPr>
        <w:t xml:space="preserve"> gradient boosting algorithm to find a good classifier. Use R’s </w:t>
      </w:r>
      <w:proofErr w:type="spellStart"/>
      <w:r w:rsidRPr="00A14BD0">
        <w:rPr>
          <w:rFonts w:asciiTheme="minorHAnsi" w:hAnsiTheme="minorHAnsi"/>
          <w:b w:val="0"/>
          <w:i/>
          <w:iCs/>
        </w:rPr>
        <w:t>xgboost</w:t>
      </w:r>
      <w:proofErr w:type="spellEnd"/>
      <w:r w:rsidRPr="00A14BD0">
        <w:rPr>
          <w:rFonts w:asciiTheme="minorHAnsi" w:hAnsiTheme="minorHAnsi"/>
          <w:b w:val="0"/>
          <w:i/>
          <w:iCs/>
        </w:rPr>
        <w:t xml:space="preserve"> function and set the objective to “</w:t>
      </w:r>
      <w:proofErr w:type="spellStart"/>
      <w:proofErr w:type="gramStart"/>
      <w:r w:rsidRPr="00A14BD0">
        <w:rPr>
          <w:rFonts w:asciiTheme="minorHAnsi" w:hAnsiTheme="minorHAnsi"/>
          <w:b w:val="0"/>
          <w:i/>
          <w:iCs/>
        </w:rPr>
        <w:t>binary:logistic</w:t>
      </w:r>
      <w:proofErr w:type="spellEnd"/>
      <w:proofErr w:type="gramEnd"/>
      <w:r w:rsidRPr="00A14BD0">
        <w:rPr>
          <w:rFonts w:asciiTheme="minorHAnsi" w:hAnsiTheme="minorHAnsi"/>
          <w:b w:val="0"/>
          <w:i/>
          <w:iCs/>
        </w:rPr>
        <w:t>.”</w:t>
      </w:r>
    </w:p>
    <w:p w14:paraId="0F6D1173" w14:textId="77777777" w:rsidR="00A14BD0" w:rsidRPr="00A14BD0" w:rsidRDefault="00A14BD0" w:rsidP="00A14BD0">
      <w:pPr>
        <w:pStyle w:val="ListParagraph"/>
        <w:numPr>
          <w:ilvl w:val="0"/>
          <w:numId w:val="13"/>
        </w:numPr>
        <w:rPr>
          <w:i/>
          <w:iCs/>
        </w:rPr>
      </w:pPr>
      <w:r w:rsidRPr="00A14BD0">
        <w:rPr>
          <w:i/>
          <w:iCs/>
        </w:rPr>
        <w:t xml:space="preserve">Unlike </w:t>
      </w:r>
      <w:proofErr w:type="spellStart"/>
      <w:r w:rsidRPr="00A14BD0">
        <w:rPr>
          <w:i/>
          <w:iCs/>
        </w:rPr>
        <w:t>glm</w:t>
      </w:r>
      <w:proofErr w:type="spellEnd"/>
      <w:r w:rsidRPr="00A14BD0">
        <w:rPr>
          <w:i/>
          <w:iCs/>
        </w:rPr>
        <w:t xml:space="preserve">, </w:t>
      </w:r>
      <w:proofErr w:type="spellStart"/>
      <w:r w:rsidRPr="00A14BD0">
        <w:rPr>
          <w:i/>
          <w:iCs/>
        </w:rPr>
        <w:t>xgboost</w:t>
      </w:r>
      <w:proofErr w:type="spellEnd"/>
      <w:r w:rsidRPr="00A14BD0">
        <w:rPr>
          <w:i/>
          <w:iCs/>
        </w:rPr>
        <w:t xml:space="preserve"> will not create categorical columns for you. One way to approach this is to use </w:t>
      </w:r>
      <w:proofErr w:type="spellStart"/>
      <w:r w:rsidRPr="00A14BD0">
        <w:rPr>
          <w:i/>
          <w:iCs/>
        </w:rPr>
        <w:t>dummy_cols</w:t>
      </w:r>
      <w:proofErr w:type="spellEnd"/>
      <w:r w:rsidRPr="00A14BD0">
        <w:rPr>
          <w:i/>
          <w:iCs/>
        </w:rPr>
        <w:t xml:space="preserve"> from the </w:t>
      </w:r>
      <w:proofErr w:type="spellStart"/>
      <w:r w:rsidRPr="00A14BD0">
        <w:rPr>
          <w:i/>
          <w:iCs/>
        </w:rPr>
        <w:t>fastDummies</w:t>
      </w:r>
      <w:proofErr w:type="spellEnd"/>
      <w:r w:rsidRPr="00A14BD0">
        <w:rPr>
          <w:i/>
          <w:iCs/>
        </w:rPr>
        <w:t xml:space="preserve"> package, which will take all your categorical columns and one-hot-encode them.</w:t>
      </w:r>
    </w:p>
    <w:p w14:paraId="664322EB" w14:textId="77777777" w:rsidR="00A14BD0" w:rsidRPr="00A14BD0" w:rsidRDefault="00A14BD0" w:rsidP="00A14BD0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 w:rsidRPr="00A14BD0">
        <w:rPr>
          <w:i/>
          <w:iCs/>
        </w:rPr>
        <w:t>xgboost</w:t>
      </w:r>
      <w:proofErr w:type="spellEnd"/>
      <w:r w:rsidRPr="00A14BD0">
        <w:rPr>
          <w:i/>
          <w:iCs/>
        </w:rPr>
        <w:t xml:space="preserve"> requires the response variable to be 0s and 1s.  The data set uses 1s and 2s instead, so after reading in the data, your R code will need to make that change.</w:t>
      </w:r>
    </w:p>
    <w:p w14:paraId="389F8FC7" w14:textId="77777777" w:rsidR="00A14BD0" w:rsidRPr="00A14BD0" w:rsidRDefault="00A14BD0" w:rsidP="00A14BD0">
      <w:pPr>
        <w:pStyle w:val="ListParagraph"/>
        <w:rPr>
          <w:i/>
          <w:iCs/>
        </w:rPr>
      </w:pPr>
    </w:p>
    <w:p w14:paraId="58DC8D57" w14:textId="3D4CBA20" w:rsidR="006E5E75" w:rsidRPr="00435BD2" w:rsidRDefault="006E5E75" w:rsidP="006E5E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bCs/>
        </w:rPr>
      </w:pPr>
      <w:r w:rsidRPr="00435BD2">
        <w:rPr>
          <w:rFonts w:cs="Calibri"/>
          <w:bCs/>
        </w:rPr>
        <w:t xml:space="preserve">Here’s one possible solution.  </w:t>
      </w:r>
      <w:r w:rsidRPr="00435BD2">
        <w:rPr>
          <w:rFonts w:cs="Calibri"/>
          <w:bCs/>
          <w:u w:val="single"/>
        </w:rPr>
        <w:t xml:space="preserve">Please note that a good solution doesn’t have to try </w:t>
      </w:r>
      <w:proofErr w:type="gramStart"/>
      <w:r w:rsidRPr="00435BD2">
        <w:rPr>
          <w:rFonts w:cs="Calibri"/>
          <w:bCs/>
          <w:u w:val="single"/>
        </w:rPr>
        <w:t>all of</w:t>
      </w:r>
      <w:proofErr w:type="gramEnd"/>
      <w:r w:rsidRPr="00435BD2">
        <w:rPr>
          <w:rFonts w:cs="Calibri"/>
          <w:bCs/>
          <w:u w:val="single"/>
        </w:rPr>
        <w:t xml:space="preserve"> the possibilities in the code; they’re shown to help you learn, but they’re not necessary</w:t>
      </w:r>
      <w:r w:rsidRPr="00435BD2">
        <w:rPr>
          <w:rFonts w:cs="Calibri"/>
          <w:bCs/>
        </w:rPr>
        <w:t xml:space="preserve">.  </w:t>
      </w:r>
    </w:p>
    <w:p w14:paraId="6D129A2B" w14:textId="77777777" w:rsidR="00237514" w:rsidRDefault="00237514" w:rsidP="00237514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75679962" w14:textId="2EC679E8" w:rsidR="00A14BD0" w:rsidRDefault="006E5E75" w:rsidP="00A14BD0">
      <w:r>
        <w:t xml:space="preserve">The file </w:t>
      </w:r>
      <w:r w:rsidR="00921A2E" w:rsidRPr="00921A2E">
        <w:rPr>
          <w:rFonts w:ascii="Courier New" w:hAnsi="Courier New" w:cs="Courier New"/>
        </w:rPr>
        <w:t>solution 1</w:t>
      </w:r>
      <w:r w:rsidR="00A14BD0">
        <w:rPr>
          <w:rFonts w:ascii="Courier New" w:hAnsi="Courier New" w:cs="Courier New"/>
        </w:rPr>
        <w:t>6</w:t>
      </w:r>
      <w:r w:rsidR="00921A2E" w:rsidRPr="00921A2E">
        <w:rPr>
          <w:rFonts w:ascii="Courier New" w:hAnsi="Courier New" w:cs="Courier New"/>
        </w:rPr>
        <w:t>.</w:t>
      </w:r>
      <w:r w:rsidR="00A14BD0">
        <w:rPr>
          <w:rFonts w:ascii="Courier New" w:hAnsi="Courier New" w:cs="Courier New"/>
        </w:rPr>
        <w:t>1</w:t>
      </w:r>
      <w:r w:rsidRPr="00921A2E">
        <w:rPr>
          <w:rFonts w:ascii="Courier New" w:hAnsi="Courier New" w:cs="Courier New"/>
        </w:rPr>
        <w:t>.R</w:t>
      </w:r>
      <w:r>
        <w:t xml:space="preserve"> shows a possible approach</w:t>
      </w:r>
      <w:r w:rsidR="00A14BD0">
        <w:t xml:space="preserve"> with 100 rounds of gradient boosting</w:t>
      </w:r>
      <w:r>
        <w:t xml:space="preserve">.  </w:t>
      </w:r>
    </w:p>
    <w:p w14:paraId="6094AF30" w14:textId="77777777" w:rsidR="00A14BD0" w:rsidRDefault="00A14BD0" w:rsidP="00A14BD0"/>
    <w:p w14:paraId="0F72EF2C" w14:textId="042A3C64" w:rsidR="00A14BD0" w:rsidRDefault="00A14BD0" w:rsidP="00A14BD0">
      <w:r>
        <w:t>Here’s the ROC curve</w:t>
      </w:r>
      <w:r w:rsidR="00DB6F27">
        <w:t>.</w:t>
      </w:r>
    </w:p>
    <w:p w14:paraId="1BE7BB8D" w14:textId="3AC3BDFA" w:rsidR="00A14BD0" w:rsidRPr="00A14BD0" w:rsidRDefault="00A14BD0" w:rsidP="00A14BD0">
      <w:r>
        <w:rPr>
          <w:noProof/>
        </w:rPr>
        <w:drawing>
          <wp:inline distT="0" distB="0" distL="0" distR="0" wp14:anchorId="025BF432" wp14:editId="0ABB04A3">
            <wp:extent cx="3879850" cy="3879850"/>
            <wp:effectExtent l="0" t="0" r="635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BC2" w14:textId="77777777" w:rsidR="00443EF1" w:rsidRPr="00443EF1" w:rsidRDefault="00443EF1" w:rsidP="00443EF1">
      <w:pPr>
        <w:pStyle w:val="Heading1"/>
        <w:numPr>
          <w:ilvl w:val="0"/>
          <w:numId w:val="0"/>
        </w:numPr>
        <w:ind w:left="360"/>
      </w:pPr>
    </w:p>
    <w:p w14:paraId="4FDA56CE" w14:textId="77777777" w:rsidR="00443EF1" w:rsidRPr="00A14BD0" w:rsidRDefault="00443EF1" w:rsidP="00443EF1">
      <w:pPr>
        <w:pStyle w:val="ListParagraph"/>
        <w:numPr>
          <w:ilvl w:val="0"/>
          <w:numId w:val="9"/>
        </w:numPr>
        <w:rPr>
          <w:i/>
          <w:iCs/>
        </w:rPr>
      </w:pPr>
      <w:r w:rsidRPr="00A14BD0">
        <w:rPr>
          <w:i/>
          <w:iCs/>
        </w:rPr>
        <w:t xml:space="preserve">Compare your </w:t>
      </w:r>
      <w:proofErr w:type="spellStart"/>
      <w:r w:rsidRPr="00A14BD0">
        <w:rPr>
          <w:i/>
          <w:iCs/>
        </w:rPr>
        <w:t>xgboost</w:t>
      </w:r>
      <w:proofErr w:type="spellEnd"/>
      <w:r w:rsidRPr="00A14BD0">
        <w:rPr>
          <w:i/>
          <w:iCs/>
        </w:rPr>
        <w:t xml:space="preserve"> classifier to your logistic regression classifier from Question 10.3. How does model performance vary over key metrics (accuracy, sensitivity, specificity, etc.)?</w:t>
      </w:r>
    </w:p>
    <w:p w14:paraId="06410B5C" w14:textId="621F5A7E" w:rsidR="00443EF1" w:rsidRDefault="00443EF1" w:rsidP="00443E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bCs/>
        </w:rPr>
      </w:pPr>
    </w:p>
    <w:p w14:paraId="67DF7BEC" w14:textId="739EC205" w:rsidR="00443EF1" w:rsidRPr="00443EF1" w:rsidRDefault="00443EF1" w:rsidP="00443EF1">
      <w:pPr>
        <w:pStyle w:val="Heading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lastRenderedPageBreak/>
        <w:t xml:space="preserve">The table below compares the performance of </w:t>
      </w:r>
      <w:proofErr w:type="spellStart"/>
      <w:r>
        <w:rPr>
          <w:b w:val="0"/>
          <w:bCs/>
        </w:rPr>
        <w:t>xgboost</w:t>
      </w:r>
      <w:proofErr w:type="spellEnd"/>
      <w:r>
        <w:rPr>
          <w:b w:val="0"/>
          <w:bCs/>
        </w:rPr>
        <w:t xml:space="preserve"> and the performance of the logistic regression.  The output of </w:t>
      </w:r>
      <w:r w:rsidRPr="00443EF1">
        <w:rPr>
          <w:rFonts w:ascii="Courier New" w:hAnsi="Courier New" w:cs="Courier New"/>
          <w:b w:val="0"/>
          <w:bCs/>
        </w:rPr>
        <w:t>solution 16.1.R</w:t>
      </w:r>
      <w:r>
        <w:rPr>
          <w:b w:val="0"/>
          <w:bCs/>
        </w:rPr>
        <w:t xml:space="preserve"> includes more rows of </w:t>
      </w:r>
      <w:proofErr w:type="spellStart"/>
      <w:r>
        <w:rPr>
          <w:b w:val="0"/>
          <w:bCs/>
        </w:rPr>
        <w:t>xgboost</w:t>
      </w:r>
      <w:proofErr w:type="spellEnd"/>
      <w:r>
        <w:rPr>
          <w:b w:val="0"/>
          <w:bCs/>
        </w:rPr>
        <w:t xml:space="preserve"> performance; for this table, we took some rows of the logistic regression output showing specificity and sensitivity and compared each one with whatever row of </w:t>
      </w:r>
      <w:proofErr w:type="spellStart"/>
      <w:r>
        <w:rPr>
          <w:b w:val="0"/>
          <w:bCs/>
        </w:rPr>
        <w:t>xgboost</w:t>
      </w:r>
      <w:proofErr w:type="spellEnd"/>
      <w:r>
        <w:rPr>
          <w:b w:val="0"/>
          <w:bCs/>
        </w:rPr>
        <w:t xml:space="preserve"> output had just slightly less specificity.</w:t>
      </w:r>
    </w:p>
    <w:p w14:paraId="48C61EB1" w14:textId="77777777" w:rsidR="00A14BD0" w:rsidRDefault="00A14BD0" w:rsidP="006E5E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804F0" w14:paraId="196702E8" w14:textId="77777777" w:rsidTr="0079649A">
        <w:tc>
          <w:tcPr>
            <w:tcW w:w="4674" w:type="dxa"/>
            <w:gridSpan w:val="4"/>
            <w:tcBorders>
              <w:right w:val="double" w:sz="4" w:space="0" w:color="auto"/>
            </w:tcBorders>
          </w:tcPr>
          <w:p w14:paraId="45F44340" w14:textId="62CBEF0F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LOGISTIC REGRESSION</w:t>
            </w:r>
          </w:p>
        </w:tc>
        <w:tc>
          <w:tcPr>
            <w:tcW w:w="4676" w:type="dxa"/>
            <w:gridSpan w:val="4"/>
            <w:tcBorders>
              <w:left w:val="double" w:sz="4" w:space="0" w:color="auto"/>
            </w:tcBorders>
          </w:tcPr>
          <w:p w14:paraId="1ADFDE7C" w14:textId="68A74A0B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GRADIENT BOOSTING</w:t>
            </w:r>
          </w:p>
        </w:tc>
      </w:tr>
      <w:tr w:rsidR="00A20346" w14:paraId="4D643DD2" w14:textId="77777777" w:rsidTr="00A804F0">
        <w:tc>
          <w:tcPr>
            <w:tcW w:w="1168" w:type="dxa"/>
          </w:tcPr>
          <w:p w14:paraId="1FE7392D" w14:textId="36C6A5CC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Threshold</w:t>
            </w:r>
          </w:p>
        </w:tc>
        <w:tc>
          <w:tcPr>
            <w:tcW w:w="1168" w:type="dxa"/>
          </w:tcPr>
          <w:p w14:paraId="04894459" w14:textId="0F7355E0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Specificity</w:t>
            </w:r>
          </w:p>
        </w:tc>
        <w:tc>
          <w:tcPr>
            <w:tcW w:w="1169" w:type="dxa"/>
          </w:tcPr>
          <w:p w14:paraId="210FCB5F" w14:textId="0856FFCA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Sensitivity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75F9C876" w14:textId="09D697C1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Accuracy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0A8C459D" w14:textId="5129292A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Threshold</w:t>
            </w:r>
          </w:p>
        </w:tc>
        <w:tc>
          <w:tcPr>
            <w:tcW w:w="1169" w:type="dxa"/>
          </w:tcPr>
          <w:p w14:paraId="42575D7E" w14:textId="5AFB3853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Specificity</w:t>
            </w:r>
          </w:p>
        </w:tc>
        <w:tc>
          <w:tcPr>
            <w:tcW w:w="1169" w:type="dxa"/>
          </w:tcPr>
          <w:p w14:paraId="2CAA933A" w14:textId="4978755F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Sensitivity</w:t>
            </w:r>
          </w:p>
        </w:tc>
        <w:tc>
          <w:tcPr>
            <w:tcW w:w="1169" w:type="dxa"/>
          </w:tcPr>
          <w:p w14:paraId="26DED37E" w14:textId="78BFE676" w:rsidR="00A20346" w:rsidRPr="00A20346" w:rsidRDefault="00A20346" w:rsidP="00A804F0">
            <w:pPr>
              <w:jc w:val="center"/>
              <w:rPr>
                <w:b/>
                <w:bCs/>
              </w:rPr>
            </w:pPr>
            <w:r w:rsidRPr="00A20346">
              <w:rPr>
                <w:b/>
                <w:bCs/>
              </w:rPr>
              <w:t>Accuracy</w:t>
            </w:r>
          </w:p>
        </w:tc>
      </w:tr>
      <w:tr w:rsidR="00A804F0" w14:paraId="739D85E8" w14:textId="77777777" w:rsidTr="00A804F0">
        <w:tc>
          <w:tcPr>
            <w:tcW w:w="1168" w:type="dxa"/>
          </w:tcPr>
          <w:p w14:paraId="19A49235" w14:textId="6DA41B1D" w:rsidR="00A804F0" w:rsidRDefault="00A804F0" w:rsidP="00A804F0">
            <w:pPr>
              <w:jc w:val="center"/>
            </w:pPr>
            <w:r>
              <w:t>0.6967</w:t>
            </w:r>
          </w:p>
        </w:tc>
        <w:tc>
          <w:tcPr>
            <w:tcW w:w="1168" w:type="dxa"/>
          </w:tcPr>
          <w:p w14:paraId="5989CAD4" w14:textId="5720AB5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0.990</w:t>
            </w:r>
          </w:p>
        </w:tc>
        <w:tc>
          <w:tcPr>
            <w:tcW w:w="1169" w:type="dxa"/>
          </w:tcPr>
          <w:p w14:paraId="1636FD1C" w14:textId="6812B6E4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0.196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698E9B2" w14:textId="1146DD04" w:rsidR="00A804F0" w:rsidRDefault="00A804F0" w:rsidP="00A804F0">
            <w:pPr>
              <w:jc w:val="center"/>
            </w:pPr>
            <w:r>
              <w:t>0.75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434A394A" w14:textId="665E607B" w:rsidR="00A804F0" w:rsidRDefault="00A804F0" w:rsidP="00A804F0">
            <w:pPr>
              <w:jc w:val="center"/>
            </w:pPr>
            <w:r>
              <w:t>0.9331</w:t>
            </w:r>
          </w:p>
        </w:tc>
        <w:tc>
          <w:tcPr>
            <w:tcW w:w="1169" w:type="dxa"/>
          </w:tcPr>
          <w:p w14:paraId="1184ADBE" w14:textId="39E924C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0.98</w:t>
            </w:r>
            <w:r w:rsidRPr="00A804F0">
              <w:rPr>
                <w:b/>
                <w:bCs/>
              </w:rPr>
              <w:t>5</w:t>
            </w:r>
          </w:p>
        </w:tc>
        <w:tc>
          <w:tcPr>
            <w:tcW w:w="1169" w:type="dxa"/>
          </w:tcPr>
          <w:p w14:paraId="2A0A0E0B" w14:textId="3F35CBCF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0.07</w:t>
            </w:r>
            <w:r w:rsidRPr="00A804F0">
              <w:rPr>
                <w:b/>
                <w:bCs/>
              </w:rPr>
              <w:t>5</w:t>
            </w:r>
          </w:p>
        </w:tc>
        <w:tc>
          <w:tcPr>
            <w:tcW w:w="1169" w:type="dxa"/>
          </w:tcPr>
          <w:p w14:paraId="5EC9826D" w14:textId="0E083B05" w:rsidR="00A804F0" w:rsidRDefault="00A804F0" w:rsidP="00A804F0">
            <w:pPr>
              <w:jc w:val="center"/>
            </w:pPr>
            <w:r w:rsidRPr="00D62984">
              <w:t>0.68</w:t>
            </w:r>
          </w:p>
        </w:tc>
      </w:tr>
      <w:tr w:rsidR="00A804F0" w14:paraId="73293F38" w14:textId="77777777" w:rsidTr="00A804F0">
        <w:tc>
          <w:tcPr>
            <w:tcW w:w="1168" w:type="dxa"/>
          </w:tcPr>
          <w:p w14:paraId="7D270E36" w14:textId="56E87DCF" w:rsidR="00A804F0" w:rsidRDefault="00A804F0" w:rsidP="00A804F0">
            <w:pPr>
              <w:jc w:val="center"/>
            </w:pPr>
            <w:r>
              <w:t>0.6145</w:t>
            </w:r>
          </w:p>
        </w:tc>
        <w:tc>
          <w:tcPr>
            <w:tcW w:w="1168" w:type="dxa"/>
          </w:tcPr>
          <w:p w14:paraId="5E593469" w14:textId="06E27453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0.962</w:t>
            </w:r>
          </w:p>
        </w:tc>
        <w:tc>
          <w:tcPr>
            <w:tcW w:w="1169" w:type="dxa"/>
          </w:tcPr>
          <w:p w14:paraId="1F3C97A8" w14:textId="35AE29BB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0.348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7292D701" w14:textId="669999D3" w:rsidR="00A804F0" w:rsidRDefault="00A804F0" w:rsidP="00A804F0">
            <w:pPr>
              <w:jc w:val="center"/>
            </w:pPr>
            <w:r>
              <w:t>0.77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064F2C71" w14:textId="405B1D92" w:rsidR="00A804F0" w:rsidRDefault="00A804F0" w:rsidP="00A804F0">
            <w:pPr>
              <w:jc w:val="center"/>
            </w:pPr>
            <w:r>
              <w:t>0.8076</w:t>
            </w:r>
          </w:p>
        </w:tc>
        <w:tc>
          <w:tcPr>
            <w:tcW w:w="1169" w:type="dxa"/>
          </w:tcPr>
          <w:p w14:paraId="26688DE5" w14:textId="3F8282A2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0.95</w:t>
            </w:r>
            <w:r w:rsidRPr="00A804F0">
              <w:rPr>
                <w:b/>
                <w:bCs/>
              </w:rPr>
              <w:t>5</w:t>
            </w:r>
          </w:p>
        </w:tc>
        <w:tc>
          <w:tcPr>
            <w:tcW w:w="1169" w:type="dxa"/>
          </w:tcPr>
          <w:p w14:paraId="14184F6E" w14:textId="66D38EB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0.179</w:t>
            </w:r>
          </w:p>
        </w:tc>
        <w:tc>
          <w:tcPr>
            <w:tcW w:w="1169" w:type="dxa"/>
          </w:tcPr>
          <w:p w14:paraId="03ABDC26" w14:textId="282D0258" w:rsidR="00A804F0" w:rsidRDefault="00A804F0" w:rsidP="00A804F0">
            <w:pPr>
              <w:jc w:val="center"/>
            </w:pPr>
            <w:r w:rsidRPr="00D62984">
              <w:t>0.</w:t>
            </w:r>
            <w:r>
              <w:t>70</w:t>
            </w:r>
          </w:p>
        </w:tc>
      </w:tr>
      <w:tr w:rsidR="00A804F0" w14:paraId="353AEF9E" w14:textId="77777777" w:rsidTr="00A804F0">
        <w:tc>
          <w:tcPr>
            <w:tcW w:w="1168" w:type="dxa"/>
          </w:tcPr>
          <w:p w14:paraId="106B4800" w14:textId="78C208E2" w:rsidR="00A804F0" w:rsidRDefault="00A804F0" w:rsidP="00A804F0">
            <w:pPr>
              <w:jc w:val="center"/>
            </w:pPr>
            <w:r>
              <w:t>0.5516</w:t>
            </w:r>
          </w:p>
        </w:tc>
        <w:tc>
          <w:tcPr>
            <w:tcW w:w="1168" w:type="dxa"/>
          </w:tcPr>
          <w:p w14:paraId="7EB5D6D4" w14:textId="74D0753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0.94</w:t>
            </w:r>
            <w:r>
              <w:rPr>
                <w:b/>
                <w:bCs/>
              </w:rPr>
              <w:t>0</w:t>
            </w:r>
          </w:p>
        </w:tc>
        <w:tc>
          <w:tcPr>
            <w:tcW w:w="1169" w:type="dxa"/>
          </w:tcPr>
          <w:p w14:paraId="20FF7103" w14:textId="47125DFB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0.457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029F4C72" w14:textId="2DAF1669" w:rsidR="00A804F0" w:rsidRDefault="00A804F0" w:rsidP="00A804F0">
            <w:pPr>
              <w:jc w:val="center"/>
            </w:pPr>
            <w:r>
              <w:t>0.77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3444686A" w14:textId="64A0AC72" w:rsidR="00A804F0" w:rsidRDefault="00A804F0" w:rsidP="00A804F0">
            <w:pPr>
              <w:jc w:val="center"/>
            </w:pPr>
            <w:r>
              <w:t>0.6496</w:t>
            </w:r>
          </w:p>
        </w:tc>
        <w:tc>
          <w:tcPr>
            <w:tcW w:w="1169" w:type="dxa"/>
          </w:tcPr>
          <w:p w14:paraId="3F666A6D" w14:textId="6AB90D9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</w:t>
            </w:r>
            <w:r w:rsidRPr="00A804F0">
              <w:rPr>
                <w:b/>
                <w:bCs/>
              </w:rPr>
              <w:t>10</w:t>
            </w:r>
          </w:p>
        </w:tc>
        <w:tc>
          <w:tcPr>
            <w:tcW w:w="1169" w:type="dxa"/>
          </w:tcPr>
          <w:p w14:paraId="570D9FC1" w14:textId="4ED0936E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0.28</w:t>
            </w:r>
            <w:r w:rsidRPr="00A804F0">
              <w:rPr>
                <w:b/>
                <w:bCs/>
              </w:rPr>
              <w:t>5</w:t>
            </w:r>
          </w:p>
        </w:tc>
        <w:tc>
          <w:tcPr>
            <w:tcW w:w="1169" w:type="dxa"/>
          </w:tcPr>
          <w:p w14:paraId="40B685E1" w14:textId="61BFC2FB" w:rsidR="00A804F0" w:rsidRDefault="00A804F0" w:rsidP="00A804F0">
            <w:pPr>
              <w:jc w:val="center"/>
            </w:pPr>
            <w:r w:rsidRPr="00D62984">
              <w:t>0.7</w:t>
            </w:r>
            <w:r>
              <w:t>0</w:t>
            </w:r>
          </w:p>
        </w:tc>
      </w:tr>
      <w:tr w:rsidR="00A804F0" w14:paraId="31F4578D" w14:textId="77777777" w:rsidTr="00A804F0">
        <w:tc>
          <w:tcPr>
            <w:tcW w:w="1168" w:type="dxa"/>
          </w:tcPr>
          <w:p w14:paraId="310742F0" w14:textId="003EA206" w:rsidR="00A804F0" w:rsidRDefault="00A804F0" w:rsidP="00A804F0">
            <w:pPr>
              <w:jc w:val="center"/>
            </w:pPr>
            <w:r>
              <w:t>0.4686</w:t>
            </w:r>
          </w:p>
        </w:tc>
        <w:tc>
          <w:tcPr>
            <w:tcW w:w="1168" w:type="dxa"/>
          </w:tcPr>
          <w:p w14:paraId="7E9FB00D" w14:textId="53AE6EDE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0.851</w:t>
            </w:r>
          </w:p>
        </w:tc>
        <w:tc>
          <w:tcPr>
            <w:tcW w:w="1169" w:type="dxa"/>
          </w:tcPr>
          <w:p w14:paraId="4F31CBC6" w14:textId="6B838432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0.533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446337E2" w14:textId="30FB7D0F" w:rsidR="00A804F0" w:rsidRDefault="00A804F0" w:rsidP="00A804F0">
            <w:pPr>
              <w:jc w:val="center"/>
            </w:pPr>
            <w:r>
              <w:t>0.75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2D63A17C" w14:textId="60D495AD" w:rsidR="00A804F0" w:rsidRDefault="00A804F0" w:rsidP="00A804F0">
            <w:pPr>
              <w:jc w:val="center"/>
            </w:pPr>
            <w:r>
              <w:t>0.4605</w:t>
            </w:r>
          </w:p>
        </w:tc>
        <w:tc>
          <w:tcPr>
            <w:tcW w:w="1169" w:type="dxa"/>
          </w:tcPr>
          <w:p w14:paraId="6236D75B" w14:textId="28FF3633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0.8</w:t>
            </w:r>
            <w:r w:rsidRPr="00A804F0">
              <w:rPr>
                <w:b/>
                <w:bCs/>
              </w:rPr>
              <w:t>50</w:t>
            </w:r>
          </w:p>
        </w:tc>
        <w:tc>
          <w:tcPr>
            <w:tcW w:w="1169" w:type="dxa"/>
          </w:tcPr>
          <w:p w14:paraId="6CF09892" w14:textId="5DA9889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0.343</w:t>
            </w:r>
          </w:p>
        </w:tc>
        <w:tc>
          <w:tcPr>
            <w:tcW w:w="1169" w:type="dxa"/>
          </w:tcPr>
          <w:p w14:paraId="651A0310" w14:textId="5BFCD2DD" w:rsidR="00A804F0" w:rsidRDefault="00A804F0" w:rsidP="00A804F0">
            <w:pPr>
              <w:jc w:val="center"/>
            </w:pPr>
            <w:r w:rsidRPr="00D62984">
              <w:t>0.68</w:t>
            </w:r>
          </w:p>
        </w:tc>
      </w:tr>
      <w:tr w:rsidR="00A804F0" w14:paraId="399A6200" w14:textId="77777777" w:rsidTr="00A804F0">
        <w:tc>
          <w:tcPr>
            <w:tcW w:w="1168" w:type="dxa"/>
          </w:tcPr>
          <w:p w14:paraId="05CF94CB" w14:textId="40A26621" w:rsidR="00A804F0" w:rsidRDefault="00A804F0" w:rsidP="00A804F0">
            <w:pPr>
              <w:jc w:val="center"/>
            </w:pPr>
            <w:r>
              <w:t>0.3774</w:t>
            </w:r>
          </w:p>
        </w:tc>
        <w:tc>
          <w:tcPr>
            <w:tcW w:w="1168" w:type="dxa"/>
          </w:tcPr>
          <w:p w14:paraId="078BD7B0" w14:textId="366EDB3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0.798</w:t>
            </w:r>
          </w:p>
        </w:tc>
        <w:tc>
          <w:tcPr>
            <w:tcW w:w="1169" w:type="dxa"/>
          </w:tcPr>
          <w:p w14:paraId="1ADE274C" w14:textId="061340F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0.630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7965677" w14:textId="2E30217A" w:rsidR="00A804F0" w:rsidRDefault="00A804F0" w:rsidP="00A804F0">
            <w:pPr>
              <w:jc w:val="center"/>
            </w:pPr>
            <w:r>
              <w:t>0.75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3D7FF47D" w14:textId="4DA437B9" w:rsidR="00A804F0" w:rsidRDefault="00A804F0" w:rsidP="00A804F0">
            <w:pPr>
              <w:jc w:val="center"/>
            </w:pPr>
            <w:r>
              <w:t>0.3315</w:t>
            </w:r>
          </w:p>
        </w:tc>
        <w:tc>
          <w:tcPr>
            <w:tcW w:w="1169" w:type="dxa"/>
          </w:tcPr>
          <w:p w14:paraId="70D33068" w14:textId="61CF083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0.79</w:t>
            </w:r>
            <w:r w:rsidRPr="00A804F0">
              <w:rPr>
                <w:b/>
                <w:bCs/>
              </w:rPr>
              <w:t>7</w:t>
            </w:r>
          </w:p>
        </w:tc>
        <w:tc>
          <w:tcPr>
            <w:tcW w:w="1169" w:type="dxa"/>
          </w:tcPr>
          <w:p w14:paraId="70F4ED2E" w14:textId="2444041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0.46</w:t>
            </w:r>
            <w:r w:rsidRPr="00A804F0">
              <w:rPr>
                <w:b/>
                <w:bCs/>
              </w:rPr>
              <w:t>5</w:t>
            </w:r>
          </w:p>
        </w:tc>
        <w:tc>
          <w:tcPr>
            <w:tcW w:w="1169" w:type="dxa"/>
          </w:tcPr>
          <w:p w14:paraId="7F3BF106" w14:textId="033B546B" w:rsidR="00A804F0" w:rsidRDefault="00A804F0" w:rsidP="00A804F0">
            <w:pPr>
              <w:jc w:val="center"/>
            </w:pPr>
            <w:r w:rsidRPr="00D62984">
              <w:t>0.6</w:t>
            </w:r>
            <w:r>
              <w:t>9</w:t>
            </w:r>
          </w:p>
        </w:tc>
      </w:tr>
      <w:tr w:rsidR="00A804F0" w14:paraId="6315F356" w14:textId="77777777" w:rsidTr="00A804F0">
        <w:tc>
          <w:tcPr>
            <w:tcW w:w="1168" w:type="dxa"/>
          </w:tcPr>
          <w:p w14:paraId="72AE6659" w14:textId="08B4FD98" w:rsidR="00A804F0" w:rsidRDefault="00A804F0" w:rsidP="00A804F0">
            <w:pPr>
              <w:jc w:val="center"/>
            </w:pPr>
            <w:r>
              <w:t>0.3199</w:t>
            </w:r>
          </w:p>
        </w:tc>
        <w:tc>
          <w:tcPr>
            <w:tcW w:w="1168" w:type="dxa"/>
          </w:tcPr>
          <w:p w14:paraId="2799680F" w14:textId="28A612B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0.740</w:t>
            </w:r>
          </w:p>
        </w:tc>
        <w:tc>
          <w:tcPr>
            <w:tcW w:w="1169" w:type="dxa"/>
          </w:tcPr>
          <w:p w14:paraId="4339C783" w14:textId="4E74ADE6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0.717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1AA7D20C" w14:textId="07811486" w:rsidR="00A804F0" w:rsidRDefault="00A804F0" w:rsidP="00A804F0">
            <w:pPr>
              <w:jc w:val="center"/>
            </w:pPr>
            <w:r>
              <w:t>0.73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3331C797" w14:textId="7DA34658" w:rsidR="00A804F0" w:rsidRDefault="00A804F0" w:rsidP="00A804F0">
            <w:pPr>
              <w:jc w:val="center"/>
            </w:pPr>
            <w:r>
              <w:t>0.2616</w:t>
            </w:r>
          </w:p>
        </w:tc>
        <w:tc>
          <w:tcPr>
            <w:tcW w:w="1169" w:type="dxa"/>
          </w:tcPr>
          <w:p w14:paraId="17C2AC4C" w14:textId="5FABF2E4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0.73</w:t>
            </w:r>
            <w:r w:rsidRPr="00A804F0">
              <w:rPr>
                <w:b/>
                <w:bCs/>
              </w:rPr>
              <w:t>7</w:t>
            </w:r>
          </w:p>
        </w:tc>
        <w:tc>
          <w:tcPr>
            <w:tcW w:w="1169" w:type="dxa"/>
          </w:tcPr>
          <w:p w14:paraId="22589B2E" w14:textId="7BF4640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0.537</w:t>
            </w:r>
          </w:p>
        </w:tc>
        <w:tc>
          <w:tcPr>
            <w:tcW w:w="1169" w:type="dxa"/>
          </w:tcPr>
          <w:p w14:paraId="3C45F6B3" w14:textId="604A0751" w:rsidR="00A804F0" w:rsidRDefault="00A804F0" w:rsidP="00A804F0">
            <w:pPr>
              <w:jc w:val="center"/>
            </w:pPr>
            <w:r w:rsidRPr="00D62984">
              <w:t>0.67</w:t>
            </w:r>
          </w:p>
        </w:tc>
      </w:tr>
      <w:tr w:rsidR="00A804F0" w14:paraId="340262E6" w14:textId="77777777" w:rsidTr="00A804F0">
        <w:tc>
          <w:tcPr>
            <w:tcW w:w="1168" w:type="dxa"/>
          </w:tcPr>
          <w:p w14:paraId="24F6CDF6" w14:textId="1718FEFC" w:rsidR="00A804F0" w:rsidRDefault="00A804F0" w:rsidP="00A804F0">
            <w:pPr>
              <w:jc w:val="center"/>
            </w:pPr>
            <w:r>
              <w:t>0.2699</w:t>
            </w:r>
          </w:p>
        </w:tc>
        <w:tc>
          <w:tcPr>
            <w:tcW w:w="1168" w:type="dxa"/>
          </w:tcPr>
          <w:p w14:paraId="2B4818AE" w14:textId="637372CB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0.678</w:t>
            </w:r>
          </w:p>
        </w:tc>
        <w:tc>
          <w:tcPr>
            <w:tcW w:w="1169" w:type="dxa"/>
          </w:tcPr>
          <w:p w14:paraId="07E79B8A" w14:textId="324776F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0.793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B46A5D1" w14:textId="7DFD0BED" w:rsidR="00A804F0" w:rsidRDefault="00A804F0" w:rsidP="00A804F0">
            <w:pPr>
              <w:jc w:val="center"/>
            </w:pPr>
            <w:r>
              <w:t>0.71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405434F8" w14:textId="0876B2BE" w:rsidR="00A804F0" w:rsidRDefault="00A804F0" w:rsidP="00A804F0">
            <w:pPr>
              <w:jc w:val="center"/>
            </w:pPr>
            <w:r>
              <w:t>0.1965</w:t>
            </w:r>
          </w:p>
        </w:tc>
        <w:tc>
          <w:tcPr>
            <w:tcW w:w="1169" w:type="dxa"/>
          </w:tcPr>
          <w:p w14:paraId="7980D319" w14:textId="502143E0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0.67</w:t>
            </w:r>
            <w:r w:rsidRPr="00A804F0">
              <w:rPr>
                <w:b/>
                <w:bCs/>
              </w:rPr>
              <w:t>7</w:t>
            </w:r>
          </w:p>
        </w:tc>
        <w:tc>
          <w:tcPr>
            <w:tcW w:w="1169" w:type="dxa"/>
          </w:tcPr>
          <w:p w14:paraId="5E2F7172" w14:textId="0063413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0.567</w:t>
            </w:r>
          </w:p>
        </w:tc>
        <w:tc>
          <w:tcPr>
            <w:tcW w:w="1169" w:type="dxa"/>
          </w:tcPr>
          <w:p w14:paraId="5D201CEC" w14:textId="13078D70" w:rsidR="00A804F0" w:rsidRDefault="00A804F0" w:rsidP="00A804F0">
            <w:pPr>
              <w:jc w:val="center"/>
            </w:pPr>
            <w:r w:rsidRPr="00D62984">
              <w:t>0.64</w:t>
            </w:r>
          </w:p>
        </w:tc>
      </w:tr>
      <w:tr w:rsidR="00A804F0" w14:paraId="2EB92EF4" w14:textId="77777777" w:rsidTr="00A804F0">
        <w:tc>
          <w:tcPr>
            <w:tcW w:w="1168" w:type="dxa"/>
          </w:tcPr>
          <w:p w14:paraId="6C3F0B2C" w14:textId="133C8A33" w:rsidR="00A804F0" w:rsidRDefault="00A804F0" w:rsidP="00A804F0">
            <w:pPr>
              <w:jc w:val="center"/>
            </w:pPr>
            <w:r>
              <w:t>0.2221</w:t>
            </w:r>
          </w:p>
        </w:tc>
        <w:tc>
          <w:tcPr>
            <w:tcW w:w="1168" w:type="dxa"/>
          </w:tcPr>
          <w:p w14:paraId="499C8A13" w14:textId="79DBCD50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0.606</w:t>
            </w:r>
          </w:p>
        </w:tc>
        <w:tc>
          <w:tcPr>
            <w:tcW w:w="1169" w:type="dxa"/>
          </w:tcPr>
          <w:p w14:paraId="1569D4BF" w14:textId="7A454B0F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0.848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18134EB3" w14:textId="6FBF8C97" w:rsidR="00A804F0" w:rsidRDefault="00A804F0" w:rsidP="00A804F0">
            <w:pPr>
              <w:jc w:val="center"/>
            </w:pPr>
            <w:r>
              <w:t>0.68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37BEDC0E" w14:textId="13A66CCB" w:rsidR="00A804F0" w:rsidRDefault="00A804F0" w:rsidP="00A804F0">
            <w:pPr>
              <w:jc w:val="center"/>
            </w:pPr>
            <w:r>
              <w:t>0.1247</w:t>
            </w:r>
          </w:p>
        </w:tc>
        <w:tc>
          <w:tcPr>
            <w:tcW w:w="1169" w:type="dxa"/>
          </w:tcPr>
          <w:p w14:paraId="300CD350" w14:textId="27AB22B1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0.60</w:t>
            </w:r>
            <w:r w:rsidRPr="00A804F0"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14:paraId="77136FD0" w14:textId="2406706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0.65</w:t>
            </w:r>
            <w:r w:rsidRPr="00A804F0">
              <w:rPr>
                <w:b/>
                <w:bCs/>
              </w:rPr>
              <w:t>7</w:t>
            </w:r>
          </w:p>
        </w:tc>
        <w:tc>
          <w:tcPr>
            <w:tcW w:w="1169" w:type="dxa"/>
          </w:tcPr>
          <w:p w14:paraId="3FB570E7" w14:textId="23C9C174" w:rsidR="00A804F0" w:rsidRDefault="00A804F0" w:rsidP="00A804F0">
            <w:pPr>
              <w:jc w:val="center"/>
            </w:pPr>
            <w:r w:rsidRPr="00D62984">
              <w:t>0.62</w:t>
            </w:r>
          </w:p>
        </w:tc>
      </w:tr>
      <w:tr w:rsidR="00A804F0" w14:paraId="3F56F8D3" w14:textId="77777777" w:rsidTr="00A804F0">
        <w:tc>
          <w:tcPr>
            <w:tcW w:w="1168" w:type="dxa"/>
          </w:tcPr>
          <w:p w14:paraId="12A0C30D" w14:textId="1954C6CF" w:rsidR="00A804F0" w:rsidRDefault="00A804F0" w:rsidP="00A804F0">
            <w:pPr>
              <w:jc w:val="center"/>
            </w:pPr>
            <w:r>
              <w:t>0.1675</w:t>
            </w:r>
          </w:p>
        </w:tc>
        <w:tc>
          <w:tcPr>
            <w:tcW w:w="1168" w:type="dxa"/>
          </w:tcPr>
          <w:p w14:paraId="3C6786B7" w14:textId="193AFDE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0.529</w:t>
            </w:r>
          </w:p>
        </w:tc>
        <w:tc>
          <w:tcPr>
            <w:tcW w:w="1169" w:type="dxa"/>
          </w:tcPr>
          <w:p w14:paraId="6AA7EEC6" w14:textId="05F0D956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0.891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47800908" w14:textId="228162AF" w:rsidR="00A804F0" w:rsidRDefault="00A804F0" w:rsidP="00A804F0">
            <w:pPr>
              <w:jc w:val="center"/>
            </w:pPr>
            <w:r>
              <w:t>0.64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15E74F5A" w14:textId="35C0CBFF" w:rsidR="00A804F0" w:rsidRDefault="00A804F0" w:rsidP="00A804F0">
            <w:pPr>
              <w:jc w:val="center"/>
            </w:pPr>
            <w:r>
              <w:t>0.0965</w:t>
            </w:r>
          </w:p>
        </w:tc>
        <w:tc>
          <w:tcPr>
            <w:tcW w:w="1169" w:type="dxa"/>
          </w:tcPr>
          <w:p w14:paraId="65DBE232" w14:textId="6B5EA0B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0.526</w:t>
            </w:r>
          </w:p>
        </w:tc>
        <w:tc>
          <w:tcPr>
            <w:tcW w:w="1169" w:type="dxa"/>
          </w:tcPr>
          <w:p w14:paraId="3F818256" w14:textId="5D1925FA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0.68</w:t>
            </w:r>
            <w:r w:rsidRPr="00A804F0">
              <w:rPr>
                <w:b/>
                <w:bCs/>
              </w:rPr>
              <w:t>7</w:t>
            </w:r>
          </w:p>
        </w:tc>
        <w:tc>
          <w:tcPr>
            <w:tcW w:w="1169" w:type="dxa"/>
          </w:tcPr>
          <w:p w14:paraId="667205D7" w14:textId="0E0F48B9" w:rsidR="00A804F0" w:rsidRDefault="00A804F0" w:rsidP="00A804F0">
            <w:pPr>
              <w:jc w:val="center"/>
            </w:pPr>
            <w:r w:rsidRPr="00D62984">
              <w:t>0.58</w:t>
            </w:r>
          </w:p>
        </w:tc>
      </w:tr>
      <w:tr w:rsidR="00A804F0" w14:paraId="5390D6D9" w14:textId="77777777" w:rsidTr="00A804F0">
        <w:tc>
          <w:tcPr>
            <w:tcW w:w="1168" w:type="dxa"/>
          </w:tcPr>
          <w:p w14:paraId="684B1CBA" w14:textId="1142C0B5" w:rsidR="00A804F0" w:rsidRDefault="00A804F0" w:rsidP="00A804F0">
            <w:pPr>
              <w:jc w:val="center"/>
            </w:pPr>
            <w:r>
              <w:t>0.1375</w:t>
            </w:r>
          </w:p>
        </w:tc>
        <w:tc>
          <w:tcPr>
            <w:tcW w:w="1168" w:type="dxa"/>
          </w:tcPr>
          <w:p w14:paraId="2499FD2A" w14:textId="116C7C2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0.442</w:t>
            </w:r>
          </w:p>
        </w:tc>
        <w:tc>
          <w:tcPr>
            <w:tcW w:w="1169" w:type="dxa"/>
          </w:tcPr>
          <w:p w14:paraId="4291F5D2" w14:textId="61A0622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0.913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749050A7" w14:textId="591D8769" w:rsidR="00A804F0" w:rsidRDefault="00A804F0" w:rsidP="00A804F0">
            <w:pPr>
              <w:jc w:val="center"/>
            </w:pPr>
            <w:r>
              <w:t>0.59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5F730EED" w14:textId="3C23F8A0" w:rsidR="00A804F0" w:rsidRDefault="00A804F0" w:rsidP="00A804F0">
            <w:pPr>
              <w:jc w:val="center"/>
            </w:pPr>
            <w:r>
              <w:t>0.0516</w:t>
            </w:r>
          </w:p>
        </w:tc>
        <w:tc>
          <w:tcPr>
            <w:tcW w:w="1169" w:type="dxa"/>
          </w:tcPr>
          <w:p w14:paraId="5C108877" w14:textId="28495498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0.436</w:t>
            </w:r>
          </w:p>
        </w:tc>
        <w:tc>
          <w:tcPr>
            <w:tcW w:w="1169" w:type="dxa"/>
          </w:tcPr>
          <w:p w14:paraId="01502C6E" w14:textId="21EF68AC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0.791</w:t>
            </w:r>
          </w:p>
        </w:tc>
        <w:tc>
          <w:tcPr>
            <w:tcW w:w="1169" w:type="dxa"/>
          </w:tcPr>
          <w:p w14:paraId="7BC51A5A" w14:textId="6B4C2CC3" w:rsidR="00A804F0" w:rsidRDefault="00A804F0" w:rsidP="00A804F0">
            <w:pPr>
              <w:jc w:val="center"/>
            </w:pPr>
            <w:r w:rsidRPr="00D62984">
              <w:t>0.5</w:t>
            </w:r>
            <w:r>
              <w:t>6</w:t>
            </w:r>
          </w:p>
        </w:tc>
      </w:tr>
      <w:tr w:rsidR="00A804F0" w14:paraId="3C1017E9" w14:textId="77777777" w:rsidTr="00A804F0">
        <w:tc>
          <w:tcPr>
            <w:tcW w:w="1168" w:type="dxa"/>
          </w:tcPr>
          <w:p w14:paraId="5945AFC3" w14:textId="4C0A2365" w:rsidR="00A804F0" w:rsidRDefault="00A804F0" w:rsidP="00A804F0">
            <w:pPr>
              <w:jc w:val="center"/>
            </w:pPr>
            <w:r>
              <w:t>0.1165</w:t>
            </w:r>
          </w:p>
        </w:tc>
        <w:tc>
          <w:tcPr>
            <w:tcW w:w="1168" w:type="dxa"/>
          </w:tcPr>
          <w:p w14:paraId="6174A288" w14:textId="55B7C5F6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0.365</w:t>
            </w:r>
          </w:p>
        </w:tc>
        <w:tc>
          <w:tcPr>
            <w:tcW w:w="1169" w:type="dxa"/>
          </w:tcPr>
          <w:p w14:paraId="528C1B50" w14:textId="3EDD233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0.957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6400B915" w14:textId="2703E524" w:rsidR="00A804F0" w:rsidRDefault="00A804F0" w:rsidP="00A804F0">
            <w:pPr>
              <w:jc w:val="center"/>
            </w:pPr>
            <w:r>
              <w:t>0.55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0AC93F7C" w14:textId="2989D223" w:rsidR="00A804F0" w:rsidRDefault="00A804F0" w:rsidP="00A804F0">
            <w:pPr>
              <w:jc w:val="center"/>
            </w:pPr>
            <w:r>
              <w:t>0.0370</w:t>
            </w:r>
          </w:p>
        </w:tc>
        <w:tc>
          <w:tcPr>
            <w:tcW w:w="1169" w:type="dxa"/>
          </w:tcPr>
          <w:p w14:paraId="65953E41" w14:textId="4357F9E4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0.36</w:t>
            </w:r>
            <w:r w:rsidRPr="00A804F0"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14:paraId="29822506" w14:textId="6258A325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0.85</w:t>
            </w:r>
            <w:r w:rsidRPr="00A804F0"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14:paraId="00D30FC1" w14:textId="0B3B3DC6" w:rsidR="00A804F0" w:rsidRDefault="00A804F0" w:rsidP="00A804F0">
            <w:pPr>
              <w:jc w:val="center"/>
            </w:pPr>
            <w:r w:rsidRPr="00D62984">
              <w:t>0.5</w:t>
            </w:r>
            <w:r>
              <w:t>3</w:t>
            </w:r>
          </w:p>
        </w:tc>
      </w:tr>
      <w:tr w:rsidR="00A804F0" w14:paraId="00D2C720" w14:textId="77777777" w:rsidTr="00A804F0">
        <w:tc>
          <w:tcPr>
            <w:tcW w:w="1168" w:type="dxa"/>
          </w:tcPr>
          <w:p w14:paraId="38121F65" w14:textId="2E72DB75" w:rsidR="00A804F0" w:rsidRDefault="00A804F0" w:rsidP="00A804F0">
            <w:pPr>
              <w:jc w:val="center"/>
            </w:pPr>
            <w:r>
              <w:t>0.0869</w:t>
            </w:r>
          </w:p>
        </w:tc>
        <w:tc>
          <w:tcPr>
            <w:tcW w:w="1168" w:type="dxa"/>
          </w:tcPr>
          <w:p w14:paraId="2A4B4647" w14:textId="41E45162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0.274</w:t>
            </w:r>
          </w:p>
        </w:tc>
        <w:tc>
          <w:tcPr>
            <w:tcW w:w="1169" w:type="dxa"/>
          </w:tcPr>
          <w:p w14:paraId="24D3CA71" w14:textId="40A22843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0.967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6C0A10D0" w14:textId="7E084E5B" w:rsidR="00A804F0" w:rsidRDefault="00A804F0" w:rsidP="00A804F0">
            <w:pPr>
              <w:jc w:val="center"/>
            </w:pPr>
            <w:r>
              <w:t>0.49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5933EB81" w14:textId="00D1E391" w:rsidR="00A804F0" w:rsidRDefault="00A804F0" w:rsidP="00A804F0">
            <w:pPr>
              <w:jc w:val="center"/>
            </w:pPr>
            <w:r>
              <w:t>0.0183</w:t>
            </w:r>
          </w:p>
        </w:tc>
        <w:tc>
          <w:tcPr>
            <w:tcW w:w="1169" w:type="dxa"/>
          </w:tcPr>
          <w:p w14:paraId="37DE9C17" w14:textId="1CCAD456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0.27</w:t>
            </w:r>
            <w:r w:rsidRPr="00A804F0"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14:paraId="7216EB3B" w14:textId="4485605E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0.910</w:t>
            </w:r>
          </w:p>
        </w:tc>
        <w:tc>
          <w:tcPr>
            <w:tcW w:w="1169" w:type="dxa"/>
          </w:tcPr>
          <w:p w14:paraId="744B1E35" w14:textId="154B7ED1" w:rsidR="00A804F0" w:rsidRDefault="00A804F0" w:rsidP="00A804F0">
            <w:pPr>
              <w:jc w:val="center"/>
            </w:pPr>
            <w:r w:rsidRPr="00D62984">
              <w:t>0.4</w:t>
            </w:r>
            <w:r>
              <w:t>9</w:t>
            </w:r>
          </w:p>
        </w:tc>
      </w:tr>
      <w:tr w:rsidR="00A804F0" w14:paraId="457F19C9" w14:textId="77777777" w:rsidTr="00A804F0">
        <w:tc>
          <w:tcPr>
            <w:tcW w:w="1168" w:type="dxa"/>
          </w:tcPr>
          <w:p w14:paraId="2C1B2021" w14:textId="447ABEBA" w:rsidR="00A804F0" w:rsidRDefault="00A804F0" w:rsidP="00A804F0">
            <w:pPr>
              <w:jc w:val="center"/>
            </w:pPr>
            <w:r>
              <w:t>0.0626</w:t>
            </w:r>
          </w:p>
        </w:tc>
        <w:tc>
          <w:tcPr>
            <w:tcW w:w="1168" w:type="dxa"/>
          </w:tcPr>
          <w:p w14:paraId="27AC49BD" w14:textId="4719051B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0.188</w:t>
            </w:r>
          </w:p>
        </w:tc>
        <w:tc>
          <w:tcPr>
            <w:tcW w:w="1169" w:type="dxa"/>
          </w:tcPr>
          <w:p w14:paraId="17959089" w14:textId="20E593A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0.989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FD68613" w14:textId="1FB2FD76" w:rsidR="00A804F0" w:rsidRDefault="00A804F0" w:rsidP="00A804F0">
            <w:pPr>
              <w:jc w:val="center"/>
            </w:pPr>
            <w:r>
              <w:t>0.43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43E26A7B" w14:textId="38BAE065" w:rsidR="00A804F0" w:rsidRDefault="00A804F0" w:rsidP="00A804F0">
            <w:pPr>
              <w:jc w:val="center"/>
            </w:pPr>
            <w:r>
              <w:t>0.0105</w:t>
            </w:r>
          </w:p>
        </w:tc>
        <w:tc>
          <w:tcPr>
            <w:tcW w:w="1169" w:type="dxa"/>
          </w:tcPr>
          <w:p w14:paraId="601BD9E2" w14:textId="41EBD851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0.18</w:t>
            </w:r>
            <w:r w:rsidRPr="00A804F0"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14:paraId="27828DD7" w14:textId="0A7E44BA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0.955</w:t>
            </w:r>
          </w:p>
        </w:tc>
        <w:tc>
          <w:tcPr>
            <w:tcW w:w="1169" w:type="dxa"/>
          </w:tcPr>
          <w:p w14:paraId="568849AB" w14:textId="4E32618B" w:rsidR="00A804F0" w:rsidRDefault="00A804F0" w:rsidP="00A804F0">
            <w:pPr>
              <w:jc w:val="center"/>
            </w:pPr>
            <w:r w:rsidRPr="00D62984">
              <w:t>0.44</w:t>
            </w:r>
          </w:p>
        </w:tc>
      </w:tr>
      <w:tr w:rsidR="00A804F0" w14:paraId="212F5376" w14:textId="77777777" w:rsidTr="00A804F0">
        <w:tc>
          <w:tcPr>
            <w:tcW w:w="1168" w:type="dxa"/>
          </w:tcPr>
          <w:p w14:paraId="0B3B3EE2" w14:textId="12260DEF" w:rsidR="00A804F0" w:rsidRDefault="00A804F0" w:rsidP="00A804F0">
            <w:pPr>
              <w:jc w:val="center"/>
            </w:pPr>
            <w:r>
              <w:t>0.0420</w:t>
            </w:r>
          </w:p>
        </w:tc>
        <w:tc>
          <w:tcPr>
            <w:tcW w:w="1168" w:type="dxa"/>
          </w:tcPr>
          <w:p w14:paraId="7AE82822" w14:textId="763AF277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0.096</w:t>
            </w:r>
          </w:p>
        </w:tc>
        <w:tc>
          <w:tcPr>
            <w:tcW w:w="1169" w:type="dxa"/>
          </w:tcPr>
          <w:p w14:paraId="37589DDB" w14:textId="1D99C7E0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1.000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DACBDFD" w14:textId="30B2583B" w:rsidR="00A804F0" w:rsidRDefault="00A804F0" w:rsidP="00A804F0">
            <w:pPr>
              <w:jc w:val="center"/>
            </w:pPr>
            <w:r>
              <w:t>0.37</w:t>
            </w:r>
          </w:p>
        </w:tc>
        <w:tc>
          <w:tcPr>
            <w:tcW w:w="1169" w:type="dxa"/>
            <w:tcBorders>
              <w:left w:val="double" w:sz="4" w:space="0" w:color="auto"/>
            </w:tcBorders>
          </w:tcPr>
          <w:p w14:paraId="47016E2C" w14:textId="1134C618" w:rsidR="00A804F0" w:rsidRDefault="00A804F0" w:rsidP="00A804F0">
            <w:pPr>
              <w:jc w:val="center"/>
            </w:pPr>
            <w:r>
              <w:t>0.0060</w:t>
            </w:r>
          </w:p>
        </w:tc>
        <w:tc>
          <w:tcPr>
            <w:tcW w:w="1169" w:type="dxa"/>
          </w:tcPr>
          <w:p w14:paraId="1CEC70F8" w14:textId="0FD6847A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0.090</w:t>
            </w:r>
          </w:p>
        </w:tc>
        <w:tc>
          <w:tcPr>
            <w:tcW w:w="1169" w:type="dxa"/>
          </w:tcPr>
          <w:p w14:paraId="35B68B8C" w14:textId="4FA64D1D" w:rsidR="00A804F0" w:rsidRPr="00A804F0" w:rsidRDefault="00A804F0" w:rsidP="00A804F0">
            <w:pPr>
              <w:jc w:val="center"/>
              <w:rPr>
                <w:b/>
                <w:bCs/>
              </w:rPr>
            </w:pPr>
            <w:r w:rsidRPr="00A804F0">
              <w:rPr>
                <w:b/>
                <w:bCs/>
              </w:rPr>
              <w:t>0.955</w:t>
            </w:r>
          </w:p>
        </w:tc>
        <w:tc>
          <w:tcPr>
            <w:tcW w:w="1169" w:type="dxa"/>
          </w:tcPr>
          <w:p w14:paraId="37144F34" w14:textId="7DD4F2AD" w:rsidR="00A804F0" w:rsidRDefault="00A804F0" w:rsidP="00A804F0">
            <w:pPr>
              <w:jc w:val="center"/>
            </w:pPr>
            <w:r w:rsidRPr="00D62984">
              <w:t>0.38</w:t>
            </w:r>
          </w:p>
        </w:tc>
      </w:tr>
    </w:tbl>
    <w:p w14:paraId="3A0571AB" w14:textId="77777777" w:rsidR="00C0632E" w:rsidRDefault="00C0632E" w:rsidP="00C0632E"/>
    <w:p w14:paraId="573514CC" w14:textId="4CFCF033" w:rsidR="00AD6AD8" w:rsidRPr="00A804F0" w:rsidRDefault="00A804F0" w:rsidP="00A804F0">
      <w:pPr>
        <w:pStyle w:val="Heading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The table shows that for any of these thresholds used in gradient boosting, there is a threshold to use in logistic regression that achieves a better specificity </w:t>
      </w:r>
      <w:r>
        <w:rPr>
          <w:b w:val="0"/>
          <w:bCs/>
          <w:i/>
          <w:iCs/>
        </w:rPr>
        <w:t>and</w:t>
      </w:r>
      <w:r>
        <w:rPr>
          <w:b w:val="0"/>
          <w:bCs/>
        </w:rPr>
        <w:t xml:space="preserve"> a better sensitivity.  So, for this specific question, we would probably be better off using a logistic regression model instead of a gradient boosting model.  (However, that’s not the case for every question; there are also instances where gradient boosting does better than logistic regression.  In general, you might want to try multiple types of models and see which one works best.)</w:t>
      </w:r>
    </w:p>
    <w:sectPr w:rsidR="00AD6AD8" w:rsidRPr="00A804F0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8646" w14:textId="77777777" w:rsidR="00027CE9" w:rsidRDefault="00027CE9" w:rsidP="007C2DDA">
      <w:r>
        <w:separator/>
      </w:r>
    </w:p>
  </w:endnote>
  <w:endnote w:type="continuationSeparator" w:id="0">
    <w:p w14:paraId="27072F8A" w14:textId="77777777" w:rsidR="00027CE9" w:rsidRDefault="00027CE9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2701" w14:textId="77777777" w:rsidR="00027CE9" w:rsidRDefault="00027CE9" w:rsidP="007C2DDA">
      <w:r>
        <w:separator/>
      </w:r>
    </w:p>
  </w:footnote>
  <w:footnote w:type="continuationSeparator" w:id="0">
    <w:p w14:paraId="686FAFAA" w14:textId="77777777" w:rsidR="00027CE9" w:rsidRDefault="00027CE9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9244D3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1DAE5430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F428C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C3BAC"/>
    <w:multiLevelType w:val="hybridMultilevel"/>
    <w:tmpl w:val="F0AE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3B41"/>
    <w:multiLevelType w:val="hybridMultilevel"/>
    <w:tmpl w:val="51266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BD439F"/>
    <w:multiLevelType w:val="hybridMultilevel"/>
    <w:tmpl w:val="2C08A7BE"/>
    <w:lvl w:ilvl="0" w:tplc="FEA827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00F03"/>
    <w:multiLevelType w:val="hybridMultilevel"/>
    <w:tmpl w:val="71B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73057">
    <w:abstractNumId w:val="2"/>
  </w:num>
  <w:num w:numId="2" w16cid:durableId="2054183805">
    <w:abstractNumId w:val="4"/>
  </w:num>
  <w:num w:numId="3" w16cid:durableId="729378299">
    <w:abstractNumId w:val="1"/>
  </w:num>
  <w:num w:numId="4" w16cid:durableId="1752189922">
    <w:abstractNumId w:val="12"/>
  </w:num>
  <w:num w:numId="5" w16cid:durableId="1811173498">
    <w:abstractNumId w:val="8"/>
  </w:num>
  <w:num w:numId="6" w16cid:durableId="1322346121">
    <w:abstractNumId w:val="3"/>
  </w:num>
  <w:num w:numId="7" w16cid:durableId="653722820">
    <w:abstractNumId w:val="10"/>
  </w:num>
  <w:num w:numId="8" w16cid:durableId="1644387085">
    <w:abstractNumId w:val="0"/>
  </w:num>
  <w:num w:numId="9" w16cid:durableId="907813177">
    <w:abstractNumId w:val="13"/>
  </w:num>
  <w:num w:numId="10" w16cid:durableId="1302536264">
    <w:abstractNumId w:val="5"/>
  </w:num>
  <w:num w:numId="11" w16cid:durableId="1660763828">
    <w:abstractNumId w:val="6"/>
  </w:num>
  <w:num w:numId="12" w16cid:durableId="1620719258">
    <w:abstractNumId w:val="7"/>
  </w:num>
  <w:num w:numId="13" w16cid:durableId="50423664">
    <w:abstractNumId w:val="11"/>
  </w:num>
  <w:num w:numId="14" w16cid:durableId="2050572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7F9"/>
    <w:rsid w:val="00027CE9"/>
    <w:rsid w:val="00052CD8"/>
    <w:rsid w:val="00072B17"/>
    <w:rsid w:val="001365D8"/>
    <w:rsid w:val="00140626"/>
    <w:rsid w:val="00142415"/>
    <w:rsid w:val="0019624E"/>
    <w:rsid w:val="001D303C"/>
    <w:rsid w:val="001D3773"/>
    <w:rsid w:val="001F5908"/>
    <w:rsid w:val="00237514"/>
    <w:rsid w:val="00262EBC"/>
    <w:rsid w:val="002744CC"/>
    <w:rsid w:val="00281DE1"/>
    <w:rsid w:val="002A107A"/>
    <w:rsid w:val="002D1991"/>
    <w:rsid w:val="002D4A9C"/>
    <w:rsid w:val="002F6EFA"/>
    <w:rsid w:val="003614B4"/>
    <w:rsid w:val="00374703"/>
    <w:rsid w:val="00421F4C"/>
    <w:rsid w:val="00435BD2"/>
    <w:rsid w:val="00443EF1"/>
    <w:rsid w:val="004D4E5F"/>
    <w:rsid w:val="00630D96"/>
    <w:rsid w:val="006E4A3A"/>
    <w:rsid w:val="006E5E75"/>
    <w:rsid w:val="0076257A"/>
    <w:rsid w:val="007C2DDA"/>
    <w:rsid w:val="007E1640"/>
    <w:rsid w:val="00836D6A"/>
    <w:rsid w:val="00921A2E"/>
    <w:rsid w:val="00956F8A"/>
    <w:rsid w:val="009741CE"/>
    <w:rsid w:val="0099428E"/>
    <w:rsid w:val="00A14BD0"/>
    <w:rsid w:val="00A20346"/>
    <w:rsid w:val="00A4533C"/>
    <w:rsid w:val="00A804F0"/>
    <w:rsid w:val="00A96B88"/>
    <w:rsid w:val="00AD6AD8"/>
    <w:rsid w:val="00B33936"/>
    <w:rsid w:val="00B65983"/>
    <w:rsid w:val="00B77532"/>
    <w:rsid w:val="00B91A33"/>
    <w:rsid w:val="00C0632E"/>
    <w:rsid w:val="00C23876"/>
    <w:rsid w:val="00C2727E"/>
    <w:rsid w:val="00C30ADC"/>
    <w:rsid w:val="00C45616"/>
    <w:rsid w:val="00C93A82"/>
    <w:rsid w:val="00D04308"/>
    <w:rsid w:val="00D31C83"/>
    <w:rsid w:val="00D63855"/>
    <w:rsid w:val="00D71DFC"/>
    <w:rsid w:val="00D81AFC"/>
    <w:rsid w:val="00DB6F27"/>
    <w:rsid w:val="00DD3C7F"/>
    <w:rsid w:val="00DD5171"/>
    <w:rsid w:val="00E05F4D"/>
    <w:rsid w:val="00E379CE"/>
    <w:rsid w:val="00E6255D"/>
    <w:rsid w:val="00E76C3F"/>
    <w:rsid w:val="00EA334D"/>
    <w:rsid w:val="00EC459B"/>
    <w:rsid w:val="00ED0012"/>
    <w:rsid w:val="00F3442A"/>
    <w:rsid w:val="00F77E40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0C7F0656-401A-4BFE-8EC5-6DF9B5C4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atlog+%28German+Credit+Data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statlog/germ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4</cp:revision>
  <cp:lastPrinted>2017-05-09T12:58:00Z</cp:lastPrinted>
  <dcterms:created xsi:type="dcterms:W3CDTF">2022-11-02T02:27:00Z</dcterms:created>
  <dcterms:modified xsi:type="dcterms:W3CDTF">2022-11-02T03:02:00Z</dcterms:modified>
</cp:coreProperties>
</file>