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D615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Unsupervised Learning and Prediction</w:t>
      </w:r>
    </w:p>
    <w:p w14:paraId="54DFB00E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Unsupervised learning can play an important role in prediction,</w:t>
      </w:r>
    </w:p>
    <w:p w14:paraId="2471ED6B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both for regression and classification problems. In some cases, we</w:t>
      </w:r>
    </w:p>
    <w:p w14:paraId="41ADDDAA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want to predict a category in the absence of any labeled data. For</w:t>
      </w:r>
    </w:p>
    <w:p w14:paraId="461D9AA6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example, we might want to predict the type of vegetation in an area</w:t>
      </w:r>
    </w:p>
    <w:p w14:paraId="78C2AE9D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from a set of satellite sensory data. Since we don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’</w:t>
      </w:r>
      <w:r>
        <w:rPr>
          <w:rFonts w:ascii="MinionPro-Regular" w:eastAsia="MinionPro-Regular" w:hAnsi="MyriadPro-SemiboldCond" w:cs="MinionPro-Regular"/>
          <w:sz w:val="19"/>
          <w:szCs w:val="19"/>
        </w:rPr>
        <w:t>t have a response</w:t>
      </w:r>
    </w:p>
    <w:p w14:paraId="5FB1B4D8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variable to train a model, clustering gives us a way to identify common</w:t>
      </w:r>
    </w:p>
    <w:p w14:paraId="3F73AD64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patterns and categorize the regions.</w:t>
      </w:r>
    </w:p>
    <w:p w14:paraId="53CFB6E2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Clustering is an especially important tool for the 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sz w:val="19"/>
          <w:szCs w:val="19"/>
        </w:rPr>
        <w:t>cold-start problem.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”</w:t>
      </w:r>
    </w:p>
    <w:p w14:paraId="62A7E8F8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In this type of problem, such as launching a new marketing</w:t>
      </w:r>
    </w:p>
    <w:p w14:paraId="5EA16F5F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campaign or identifying potential new types of fraud or spam, we</w:t>
      </w:r>
    </w:p>
    <w:p w14:paraId="723A8452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initially may not have any response to train a model. Over time, as</w:t>
      </w:r>
    </w:p>
    <w:p w14:paraId="49F344CF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data is collected, we can learn more about the system and build a</w:t>
      </w:r>
    </w:p>
    <w:p w14:paraId="14A39F54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traditional predictive model. But clustering helps us start the learning</w:t>
      </w:r>
    </w:p>
    <w:p w14:paraId="64242318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process more quickly by identifying population segments.</w:t>
      </w:r>
    </w:p>
    <w:p w14:paraId="596337CB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Unsupervised learning is also important as a building block for</w:t>
      </w:r>
    </w:p>
    <w:p w14:paraId="4E604C0C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regression and classification techniques. With big data, if a small</w:t>
      </w:r>
    </w:p>
    <w:p w14:paraId="5F525860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subpopulation is not well represented in the overall population, the</w:t>
      </w:r>
    </w:p>
    <w:p w14:paraId="751549EA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trained model may not perform well for that subpopulation. With</w:t>
      </w:r>
    </w:p>
    <w:p w14:paraId="4CC19D8D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clustering, it is possible to identify and label subpopulations. Separate</w:t>
      </w:r>
    </w:p>
    <w:p w14:paraId="3AC61AB1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models can then be fit to the different subpopulations. Alternatively,</w:t>
      </w:r>
    </w:p>
    <w:p w14:paraId="5CFAC46D" w14:textId="77777777" w:rsidR="00C60E7E" w:rsidRDefault="00C60E7E" w:rsidP="00C60E7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the subpopulation can be represented with its own feature,</w:t>
      </w:r>
    </w:p>
    <w:p w14:paraId="0E52BDFB" w14:textId="7779721A" w:rsidR="00157FD1" w:rsidRDefault="00C60E7E" w:rsidP="00C60E7E">
      <w:pPr>
        <w:rPr>
          <w:rFonts w:eastAsia="MinionPro-Regular" w:cs="MinionPro-Regular"/>
          <w:b/>
          <w:bCs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forcing the overall model</w:t>
      </w:r>
      <w:r w:rsidR="002B5B40">
        <w:rPr>
          <w:rFonts w:eastAsia="MinionPro-Regular" w:cs="MinionPro-Regular"/>
          <w:sz w:val="19"/>
          <w:szCs w:val="19"/>
        </w:rPr>
        <w:t xml:space="preserve"> </w:t>
      </w:r>
      <w:r w:rsidR="002B5B40">
        <w:rPr>
          <w:rFonts w:eastAsia="MinionPro-Regular" w:cs="MinionPro-Regular"/>
          <w:b/>
          <w:bCs/>
          <w:sz w:val="19"/>
          <w:szCs w:val="19"/>
        </w:rPr>
        <w:t>B</w:t>
      </w:r>
    </w:p>
    <w:p w14:paraId="091B3534" w14:textId="73D4B2C7" w:rsidR="002B5B40" w:rsidRDefault="002B5B40" w:rsidP="00C60E7E">
      <w:pPr>
        <w:rPr>
          <w:rFonts w:eastAsia="MinionPro-Regular" w:cs="MinionPro-Regular"/>
          <w:b/>
          <w:bCs/>
          <w:sz w:val="19"/>
          <w:szCs w:val="19"/>
        </w:rPr>
      </w:pPr>
    </w:p>
    <w:p w14:paraId="7E03EA60" w14:textId="77777777" w:rsidR="00C2493A" w:rsidRDefault="00C2493A" w:rsidP="00C2493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It is also common to compute principal components on deviations</w:t>
      </w:r>
    </w:p>
    <w:p w14:paraId="77437004" w14:textId="77777777" w:rsidR="00C2493A" w:rsidRDefault="00C2493A" w:rsidP="00C2493A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from the means of the predictor variables, rather than on the values</w:t>
      </w:r>
    </w:p>
    <w:p w14:paraId="41DB608C" w14:textId="61D54DF0" w:rsidR="002B5B40" w:rsidRDefault="00C2493A" w:rsidP="00C2493A">
      <w:pPr>
        <w:rPr>
          <w:rFonts w:eastAsia="MinionPro-Regular" w:cs="MinionPro-Regular"/>
          <w:b/>
          <w:bCs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themselves.</w:t>
      </w:r>
      <w:r>
        <w:rPr>
          <w:rFonts w:eastAsia="MinionPro-Regular" w:cs="MinionPro-Regular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sz w:val="19"/>
          <w:szCs w:val="19"/>
        </w:rPr>
        <w:t>B</w:t>
      </w:r>
    </w:p>
    <w:p w14:paraId="4F1BD231" w14:textId="4A4C7211" w:rsidR="00C2493A" w:rsidRDefault="00C2493A" w:rsidP="00C2493A">
      <w:pPr>
        <w:rPr>
          <w:rFonts w:eastAsia="MinionPro-Regular" w:cs="MinionPro-Regular"/>
          <w:b/>
          <w:bCs/>
          <w:sz w:val="19"/>
          <w:szCs w:val="19"/>
        </w:rPr>
      </w:pPr>
    </w:p>
    <w:p w14:paraId="7CD170F4" w14:textId="77777777" w:rsidR="00D0232E" w:rsidRDefault="00D0232E" w:rsidP="00D0232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The weights for the first principal component are both negative,</w:t>
      </w:r>
    </w:p>
    <w:p w14:paraId="09E72EB7" w14:textId="77777777" w:rsidR="00D0232E" w:rsidRDefault="00D0232E" w:rsidP="00D0232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but reversing the sign of all the weights does not change the principal</w:t>
      </w:r>
    </w:p>
    <w:p w14:paraId="04F7CF84" w14:textId="77777777" w:rsidR="00D0232E" w:rsidRDefault="00D0232E" w:rsidP="00D0232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component. For example, using weights of 0.747 and 0.665 for</w:t>
      </w:r>
    </w:p>
    <w:p w14:paraId="31E0B4CD" w14:textId="77777777" w:rsidR="00D0232E" w:rsidRDefault="00D0232E" w:rsidP="00D0232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the first principal component is equivalent to the negative weights,</w:t>
      </w:r>
    </w:p>
    <w:p w14:paraId="1484D8A5" w14:textId="77777777" w:rsidR="00D0232E" w:rsidRDefault="00D0232E" w:rsidP="00D0232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just as an infinite line defined by the origin and 1,1 is the same as</w:t>
      </w:r>
    </w:p>
    <w:p w14:paraId="71C0E42B" w14:textId="112E6FE4" w:rsidR="00D0232E" w:rsidRDefault="00D0232E" w:rsidP="00D0232E">
      <w:pPr>
        <w:rPr>
          <w:rFonts w:eastAsia="MinionPro-Regular" w:cs="MinionPro-Regular"/>
          <w:b/>
          <w:bCs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 xml:space="preserve">one defined by the origin and </w:t>
      </w:r>
      <w:r>
        <w:rPr>
          <w:rFonts w:ascii="MinionPro-Regular" w:eastAsia="MinionPro-Regular" w:cs="MinionPro-Regular" w:hint="eastAsia"/>
          <w:sz w:val="19"/>
          <w:szCs w:val="19"/>
        </w:rPr>
        <w:t>–</w:t>
      </w:r>
      <w:r>
        <w:rPr>
          <w:rFonts w:ascii="MinionPro-Regular" w:eastAsia="MinionPro-Regular" w:cs="MinionPro-Regular"/>
          <w:sz w:val="19"/>
          <w:szCs w:val="19"/>
        </w:rPr>
        <w:t xml:space="preserve">1, </w:t>
      </w:r>
      <w:r>
        <w:rPr>
          <w:rFonts w:ascii="MinionPro-Regular" w:eastAsia="MinionPro-Regular" w:cs="MinionPro-Regular" w:hint="eastAsia"/>
          <w:sz w:val="19"/>
          <w:szCs w:val="19"/>
        </w:rPr>
        <w:t>–</w:t>
      </w:r>
      <w:r>
        <w:rPr>
          <w:rFonts w:ascii="MinionPro-Regular" w:eastAsia="MinionPro-Regular" w:cs="MinionPro-Regular"/>
          <w:sz w:val="19"/>
          <w:szCs w:val="19"/>
        </w:rPr>
        <w:t>1.</w:t>
      </w:r>
      <w:r>
        <w:rPr>
          <w:rFonts w:eastAsia="MinionPro-Regular" w:cs="MinionPro-Regular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sz w:val="19"/>
          <w:szCs w:val="19"/>
        </w:rPr>
        <w:t>B</w:t>
      </w:r>
    </w:p>
    <w:p w14:paraId="3D873E1E" w14:textId="490F7316" w:rsidR="00D0232E" w:rsidRDefault="00D0232E" w:rsidP="00D0232E">
      <w:pPr>
        <w:rPr>
          <w:rFonts w:eastAsia="MinionPro-Regular" w:cs="MinionPro-Regular"/>
          <w:b/>
          <w:bCs/>
          <w:sz w:val="19"/>
          <w:szCs w:val="19"/>
        </w:rPr>
      </w:pPr>
    </w:p>
    <w:p w14:paraId="3574BF1B" w14:textId="77777777" w:rsidR="00994EB9" w:rsidRDefault="00994EB9" w:rsidP="00994EB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</w:rPr>
      </w:pPr>
      <w:r>
        <w:rPr>
          <w:rFonts w:ascii="MyriadPro-SemiboldCond" w:hAnsi="MyriadPro-SemiboldCond" w:cs="MyriadPro-SemiboldCond"/>
          <w:color w:val="000000"/>
        </w:rPr>
        <w:t>How Many Components to Choose?</w:t>
      </w:r>
    </w:p>
    <w:p w14:paraId="5AD43C6F" w14:textId="77777777" w:rsidR="00994EB9" w:rsidRDefault="00994EB9" w:rsidP="00994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If your goal is to reduce the dimension of the data, you must decide</w:t>
      </w:r>
    </w:p>
    <w:p w14:paraId="1B1F4F0F" w14:textId="77777777" w:rsidR="00994EB9" w:rsidRDefault="00994EB9" w:rsidP="00994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how many principal components to select. The most common</w:t>
      </w:r>
    </w:p>
    <w:p w14:paraId="1B28B909" w14:textId="77777777" w:rsidR="00994EB9" w:rsidRDefault="00994EB9" w:rsidP="00994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approach is to use an ad hoc rule to select the components that</w:t>
      </w:r>
    </w:p>
    <w:p w14:paraId="044F45CC" w14:textId="77777777" w:rsidR="00994EB9" w:rsidRDefault="00994EB9" w:rsidP="00994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explain </w:t>
      </w:r>
      <w:r>
        <w:rPr>
          <w:rFonts w:ascii="MinionPro-Regular" w:eastAsia="MinionPro-Regular" w:hAnsi="MyriadPro-SemiboldCond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most</w:t>
      </w:r>
      <w:r>
        <w:rPr>
          <w:rFonts w:ascii="MinionPro-Regular" w:eastAsia="MinionPro-Regular" w:hAnsi="MyriadPro-SemiboldCond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 of the variance. You can do this visually through the</w:t>
      </w:r>
    </w:p>
    <w:p w14:paraId="70354713" w14:textId="77777777" w:rsidR="00994EB9" w:rsidRDefault="00994EB9" w:rsidP="00994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screeplot, as, for example, in 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Figure 7-2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. Alternatively, you could</w:t>
      </w:r>
    </w:p>
    <w:p w14:paraId="46F484EF" w14:textId="77777777" w:rsidR="00994EB9" w:rsidRDefault="00994EB9" w:rsidP="00994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lastRenderedPageBreak/>
        <w:t>select the top components such that the cumulative variance</w:t>
      </w:r>
    </w:p>
    <w:p w14:paraId="2D9CA75B" w14:textId="77777777" w:rsidR="00994EB9" w:rsidRDefault="00994EB9" w:rsidP="00994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exceeds a threshold, such as 80%. Also, you can inspect the loadings</w:t>
      </w:r>
    </w:p>
    <w:p w14:paraId="6DCD226D" w14:textId="77777777" w:rsidR="00994EB9" w:rsidRDefault="00994EB9" w:rsidP="00994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to determine if the component has an intuitive interpretation.</w:t>
      </w:r>
    </w:p>
    <w:p w14:paraId="71AE9DAA" w14:textId="77777777" w:rsidR="00994EB9" w:rsidRDefault="00994EB9" w:rsidP="00994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Cross-validation provides a more formal method to select the</w:t>
      </w:r>
    </w:p>
    <w:p w14:paraId="52E37C84" w14:textId="77777777" w:rsidR="00994EB9" w:rsidRDefault="00994EB9" w:rsidP="00994EB9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9A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number of significant components (see 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Cross-Validation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 xml:space="preserve"> on page</w:t>
      </w:r>
    </w:p>
    <w:p w14:paraId="70BEFD2A" w14:textId="08C72A02" w:rsidR="00994EB9" w:rsidRDefault="00994EB9" w:rsidP="00994EB9">
      <w:pPr>
        <w:rPr>
          <w:rFonts w:eastAsia="MinionPro-Regular" w:cs="MinionPro-Regular"/>
          <w:b/>
          <w:bCs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 xml:space="preserve">155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for more).</w:t>
      </w:r>
      <w:r>
        <w:rPr>
          <w:rFonts w:eastAsia="MinionPro-Regular" w:cs="MinionPro-Regular"/>
          <w:color w:val="000000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color w:val="000000"/>
          <w:sz w:val="19"/>
          <w:szCs w:val="19"/>
        </w:rPr>
        <w:t>B</w:t>
      </w:r>
    </w:p>
    <w:p w14:paraId="012A53D6" w14:textId="77777777" w:rsidR="00566A3D" w:rsidRDefault="00566A3D" w:rsidP="00566A3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</w:rPr>
      </w:pPr>
      <w:r>
        <w:rPr>
          <w:rFonts w:ascii="MyriadPro-SemiboldCond" w:hAnsi="MyriadPro-SemiboldCond" w:cs="MyriadPro-SemiboldCond"/>
          <w:color w:val="000000"/>
        </w:rPr>
        <w:t>Normalization</w:t>
      </w:r>
    </w:p>
    <w:p w14:paraId="4FDEF8E1" w14:textId="77777777" w:rsidR="00566A3D" w:rsidRDefault="00566A3D" w:rsidP="00566A3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It is typical to normalize (standardize) continuous variables by subtracting</w:t>
      </w:r>
    </w:p>
    <w:p w14:paraId="37FEBC29" w14:textId="77777777" w:rsidR="00566A3D" w:rsidRDefault="00566A3D" w:rsidP="00566A3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the mean and dividing by the standard deviation. Otherwise,</w:t>
      </w:r>
    </w:p>
    <w:p w14:paraId="42854FD4" w14:textId="77777777" w:rsidR="00566A3D" w:rsidRDefault="00566A3D" w:rsidP="00566A3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variables with large scale will dominate the clustering process</w:t>
      </w:r>
    </w:p>
    <w:p w14:paraId="5BA3384F" w14:textId="28712B47" w:rsidR="00994EB9" w:rsidRDefault="00566A3D" w:rsidP="00566A3D">
      <w:pPr>
        <w:rPr>
          <w:rFonts w:eastAsia="MinionPro-Regular" w:cs="MinionPro-Regular"/>
          <w:b/>
          <w:bCs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(see 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Standardization (Normalization, z-Scores)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 xml:space="preserve"> on page 243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).</w:t>
      </w:r>
      <w:r>
        <w:rPr>
          <w:rFonts w:eastAsia="MinionPro-Regular" w:cs="MinionPro-Regular"/>
          <w:color w:val="000000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color w:val="000000"/>
          <w:sz w:val="19"/>
          <w:szCs w:val="19"/>
        </w:rPr>
        <w:t>B</w:t>
      </w:r>
    </w:p>
    <w:p w14:paraId="1895FAB1" w14:textId="4CBF1F1C" w:rsidR="00566A3D" w:rsidRDefault="00566A3D" w:rsidP="00566A3D">
      <w:pPr>
        <w:rPr>
          <w:rFonts w:eastAsia="MinionPro-Regular" w:cs="MinionPro-Regular"/>
          <w:b/>
          <w:bCs/>
          <w:color w:val="000000"/>
          <w:sz w:val="19"/>
          <w:szCs w:val="19"/>
        </w:rPr>
      </w:pPr>
    </w:p>
    <w:p w14:paraId="7DE93A2D" w14:textId="77777777" w:rsidR="00566A3D" w:rsidRDefault="00566A3D" w:rsidP="00566A3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Cluster Mean</w:t>
      </w:r>
    </w:p>
    <w:p w14:paraId="7769DE2F" w14:textId="77777777" w:rsidR="00566A3D" w:rsidRDefault="00566A3D" w:rsidP="00566A3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In clustering records with multiple variables (the typical case), the</w:t>
      </w:r>
    </w:p>
    <w:p w14:paraId="337DAB6F" w14:textId="77777777" w:rsidR="00566A3D" w:rsidRDefault="00566A3D" w:rsidP="00566A3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term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 xml:space="preserve">cluster mean </w:t>
      </w:r>
      <w:r>
        <w:rPr>
          <w:rFonts w:ascii="MinionPro-Regular" w:eastAsia="MinionPro-Regular" w:hAnsi="MyriadPro-SemiboldCond" w:cs="MinionPro-Regular"/>
          <w:sz w:val="19"/>
          <w:szCs w:val="19"/>
        </w:rPr>
        <w:t>refers not to a single number but to the vector of</w:t>
      </w:r>
    </w:p>
    <w:p w14:paraId="5B194199" w14:textId="600BB4B4" w:rsidR="00566A3D" w:rsidRDefault="00566A3D" w:rsidP="00566A3D">
      <w:pPr>
        <w:rPr>
          <w:rFonts w:eastAsia="MinionPro-Regular" w:cs="MinionPro-Regular"/>
          <w:b/>
          <w:bCs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means of the variables.</w:t>
      </w:r>
      <w:r>
        <w:rPr>
          <w:rFonts w:eastAsia="MinionPro-Regular" w:cs="MinionPro-Regular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sz w:val="19"/>
          <w:szCs w:val="19"/>
        </w:rPr>
        <w:t>O</w:t>
      </w:r>
    </w:p>
    <w:p w14:paraId="3C20543A" w14:textId="3F4C120F" w:rsidR="00DA2F57" w:rsidRDefault="00DA2F57" w:rsidP="00566A3D">
      <w:pPr>
        <w:rPr>
          <w:rFonts w:eastAsia="MinionPro-Regular" w:cs="MinionPro-Regular"/>
          <w:b/>
          <w:bCs/>
          <w:sz w:val="19"/>
          <w:szCs w:val="19"/>
        </w:rPr>
      </w:pPr>
    </w:p>
    <w:p w14:paraId="5401701D" w14:textId="77777777" w:rsidR="00DA2F57" w:rsidRDefault="00DA2F57" w:rsidP="00DA2F5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</w:rPr>
      </w:pPr>
      <w:r>
        <w:rPr>
          <w:rFonts w:ascii="MyriadPro-SemiboldCond" w:hAnsi="MyriadPro-SemiboldCond" w:cs="MyriadPro-SemiboldCond"/>
          <w:color w:val="000000"/>
        </w:rPr>
        <w:t>Cluster Analysis Versus PCA</w:t>
      </w:r>
    </w:p>
    <w:p w14:paraId="5636FE2C" w14:textId="77777777" w:rsidR="00DA2F57" w:rsidRDefault="00DA2F57" w:rsidP="00DA2F5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The plot of cluster means is similar in spirit to looking at the loadings</w:t>
      </w:r>
    </w:p>
    <w:p w14:paraId="16C1BE92" w14:textId="77777777" w:rsidR="00DA2F57" w:rsidRDefault="00DA2F57" w:rsidP="00DA2F5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9A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for principal components analysis (PCA); see 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Interpreting</w:t>
      </w:r>
    </w:p>
    <w:p w14:paraId="21B89FB0" w14:textId="77777777" w:rsidR="00DA2F57" w:rsidRDefault="00DA2F57" w:rsidP="00DA2F5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Principal Components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 xml:space="preserve"> on page 289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. A major distinction is that</w:t>
      </w:r>
    </w:p>
    <w:p w14:paraId="42D2E2B4" w14:textId="77777777" w:rsidR="00DA2F57" w:rsidRDefault="00DA2F57" w:rsidP="00DA2F5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unlike with PCA, the sign of the cluster means is meaningful. PCA</w:t>
      </w:r>
    </w:p>
    <w:p w14:paraId="2F4FDCF9" w14:textId="77777777" w:rsidR="00DA2F57" w:rsidRDefault="00DA2F57" w:rsidP="00DA2F5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identifies principal directions of variation, whereas cluster analysis</w:t>
      </w:r>
    </w:p>
    <w:p w14:paraId="645D8CE2" w14:textId="179129CC" w:rsidR="00DA2F57" w:rsidRDefault="00DA2F57" w:rsidP="00DA2F57">
      <w:pPr>
        <w:rPr>
          <w:rFonts w:eastAsia="MinionPro-Regular" w:cs="MinionPro-Regular"/>
          <w:b/>
          <w:bCs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finds groups of records located near one another.</w:t>
      </w:r>
      <w:r>
        <w:rPr>
          <w:rFonts w:eastAsia="MinionPro-Regular" w:cs="MinionPro-Regular"/>
          <w:color w:val="000000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color w:val="000000"/>
          <w:sz w:val="19"/>
          <w:szCs w:val="19"/>
        </w:rPr>
        <w:t>B</w:t>
      </w:r>
    </w:p>
    <w:p w14:paraId="582BBB52" w14:textId="77777777" w:rsidR="001B0305" w:rsidRDefault="001B0305" w:rsidP="001B03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There are several more formal ways to determine the number of</w:t>
      </w:r>
    </w:p>
    <w:p w14:paraId="20BE1494" w14:textId="77777777" w:rsidR="001B0305" w:rsidRDefault="001B0305" w:rsidP="001B03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clusters based on statistical or information theory. For example,</w:t>
      </w:r>
    </w:p>
    <w:p w14:paraId="372838CC" w14:textId="77777777" w:rsidR="001B0305" w:rsidRDefault="001B0305" w:rsidP="001B03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9A0000"/>
          <w:sz w:val="19"/>
          <w:szCs w:val="19"/>
        </w:rPr>
      </w:pPr>
      <w:r>
        <w:rPr>
          <w:rFonts w:ascii="MinionPro-Regular" w:eastAsia="MinionPro-Regular" w:cs="MinionPro-Regular"/>
          <w:color w:val="9A0000"/>
          <w:sz w:val="19"/>
          <w:szCs w:val="19"/>
        </w:rPr>
        <w:t>Robert Tibshirani, Guenther Walther, and Trevor Hastie propose a</w:t>
      </w:r>
    </w:p>
    <w:p w14:paraId="1D17CB72" w14:textId="77777777" w:rsidR="001B0305" w:rsidRDefault="001B0305" w:rsidP="001B03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cs="MinionPro-Regular"/>
          <w:color w:val="9A0000"/>
          <w:sz w:val="19"/>
          <w:szCs w:val="19"/>
        </w:rPr>
        <w:t>gap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cs="MinionPro-Regular"/>
          <w:color w:val="9A0000"/>
          <w:sz w:val="19"/>
          <w:szCs w:val="19"/>
        </w:rPr>
        <w:t xml:space="preserve"> statistic 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based on statistical theory to identify the elbow. For</w:t>
      </w:r>
    </w:p>
    <w:p w14:paraId="34E48605" w14:textId="77777777" w:rsidR="001B0305" w:rsidRDefault="001B0305" w:rsidP="001B0305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most applications, a theoretical approach is probably not necessary,</w:t>
      </w:r>
    </w:p>
    <w:p w14:paraId="36FD31EE" w14:textId="5816CC08" w:rsidR="00DA2F57" w:rsidRDefault="001B0305" w:rsidP="001B0305">
      <w:pPr>
        <w:rPr>
          <w:rFonts w:eastAsia="MinionPro-Regular" w:cs="MinionPro-Regular"/>
          <w:b/>
          <w:bCs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or even appropriate.</w:t>
      </w:r>
      <w:r>
        <w:rPr>
          <w:rFonts w:eastAsia="MinionPro-Regular" w:cs="MinionPro-Regular"/>
          <w:color w:val="000000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color w:val="000000"/>
          <w:sz w:val="19"/>
          <w:szCs w:val="19"/>
        </w:rPr>
        <w:t>B</w:t>
      </w:r>
      <w:r>
        <w:rPr>
          <w:rFonts w:eastAsia="MinionPro-Regular" w:cs="MinionPro-Regular"/>
          <w:b/>
          <w:bCs/>
          <w:color w:val="000000"/>
          <w:sz w:val="19"/>
          <w:szCs w:val="19"/>
        </w:rPr>
        <w:br/>
      </w:r>
    </w:p>
    <w:p w14:paraId="18433BF8" w14:textId="77777777" w:rsidR="00731B4D" w:rsidRDefault="00731B4D" w:rsidP="00731B4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Note that in most cases BIC is usually minimized. The authors of</w:t>
      </w:r>
    </w:p>
    <w:p w14:paraId="6660466C" w14:textId="77777777" w:rsidR="00731B4D" w:rsidRDefault="00731B4D" w:rsidP="00731B4D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 xml:space="preserve">the </w:t>
      </w:r>
      <w:r>
        <w:rPr>
          <w:rFonts w:ascii="UbuntuMono-Regular" w:eastAsia="MinionPro-Regular" w:hAnsi="UbuntuMono-Regular" w:cs="UbuntuMono-Regular"/>
          <w:sz w:val="18"/>
          <w:szCs w:val="18"/>
        </w:rPr>
        <w:t xml:space="preserve">mclust </w:t>
      </w:r>
      <w:r>
        <w:rPr>
          <w:rFonts w:ascii="MinionPro-Regular" w:eastAsia="MinionPro-Regular" w:cs="MinionPro-Regular"/>
          <w:sz w:val="19"/>
          <w:szCs w:val="19"/>
        </w:rPr>
        <w:t>package decided to define BIC to have the opposite sign</w:t>
      </w:r>
    </w:p>
    <w:p w14:paraId="5F7C93C9" w14:textId="491056D7" w:rsidR="00731B4D" w:rsidRDefault="00731B4D" w:rsidP="00731B4D">
      <w:pPr>
        <w:rPr>
          <w:rFonts w:eastAsia="MinionPro-Regular" w:cs="MinionPro-Regular"/>
          <w:b/>
          <w:bCs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to make interpretation of plots easier.</w:t>
      </w:r>
      <w:r>
        <w:rPr>
          <w:rFonts w:eastAsia="MinionPro-Regular" w:cs="MinionPro-Regular"/>
          <w:b/>
          <w:bCs/>
          <w:sz w:val="19"/>
          <w:szCs w:val="19"/>
        </w:rPr>
        <w:t>O</w:t>
      </w:r>
    </w:p>
    <w:p w14:paraId="741C37AD" w14:textId="77777777" w:rsidR="00B56CB7" w:rsidRDefault="00B56CB7" w:rsidP="00B56CB7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19"/>
          <w:szCs w:val="19"/>
        </w:rPr>
      </w:pPr>
    </w:p>
    <w:p w14:paraId="4306FBCE" w14:textId="77777777" w:rsidR="00B56CB7" w:rsidRDefault="00B56CB7" w:rsidP="00B56CB7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19"/>
          <w:szCs w:val="19"/>
        </w:rPr>
      </w:pPr>
    </w:p>
    <w:p w14:paraId="01318B68" w14:textId="77777777" w:rsidR="00B56CB7" w:rsidRDefault="00B56CB7" w:rsidP="00B56CB7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19"/>
          <w:szCs w:val="19"/>
        </w:rPr>
      </w:pPr>
    </w:p>
    <w:p w14:paraId="607BD4DB" w14:textId="77777777" w:rsidR="00B56CB7" w:rsidRDefault="00B56CB7" w:rsidP="00B56CB7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19"/>
          <w:szCs w:val="19"/>
        </w:rPr>
      </w:pPr>
    </w:p>
    <w:p w14:paraId="1AB8CEE5" w14:textId="77777777" w:rsidR="00B56CB7" w:rsidRDefault="00B56CB7" w:rsidP="00B56CB7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19"/>
          <w:szCs w:val="19"/>
        </w:rPr>
      </w:pPr>
    </w:p>
    <w:p w14:paraId="12C086C5" w14:textId="77777777" w:rsidR="00B56CB7" w:rsidRDefault="00B56CB7" w:rsidP="00B56CB7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19"/>
          <w:szCs w:val="19"/>
        </w:rPr>
      </w:pPr>
    </w:p>
    <w:p w14:paraId="1695E447" w14:textId="77777777" w:rsidR="00B56CB7" w:rsidRDefault="00B56CB7" w:rsidP="00B56CB7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19"/>
          <w:szCs w:val="19"/>
        </w:rPr>
      </w:pPr>
    </w:p>
    <w:p w14:paraId="6EC9D655" w14:textId="77777777" w:rsidR="00B56CB7" w:rsidRDefault="00B56CB7" w:rsidP="00B56CB7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sz w:val="19"/>
          <w:szCs w:val="19"/>
        </w:rPr>
      </w:pPr>
    </w:p>
    <w:p w14:paraId="07CC9EDB" w14:textId="0F6347E5" w:rsidR="00B56CB7" w:rsidRDefault="00B56CB7" w:rsidP="00B56C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lastRenderedPageBreak/>
        <w:t>Model-based clustering is a rich and rapidly developing area of</w:t>
      </w:r>
    </w:p>
    <w:p w14:paraId="4FF6EC3C" w14:textId="77777777" w:rsidR="00B56CB7" w:rsidRDefault="00B56CB7" w:rsidP="00B56C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study, and the coverage in this text spans only a small part of the</w:t>
      </w:r>
    </w:p>
    <w:p w14:paraId="4ED187DF" w14:textId="77777777" w:rsidR="00B56CB7" w:rsidRDefault="00B56CB7" w:rsidP="00B56C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 xml:space="preserve">field. Indeed, the </w:t>
      </w:r>
      <w:r>
        <w:rPr>
          <w:rFonts w:ascii="UbuntuMono-Regular" w:eastAsia="MinionPro-Regular" w:hAnsi="UbuntuMono-Regular" w:cs="UbuntuMono-Regular"/>
          <w:sz w:val="18"/>
          <w:szCs w:val="18"/>
        </w:rPr>
        <w:t xml:space="preserve">mclust </w:t>
      </w:r>
      <w:r>
        <w:rPr>
          <w:rFonts w:ascii="MinionPro-Regular" w:eastAsia="MinionPro-Regular" w:cs="MinionPro-Regular"/>
          <w:sz w:val="19"/>
          <w:szCs w:val="19"/>
        </w:rPr>
        <w:t>help file is currently 154 pages long. Navigating</w:t>
      </w:r>
    </w:p>
    <w:p w14:paraId="57565A31" w14:textId="77777777" w:rsidR="00B56CB7" w:rsidRDefault="00B56CB7" w:rsidP="00B56C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the nuances of model-based clustering is probably more</w:t>
      </w:r>
    </w:p>
    <w:p w14:paraId="26CEDE06" w14:textId="77777777" w:rsidR="00B56CB7" w:rsidRDefault="00B56CB7" w:rsidP="00B56CB7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effort than is needed for most problems encountered by data</w:t>
      </w:r>
    </w:p>
    <w:p w14:paraId="7935497D" w14:textId="7DD7A3DA" w:rsidR="00731B4D" w:rsidRDefault="00B56CB7" w:rsidP="00B56CB7">
      <w:pPr>
        <w:rPr>
          <w:rFonts w:eastAsia="MinionPro-Regular" w:cs="MinionPro-Regular"/>
          <w:b/>
          <w:bCs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scientists.</w:t>
      </w:r>
      <w:r>
        <w:rPr>
          <w:rFonts w:eastAsia="MinionPro-Regular" w:cs="MinionPro-Regular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sz w:val="19"/>
          <w:szCs w:val="19"/>
        </w:rPr>
        <w:t>B</w:t>
      </w:r>
    </w:p>
    <w:p w14:paraId="54B5F02F" w14:textId="33766397" w:rsidR="00B56CB7" w:rsidRDefault="00B56CB7" w:rsidP="00B56CB7">
      <w:pPr>
        <w:rPr>
          <w:rFonts w:eastAsia="MinionPro-Regular" w:cs="MinionPro-Regular"/>
          <w:b/>
          <w:bCs/>
          <w:sz w:val="19"/>
          <w:szCs w:val="19"/>
        </w:rPr>
      </w:pPr>
    </w:p>
    <w:p w14:paraId="4A230F1D" w14:textId="77777777" w:rsidR="00B27BB3" w:rsidRDefault="00B27BB3" w:rsidP="00B27BB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Scaling is also important for PCA. Using the </w:t>
      </w:r>
      <w:r>
        <w:rPr>
          <w:rFonts w:ascii="MinionPro-It" w:eastAsia="MinionPro-It" w:cs="MinionPro-It"/>
          <w:i/>
          <w:iCs/>
          <w:color w:val="000000"/>
          <w:sz w:val="19"/>
          <w:szCs w:val="19"/>
        </w:rPr>
        <w:t>z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-scores is equivalent</w:t>
      </w:r>
    </w:p>
    <w:p w14:paraId="3E07A7C6" w14:textId="77777777" w:rsidR="00B27BB3" w:rsidRDefault="00B27BB3" w:rsidP="00B27BB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to using the correlation matrix (see 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cs="MinionPro-Regular"/>
          <w:color w:val="9A0000"/>
          <w:sz w:val="19"/>
          <w:szCs w:val="19"/>
        </w:rPr>
        <w:t>Correlation</w:t>
      </w:r>
      <w:r>
        <w:rPr>
          <w:rFonts w:ascii="MinionPro-Regular" w:eastAsia="MinionPro-Regular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cs="MinionPro-Regular"/>
          <w:color w:val="9A0000"/>
          <w:sz w:val="19"/>
          <w:szCs w:val="19"/>
        </w:rPr>
        <w:t xml:space="preserve"> on page 30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)</w:t>
      </w:r>
    </w:p>
    <w:p w14:paraId="46BC2169" w14:textId="77777777" w:rsidR="00B27BB3" w:rsidRDefault="00B27BB3" w:rsidP="00B27BB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instead of the covariance matrix in computing the principal components.</w:t>
      </w:r>
    </w:p>
    <w:p w14:paraId="3A5A81C0" w14:textId="77777777" w:rsidR="00B27BB3" w:rsidRDefault="00B27BB3" w:rsidP="00B27BB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>Software to compute PCA usually has an option to use the</w:t>
      </w:r>
    </w:p>
    <w:p w14:paraId="3D307CF7" w14:textId="77777777" w:rsidR="00B27BB3" w:rsidRDefault="00B27BB3" w:rsidP="00B27BB3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19"/>
          <w:szCs w:val="19"/>
        </w:rPr>
      </w:pP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correlation matrix (in </w:t>
      </w:r>
      <w:r>
        <w:rPr>
          <w:rFonts w:ascii="MinionPro-It" w:eastAsia="MinionPro-It" w:cs="MinionPro-It"/>
          <w:i/>
          <w:iCs/>
          <w:color w:val="000000"/>
          <w:sz w:val="19"/>
          <w:szCs w:val="19"/>
        </w:rPr>
        <w:t>R</w:t>
      </w:r>
      <w:r>
        <w:rPr>
          <w:rFonts w:ascii="MinionPro-Regular" w:eastAsia="MinionPro-Regular" w:cs="MinionPro-Regular"/>
          <w:color w:val="000000"/>
          <w:sz w:val="19"/>
          <w:szCs w:val="19"/>
        </w:rPr>
        <w:t xml:space="preserve">, the </w:t>
      </w:r>
      <w:r>
        <w:rPr>
          <w:rFonts w:ascii="UbuntuMono-Regular" w:eastAsia="MinionPro-Regular" w:hAnsi="UbuntuMono-Regular" w:cs="UbuntuMono-Regular"/>
          <w:color w:val="000000"/>
          <w:sz w:val="18"/>
          <w:szCs w:val="18"/>
        </w:rPr>
        <w:t xml:space="preserve">princomp 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function has the argument</w:t>
      </w:r>
    </w:p>
    <w:p w14:paraId="5FD76388" w14:textId="3E8EFBD2" w:rsidR="00CB4D8F" w:rsidRDefault="00B27BB3" w:rsidP="00B27BB3">
      <w:pPr>
        <w:rPr>
          <w:rFonts w:eastAsia="MinionPro-Regular" w:cs="MinionPro-Regular"/>
          <w:b/>
          <w:bCs/>
          <w:color w:val="000000"/>
          <w:sz w:val="19"/>
          <w:szCs w:val="19"/>
        </w:rPr>
      </w:pPr>
      <w:r>
        <w:rPr>
          <w:rFonts w:ascii="UbuntuMono-Regular" w:eastAsia="MinionPro-Regular" w:hAnsi="UbuntuMono-Regular" w:cs="UbuntuMono-Regular"/>
          <w:color w:val="000000"/>
          <w:sz w:val="18"/>
          <w:szCs w:val="18"/>
        </w:rPr>
        <w:t>cor</w:t>
      </w:r>
      <w:r>
        <w:rPr>
          <w:rFonts w:ascii="MinionPro-Regular" w:eastAsia="MinionPro-Regular" w:cs="MinionPro-Regular"/>
          <w:color w:val="000000"/>
          <w:sz w:val="19"/>
          <w:szCs w:val="19"/>
        </w:rPr>
        <w:t>).</w:t>
      </w:r>
      <w:r>
        <w:rPr>
          <w:rFonts w:eastAsia="MinionPro-Regular" w:cs="MinionPro-Regular"/>
          <w:color w:val="000000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color w:val="000000"/>
          <w:sz w:val="19"/>
          <w:szCs w:val="19"/>
        </w:rPr>
        <w:t>B</w:t>
      </w:r>
    </w:p>
    <w:p w14:paraId="0E5F7F55" w14:textId="77777777" w:rsidR="00B27BB3" w:rsidRPr="00B27BB3" w:rsidRDefault="00B27BB3" w:rsidP="00B27BB3">
      <w:pPr>
        <w:rPr>
          <w:rFonts w:eastAsia="MinionPro-Regular" w:cs="MinionPro-Regular"/>
          <w:b/>
          <w:bCs/>
          <w:sz w:val="19"/>
          <w:szCs w:val="19"/>
        </w:rPr>
      </w:pPr>
    </w:p>
    <w:p w14:paraId="42340AEA" w14:textId="77777777" w:rsidR="00B56CB7" w:rsidRPr="00B56CB7" w:rsidRDefault="00B56CB7" w:rsidP="00B56CB7">
      <w:pPr>
        <w:rPr>
          <w:rFonts w:eastAsia="MinionPro-Regular" w:cs="MinionPro-Regular"/>
          <w:b/>
          <w:bCs/>
          <w:color w:val="000000"/>
          <w:sz w:val="19"/>
          <w:szCs w:val="19"/>
        </w:rPr>
      </w:pPr>
    </w:p>
    <w:p w14:paraId="55EA43EE" w14:textId="77777777" w:rsidR="00DA2F57" w:rsidRPr="00DA2F57" w:rsidRDefault="00DA2F57" w:rsidP="00DA2F57">
      <w:pPr>
        <w:rPr>
          <w:rFonts w:eastAsia="MinionPro-Regular" w:cs="MinionPro-Regular"/>
          <w:b/>
          <w:bCs/>
          <w:sz w:val="19"/>
          <w:szCs w:val="19"/>
        </w:rPr>
      </w:pPr>
    </w:p>
    <w:p w14:paraId="53A3AC67" w14:textId="4919BF0A" w:rsidR="00566A3D" w:rsidRDefault="00566A3D" w:rsidP="00566A3D">
      <w:pPr>
        <w:rPr>
          <w:rFonts w:eastAsia="MinionPro-Regular" w:cs="MinionPro-Regular"/>
          <w:b/>
          <w:bCs/>
          <w:sz w:val="19"/>
          <w:szCs w:val="19"/>
        </w:rPr>
      </w:pPr>
    </w:p>
    <w:p w14:paraId="7BC2B161" w14:textId="77777777" w:rsidR="00566A3D" w:rsidRPr="00566A3D" w:rsidRDefault="00566A3D" w:rsidP="00566A3D">
      <w:pPr>
        <w:rPr>
          <w:b/>
          <w:bCs/>
        </w:rPr>
      </w:pPr>
    </w:p>
    <w:sectPr w:rsidR="00566A3D" w:rsidRPr="00566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64246"/>
    <w:multiLevelType w:val="multilevel"/>
    <w:tmpl w:val="3F18E42A"/>
    <w:styleLink w:val="Style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7E"/>
    <w:rsid w:val="00157FD1"/>
    <w:rsid w:val="00195561"/>
    <w:rsid w:val="001B0305"/>
    <w:rsid w:val="002B5B40"/>
    <w:rsid w:val="00566A3D"/>
    <w:rsid w:val="00731B4D"/>
    <w:rsid w:val="00994EB9"/>
    <w:rsid w:val="009E1E0D"/>
    <w:rsid w:val="00B27BB3"/>
    <w:rsid w:val="00B56CB7"/>
    <w:rsid w:val="00C2493A"/>
    <w:rsid w:val="00C60E7E"/>
    <w:rsid w:val="00CB4D8F"/>
    <w:rsid w:val="00CE4F04"/>
    <w:rsid w:val="00D0232E"/>
    <w:rsid w:val="00DA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812E"/>
  <w15:chartTrackingRefBased/>
  <w15:docId w15:val="{C47820F2-B3AD-4683-9271-7A9CE538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9556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5787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batara</dc:creator>
  <cp:keywords/>
  <dc:description/>
  <cp:lastModifiedBy>batara</cp:lastModifiedBy>
  <cp:revision>13</cp:revision>
  <dcterms:created xsi:type="dcterms:W3CDTF">2022-03-30T15:59:00Z</dcterms:created>
  <dcterms:modified xsi:type="dcterms:W3CDTF">2022-04-03T16:55:00Z</dcterms:modified>
</cp:coreProperties>
</file>