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mc:AlternateContent>
          <mc:Choice Requires="wps">
            <w:drawing>
              <wp:anchor distT="0" distB="0" distL="114300" distR="114300" simplePos="0" relativeHeight="251659264" behindDoc="0" locked="0" layoutInCell="1" allowOverlap="1">
                <wp:simplePos x="0" y="0"/>
                <wp:positionH relativeFrom="margin">
                  <wp:posOffset>-6350</wp:posOffset>
                </wp:positionH>
                <wp:positionV relativeFrom="paragraph">
                  <wp:posOffset>3860800</wp:posOffset>
                </wp:positionV>
                <wp:extent cx="5943600" cy="1856740"/>
                <wp:effectExtent l="0" t="0" r="19050" b="10795"/>
                <wp:wrapNone/>
                <wp:docPr id="14" name="Rectangle 14"/>
                <wp:cNvGraphicFramePr/>
                <a:graphic xmlns:a="http://schemas.openxmlformats.org/drawingml/2006/main">
                  <a:graphicData uri="http://schemas.microsoft.com/office/word/2010/wordprocessingShape">
                    <wps:wsp>
                      <wps:cNvSpPr/>
                      <wps:spPr>
                        <a:xfrm>
                          <a:off x="0" y="0"/>
                          <a:ext cx="5943600" cy="1856509"/>
                        </a:xfrm>
                        <a:prstGeom prst="rect">
                          <a:avLst/>
                        </a:prstGeom>
                        <a:ln>
                          <a:solidFill>
                            <a:schemeClr val="accent6"/>
                          </a:solidFill>
                        </a:ln>
                      </wps:spPr>
                      <wps:style>
                        <a:lnRef idx="3">
                          <a:schemeClr val="lt1"/>
                        </a:lnRef>
                        <a:fillRef idx="1">
                          <a:schemeClr val="accent6"/>
                        </a:fillRef>
                        <a:effectRef idx="1">
                          <a:schemeClr val="accent6"/>
                        </a:effectRef>
                        <a:fontRef idx="minor">
                          <a:schemeClr val="lt1"/>
                        </a:fontRef>
                      </wps:style>
                      <wps:txbx>
                        <w:txbxContent>
                          <w:p>
                            <w:pPr>
                              <w:pStyle w:val="14"/>
                              <w:jc w:val="right"/>
                            </w:pPr>
                            <w:r>
                              <w:drawing>
                                <wp:inline distT="0" distB="0" distL="0" distR="0">
                                  <wp:extent cx="661035" cy="457200"/>
                                  <wp:effectExtent l="0" t="0" r="5715" b="0"/>
                                  <wp:docPr id="2090794126" name="Picture 209079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4126" name="Picture 209079412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1048" cy="457200"/>
                                          </a:xfrm>
                                          <a:prstGeom prst="rect">
                                            <a:avLst/>
                                          </a:prstGeom>
                                        </pic:spPr>
                                      </pic:pic>
                                    </a:graphicData>
                                  </a:graphic>
                                </wp:inline>
                              </w:drawing>
                            </w:r>
                          </w:p>
                          <w:p>
                            <w:pPr>
                              <w:pStyle w:val="13"/>
                              <w:spacing w:before="240"/>
                              <w:rPr>
                                <w:color w:val="FFFFFF" w:themeColor="background1"/>
                                <w14:textFill>
                                  <w14:solidFill>
                                    <w14:schemeClr w14:val="bg1"/>
                                  </w14:solidFill>
                                </w14:textFill>
                              </w:rPr>
                            </w:pPr>
                            <w:r>
                              <w:rPr>
                                <w:color w:val="FFFFFF" w:themeColor="background1"/>
                                <w14:textFill>
                                  <w14:solidFill>
                                    <w14:schemeClr w14:val="bg1"/>
                                  </w14:solidFill>
                                </w14:textFill>
                              </w:rPr>
                              <w:t>Trends Analysis</w:t>
                            </w:r>
                          </w:p>
                          <w:p>
                            <w:pPr>
                              <w:pStyle w:val="11"/>
                              <w:spacing w:after="480"/>
                              <w:rPr>
                                <w:color w:val="FFFFFF" w:themeColor="background1"/>
                                <w14:textFill>
                                  <w14:solidFill>
                                    <w14:schemeClr w14:val="bg1"/>
                                  </w14:solidFill>
                                </w14:textFill>
                              </w:rPr>
                            </w:pPr>
                            <w:r>
                              <w:rPr>
                                <w:color w:val="FFFFFF" w:themeColor="background1"/>
                                <w14:textFill>
                                  <w14:solidFill>
                                    <w14:schemeClr w14:val="bg1"/>
                                  </w14:solidFill>
                                </w14:textFill>
                              </w:rPr>
                              <w:t>for Green Market Grocery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0.5pt;margin-top:304pt;height:146.2pt;width:468pt;mso-position-horizontal-relative:margin;z-index:251659264;v-text-anchor:middle;mso-width-relative:page;mso-height-relative:page;" fillcolor="#70AD47 [3209]" filled="t" stroked="t" coordsize="21600,21600" o:gfxdata="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pLav32AAAAAoBAAAPAAAAAAAAAAEAIAAAACIAAABkcnMvZG93bnJldi54&#10;bWxQSwECFAAUAAAACACHTuJAcElmYGwCAAAFBQAADgAAAAAAAAABACAAAAAnAQAAZHJzL2Uyb0Rv&#10;Yy54bWxQSwUGAAAAAAYABgBZAQAABQYAAAAA&#10;">
                <v:fill on="t" focussize="0,0"/>
                <v:stroke weight="1.5pt" color="#70AD47 [3209]" miterlimit="8" joinstyle="miter"/>
                <v:imagedata o:title=""/>
                <o:lock v:ext="edit" aspectratio="f"/>
                <v:textbox>
                  <w:txbxContent>
                    <w:p>
                      <w:pPr>
                        <w:pStyle w:val="14"/>
                        <w:jc w:val="right"/>
                      </w:pPr>
                      <w:r>
                        <w:drawing>
                          <wp:inline distT="0" distB="0" distL="0" distR="0">
                            <wp:extent cx="661035" cy="457200"/>
                            <wp:effectExtent l="0" t="0" r="5715" b="0"/>
                            <wp:docPr id="2090794126" name="Picture 209079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94126" name="Picture 209079412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1048" cy="457200"/>
                                    </a:xfrm>
                                    <a:prstGeom prst="rect">
                                      <a:avLst/>
                                    </a:prstGeom>
                                  </pic:spPr>
                                </pic:pic>
                              </a:graphicData>
                            </a:graphic>
                          </wp:inline>
                        </w:drawing>
                      </w:r>
                    </w:p>
                    <w:p>
                      <w:pPr>
                        <w:pStyle w:val="13"/>
                        <w:spacing w:before="240"/>
                        <w:rPr>
                          <w:color w:val="FFFFFF" w:themeColor="background1"/>
                          <w14:textFill>
                            <w14:solidFill>
                              <w14:schemeClr w14:val="bg1"/>
                            </w14:solidFill>
                          </w14:textFill>
                        </w:rPr>
                      </w:pPr>
                      <w:r>
                        <w:rPr>
                          <w:color w:val="FFFFFF" w:themeColor="background1"/>
                          <w14:textFill>
                            <w14:solidFill>
                              <w14:schemeClr w14:val="bg1"/>
                            </w14:solidFill>
                          </w14:textFill>
                        </w:rPr>
                        <w:t>Trends Analysis</w:t>
                      </w:r>
                    </w:p>
                    <w:p>
                      <w:pPr>
                        <w:pStyle w:val="11"/>
                        <w:spacing w:after="480"/>
                        <w:rPr>
                          <w:color w:val="FFFFFF" w:themeColor="background1"/>
                          <w14:textFill>
                            <w14:solidFill>
                              <w14:schemeClr w14:val="bg1"/>
                            </w14:solidFill>
                          </w14:textFill>
                        </w:rPr>
                      </w:pPr>
                      <w:r>
                        <w:rPr>
                          <w:color w:val="FFFFFF" w:themeColor="background1"/>
                          <w14:textFill>
                            <w14:solidFill>
                              <w14:schemeClr w14:val="bg1"/>
                            </w14:solidFill>
                          </w14:textFill>
                        </w:rPr>
                        <w:t>for Green Market Grocery</w:t>
                      </w:r>
                    </w:p>
                  </w:txbxContent>
                </v:textbox>
              </v:rect>
            </w:pict>
          </mc:Fallback>
        </mc:AlternateContent>
      </w:r>
      <w:r>
        <w:drawing>
          <wp:inline distT="0" distB="0" distL="0" distR="0">
            <wp:extent cx="5941695" cy="39465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996" cy="3946550"/>
                    </a:xfrm>
                    <a:prstGeom prst="rect">
                      <a:avLst/>
                    </a:prstGeom>
                  </pic:spPr>
                </pic:pic>
              </a:graphicData>
            </a:graphic>
          </wp:inline>
        </w:drawing>
      </w:r>
      <w:bookmarkStart w:id="0" w:name="_|nkEXOk8CoE6Uff19E2Uy1w==|1659|1"/>
      <w:bookmarkEnd w:id="0"/>
    </w:p>
    <w:p>
      <w:pPr>
        <w:pStyle w:val="14"/>
      </w:pPr>
    </w:p>
    <w:p>
      <w:pPr>
        <w:pStyle w:val="14"/>
      </w:pPr>
      <w:bookmarkStart w:id="1" w:name="_|nkEXOk8CoE6Uff19E2Uy1w==|1659|3"/>
      <w:bookmarkEnd w:id="1"/>
    </w:p>
    <w:p>
      <w:pPr>
        <w:pStyle w:val="14"/>
      </w:pPr>
      <w:bookmarkStart w:id="2" w:name="_|nkEXOk8CoE6Uff19E2Uy1w==|1659|4"/>
      <w:bookmarkEnd w:id="2"/>
    </w:p>
    <w:p>
      <w:pPr>
        <w:pStyle w:val="14"/>
      </w:pPr>
      <w:bookmarkStart w:id="3" w:name="_|nkEXOk8CoE6Uff19E2Uy1w==|1659|5"/>
      <w:bookmarkEnd w:id="3"/>
    </w:p>
    <w:p>
      <w:pPr>
        <w:pStyle w:val="14"/>
      </w:pPr>
      <w:bookmarkStart w:id="4" w:name="_|nkEXOk8CoE6Uff19E2Uy1w==|1659|6"/>
      <w:bookmarkEnd w:id="4"/>
    </w:p>
    <w:p>
      <w:pPr>
        <w:pStyle w:val="14"/>
      </w:pPr>
      <w:bookmarkStart w:id="5" w:name="_|nkEXOk8CoE6Uff19E2Uy1w==|1659|7"/>
      <w:bookmarkEnd w:id="5"/>
    </w:p>
    <w:p>
      <w:pPr>
        <w:pStyle w:val="14"/>
      </w:pPr>
      <w:bookmarkStart w:id="6" w:name="_|nkEXOk8CoE6Uff19E2Uy1w==|1659|8"/>
      <w:bookmarkEnd w:id="6"/>
    </w:p>
    <w:p>
      <w:pPr>
        <w:pStyle w:val="14"/>
      </w:pPr>
      <w:bookmarkStart w:id="7" w:name="_|nkEXOk8CoE6Uff19E2Uy1w==|1659|9"/>
      <w:bookmarkEnd w:id="7"/>
    </w:p>
    <w:p>
      <w:bookmarkStart w:id="8" w:name="_|nkEXOk8CoE6Uff19E2Uy1w==|1659|10"/>
      <w:bookmarkEnd w:id="8"/>
    </w:p>
    <w:p>
      <w:pPr>
        <w:rPr>
          <w:rFonts w:asciiTheme="majorHAnsi" w:hAnsiTheme="majorHAnsi" w:eastAsiaTheme="majorEastAsia" w:cstheme="majorBidi"/>
          <w:color w:val="2E75B6" w:themeColor="accent1" w:themeShade="BF"/>
          <w:sz w:val="32"/>
          <w:szCs w:val="32"/>
        </w:rPr>
      </w:pPr>
      <w:r>
        <w:drawing>
          <wp:anchor distT="0" distB="0" distL="114300" distR="114300" simplePos="0" relativeHeight="251659264" behindDoc="0" locked="0" layoutInCell="1" allowOverlap="1">
            <wp:simplePos x="0" y="0"/>
            <wp:positionH relativeFrom="margin">
              <wp:posOffset>2216150</wp:posOffset>
            </wp:positionH>
            <wp:positionV relativeFrom="margin">
              <wp:posOffset>5766435</wp:posOffset>
            </wp:positionV>
            <wp:extent cx="1097280" cy="36385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97280" cy="363855"/>
                    </a:xfrm>
                    <a:prstGeom prst="rect">
                      <a:avLst/>
                    </a:prstGeom>
                  </pic:spPr>
                </pic:pic>
              </a:graphicData>
            </a:graphic>
          </wp:anchor>
        </w:drawing>
      </w:r>
      <w: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248920</wp:posOffset>
                </wp:positionV>
                <wp:extent cx="5943600" cy="914400"/>
                <wp:effectExtent l="0" t="0" r="19050" b="19050"/>
                <wp:wrapNone/>
                <wp:docPr id="123067583" name="Rectangle 1"/>
                <wp:cNvGraphicFramePr/>
                <a:graphic xmlns:a="http://schemas.openxmlformats.org/drawingml/2006/main">
                  <a:graphicData uri="http://schemas.microsoft.com/office/word/2010/wordprocessingShape">
                    <wps:wsp>
                      <wps:cNvSpPr/>
                      <wps:spPr>
                        <a:xfrm>
                          <a:off x="0" y="0"/>
                          <a:ext cx="5943600" cy="914400"/>
                        </a:xfrm>
                        <a:prstGeom prst="rect">
                          <a:avLst/>
                        </a:prstGeom>
                        <a:ln>
                          <a:solidFill>
                            <a:schemeClr val="accent6"/>
                          </a:solidFill>
                        </a:ln>
                      </wps:spPr>
                      <wps:style>
                        <a:lnRef idx="1">
                          <a:schemeClr val="accent6"/>
                        </a:lnRef>
                        <a:fillRef idx="2">
                          <a:schemeClr val="accent6"/>
                        </a:fillRef>
                        <a:effectRef idx="1">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top:19.6pt;height:72pt;width:468pt;mso-position-horizontal:right;mso-position-horizontal-relative:margin;z-index:-251657216;v-text-anchor:middle;mso-width-relative:page;mso-height-relative:page;" fillcolor="#B5D5A7 [3536]" filled="t" stroked="t" coordsize="21600,21600" o:gfxdata="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Dq3OwrXAAAABwEA&#10;AA8AAAAAAAAAAQAgAAAAIgAAAGRycy9kb3ducmV2LnhtbFBLAQIUABQAAAAIAIdO4kDy/hRD/wIA&#10;ALYGAAAOAAAAAAAAAAEAIAAAACYBAABkcnMvZTJvRG9jLnhtbFBLBQYAAAAABgAGAFkBAACXBgAA&#10;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pPr>
                    </w:p>
                  </w:txbxContent>
                </v:textbox>
              </v:rect>
            </w:pict>
          </mc:Fallback>
        </mc:AlternateContent>
      </w:r>
      <w:r>
        <w:drawing>
          <wp:anchor distT="0" distB="0" distL="114300" distR="114300" simplePos="0" relativeHeight="251659264" behindDoc="0" locked="0" layoutInCell="1" allowOverlap="1">
            <wp:simplePos x="0" y="0"/>
            <wp:positionH relativeFrom="margin">
              <wp:posOffset>4606290</wp:posOffset>
            </wp:positionH>
            <wp:positionV relativeFrom="margin">
              <wp:posOffset>5738495</wp:posOffset>
            </wp:positionV>
            <wp:extent cx="1097280" cy="3581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97280" cy="35814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margin">
              <wp:posOffset>10160</wp:posOffset>
            </wp:positionH>
            <wp:positionV relativeFrom="margin">
              <wp:posOffset>5723255</wp:posOffset>
            </wp:positionV>
            <wp:extent cx="1075690" cy="3587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clrChange>
                        <a:clrFrom>
                          <a:srgbClr val="94A027"/>
                        </a:clrFrom>
                        <a:clrTo>
                          <a:srgbClr val="94A027">
                            <a:alpha val="0"/>
                          </a:srgbClr>
                        </a:clrTo>
                      </a:clrChange>
                      <a:extLst>
                        <a:ext uri="{28A0092B-C50C-407E-A947-70E740481C1C}">
                          <a14:useLocalDpi xmlns:a14="http://schemas.microsoft.com/office/drawing/2010/main" val="0"/>
                        </a:ext>
                      </a:extLst>
                    </a:blip>
                    <a:stretch>
                      <a:fillRect/>
                    </a:stretch>
                  </pic:blipFill>
                  <pic:spPr>
                    <a:xfrm>
                      <a:off x="0" y="0"/>
                      <a:ext cx="1075690" cy="358775"/>
                    </a:xfrm>
                    <a:prstGeom prst="rect">
                      <a:avLst/>
                    </a:prstGeom>
                  </pic:spPr>
                </pic:pic>
              </a:graphicData>
            </a:graphic>
          </wp:anchor>
        </w:drawing>
      </w:r>
      <w:r>
        <w:br w:type="page"/>
      </w:r>
    </w:p>
    <w:p>
      <w:pPr>
        <w:pStyle w:val="2"/>
      </w:pPr>
      <w:r>
        <w:drawing>
          <wp:inline distT="0" distB="0" distL="0" distR="0">
            <wp:extent cx="5486400" cy="3200400"/>
            <wp:effectExtent l="0" t="0" r="0" b="0"/>
            <wp:docPr id="6615578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pPr>
        <w:pStyle w:val="2"/>
      </w:pPr>
      <w:r>
        <w:rPr>
          <w14:shadow w14:blurRad="63500" w14:dist="50800" w14:dir="13500000" w14:sx="0" w14:sy="0" w14:kx="0" w14:ky="0" w14:algn="none">
            <w14:srgbClr w14:val="000000">
              <w14:alpha w14:val="50000"/>
            </w14:srgbClr>
          </w14:shadow>
          <w14:textOutline w14:w="9525" w14:cap="rnd" w14:cmpd="sng" w14:algn="ctr">
            <w14:solidFill>
              <w14:srgbClr w14:val="66FF66"/>
            </w14:solidFill>
            <w14:prstDash w14:val="solid"/>
            <w14:bevel/>
          </w14:textOutline>
        </w:rPr>
        <w:t>Overview</w:t>
      </w:r>
      <w:bookmarkStart w:id="47" w:name="_GoBack"/>
      <w:bookmarkEnd w:id="47"/>
      <w:bookmarkStart w:id="9" w:name="_|nkEXOk8CoE6Uff19E2Uy1w==|1659|12"/>
      <w:bookmarkEnd w:id="9"/>
    </w:p>
    <w:p>
      <w:r>
        <w:t>In the past year, the grocery retail environment has changed dramatically. No longer can chains expect a solid 2–4 percent growth annually. Like other types of retail, consumer groceries are trying to stay steady in turbulent times. However, the best response now is innovation, not complacency. Unless companies like Green Market Grocery reconsider their strategies, the near future will be full of challenges, all of them difficult to overcome.</w:t>
      </w:r>
      <w:bookmarkStart w:id="10" w:name="_|nkEXOk8CoE6Uff19E2Uy1w==|1659|13"/>
      <w:bookmarkEnd w:id="10"/>
    </w:p>
    <w:p>
      <w:r>
        <w:t>This report identifies the major trends for grocery retail in the coming year and offers insight into how Green Market Grocery can take advantage of them to continue to grow and profit.</w:t>
      </w:r>
      <w:bookmarkStart w:id="11" w:name="_|nkEXOk8CoE6Uff19E2Uy1w==|1659|14"/>
      <w:bookmarkEnd w:id="11"/>
    </w:p>
    <w:p>
      <w:bookmarkStart w:id="12" w:name="_|nkEXOk8CoE6Uff19E2Uy1w==|1659|15"/>
      <w:bookmarkEnd w:id="12"/>
    </w:p>
    <w:p>
      <w:pPr>
        <w:pStyle w:val="2"/>
      </w:pPr>
      <w:r>
        <w:t>Focus on Local and Fresh</w:t>
      </w:r>
      <w:bookmarkStart w:id="13" w:name="_|nkEXOk8CoE6Uff19E2Uy1w==|1659|16"/>
      <w:bookmarkEnd w:id="13"/>
    </w:p>
    <w:p>
      <w:r>
        <w:t>Consumer attitudes and shopping behavior are undergoing a transformation. Consumers define value in new ways, including private or specialty labels and brands. They seek foods from local or regional sources and are eager to support small and medium-sized local producers. Today, small producers are netting more than 60 percent of the branded goods market.</w:t>
      </w:r>
      <w:bookmarkStart w:id="14" w:name="_|nkEXOk8CoE6Uff19E2Uy1w==|1659|17"/>
      <w:bookmarkEnd w:id="14"/>
      <w:r>
        <w:rPr>
          <w:rStyle w:val="7"/>
        </w:rPr>
        <w:footnoteReference w:id="0"/>
      </w:r>
    </w:p>
    <w:p>
      <w:r>
        <w:t>For Green Market Grocery, this consumer preference means stores will have to rotate produce, seafood, and other fresh foods more frequently to reflect local availability.</w:t>
      </w:r>
      <w:bookmarkStart w:id="15" w:name="_|nkEXOk8CoE6Uff19E2Uy1w==|1659|18"/>
      <w:bookmarkEnd w:id="15"/>
    </w:p>
    <w:p>
      <w:r>
        <w:t>Consumers also show a preference for healthy, natural foods and those with minimal processing. Green Market Grocery already caters to these consumers in their front-of-store displays, which feature colorful produce in an attractive, inviting environment.</w:t>
      </w:r>
      <w:bookmarkStart w:id="16" w:name="_|nkEXOk8CoE6Uff19E2Uy1w==|1659|19"/>
      <w:bookmarkEnd w:id="16"/>
    </w:p>
    <w:p>
      <w:r>
        <w:drawing>
          <wp:inline distT="0" distB="0" distL="0" distR="0">
            <wp:extent cx="5486400" cy="36569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657277"/>
                    </a:xfrm>
                    <a:prstGeom prst="rect">
                      <a:avLst/>
                    </a:prstGeom>
                  </pic:spPr>
                </pic:pic>
              </a:graphicData>
            </a:graphic>
          </wp:inline>
        </w:drawing>
      </w:r>
      <w:bookmarkStart w:id="17" w:name="_|nkEXOk8CoE6Uff19E2Uy1w==|1659|20"/>
      <w:bookmarkEnd w:id="17"/>
    </w:p>
    <w:p>
      <w:r>
        <w:t>The challenge for Green Market Grocery will be to continue the seasonal, market-stand look throughout the store and figure out how to sell fresh food online, venue grocery shoppers are starting to use with increasing frequency.</w:t>
      </w:r>
      <w:bookmarkStart w:id="18" w:name="_|nkEXOk8CoE6Uff19E2Uy1w==|1659|21"/>
      <w:bookmarkEnd w:id="18"/>
    </w:p>
    <w:p>
      <w:pPr>
        <w:pStyle w:val="2"/>
      </w:pPr>
      <w:r>
        <w:t>Online Grocery Shopping</w:t>
      </w:r>
      <w:bookmarkStart w:id="19" w:name="_|nkEXOk8CoE6Uff19E2Uy1w==|1659|22"/>
      <w:bookmarkEnd w:id="19"/>
    </w:p>
    <w:p>
      <w:r>
        <w:t>Home-based digital assistants could have a major effect on grocery retail. From the comfort of their home or office, consumers can place orders for delivery using their digital assistants. The convenience is ideal for shoppers, but it leaves retailers feeling the pinch, even if consumers are ordering goods from their stores. Retailers are losing out on the impulse buys that pad grocery sales.</w:t>
      </w:r>
      <w:bookmarkStart w:id="20" w:name="_|nkEXOk8CoE6Uff19E2Uy1w==|1659|23"/>
      <w:bookmarkEnd w:id="20"/>
    </w:p>
    <w:p>
      <w:r>
        <w:t>To stay competitive, traditional grocery stores can do the following:</w:t>
      </w:r>
      <w:bookmarkStart w:id="21" w:name="_|nkEXOk8CoE6Uff19E2Uy1w==|1659|24"/>
      <w:bookmarkEnd w:id="21"/>
    </w:p>
    <w:p>
      <w:pPr>
        <w:pStyle w:val="20"/>
        <w:numPr>
          <w:ilvl w:val="0"/>
          <w:numId w:val="1"/>
        </w:numPr>
      </w:pPr>
      <w:r>
        <w:t xml:space="preserve">Add online shopping and delivery services. </w:t>
      </w:r>
      <w:bookmarkStart w:id="22" w:name="_|nkEXOk8CoE6Uff19E2Uy1w==|1659|25"/>
      <w:bookmarkEnd w:id="22"/>
    </w:p>
    <w:p>
      <w:pPr>
        <w:pStyle w:val="20"/>
        <w:numPr>
          <w:ilvl w:val="0"/>
          <w:numId w:val="1"/>
        </w:numPr>
      </w:pPr>
      <w:r>
        <w:t xml:space="preserve">Devote more store space to the types of goods that drive consumers to the stores. </w:t>
      </w:r>
      <w:bookmarkStart w:id="23" w:name="_|nkEXOk8CoE6Uff19E2Uy1w==|1659|26"/>
      <w:bookmarkEnd w:id="23"/>
    </w:p>
    <w:p>
      <w:pPr>
        <w:pStyle w:val="20"/>
        <w:numPr>
          <w:ilvl w:val="1"/>
          <w:numId w:val="1"/>
        </w:numPr>
      </w:pPr>
      <w:r>
        <w:t>Fresh and prepared foods</w:t>
      </w:r>
      <w:bookmarkStart w:id="24" w:name="_|nkEXOk8CoE6Uff19E2Uy1w==|1659|27"/>
      <w:bookmarkEnd w:id="24"/>
    </w:p>
    <w:p>
      <w:pPr>
        <w:pStyle w:val="20"/>
        <w:numPr>
          <w:ilvl w:val="1"/>
          <w:numId w:val="1"/>
        </w:numPr>
      </w:pPr>
      <w:r>
        <w:t>Specialty and local brands</w:t>
      </w:r>
      <w:bookmarkStart w:id="25" w:name="_|nkEXOk8CoE6Uff19E2Uy1w==|1659|28"/>
      <w:bookmarkEnd w:id="25"/>
    </w:p>
    <w:p>
      <w:pPr>
        <w:pStyle w:val="20"/>
        <w:numPr>
          <w:ilvl w:val="0"/>
          <w:numId w:val="1"/>
        </w:numPr>
      </w:pPr>
      <w:r>
        <w:t>Host events for contemporary consumers.</w:t>
      </w:r>
      <w:bookmarkStart w:id="26" w:name="_|nkEXOk8CoE6Uff19E2Uy1w==|1659|29"/>
      <w:bookmarkEnd w:id="26"/>
    </w:p>
    <w:p>
      <w:pPr>
        <w:pStyle w:val="20"/>
        <w:numPr>
          <w:ilvl w:val="1"/>
          <w:numId w:val="1"/>
        </w:numPr>
      </w:pPr>
      <w:r>
        <w:t>Cooking demonstrations</w:t>
      </w:r>
      <w:bookmarkStart w:id="27" w:name="_|nkEXOk8CoE6Uff19E2Uy1w==|1659|30"/>
      <w:bookmarkEnd w:id="27"/>
    </w:p>
    <w:p>
      <w:pPr>
        <w:pStyle w:val="20"/>
        <w:numPr>
          <w:ilvl w:val="1"/>
          <w:numId w:val="1"/>
        </w:numPr>
      </w:pPr>
      <w:r>
        <w:t>In-house farmers markets</w:t>
      </w:r>
      <w:bookmarkStart w:id="28" w:name="_|nkEXOk8CoE6Uff19E2Uy1w==|1659|31"/>
      <w:bookmarkEnd w:id="28"/>
    </w:p>
    <w:p>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bottom</wp:align>
                </wp:positionV>
                <wp:extent cx="2286000" cy="1463040"/>
                <wp:effectExtent l="0" t="0" r="19050" b="22860"/>
                <wp:wrapSquare wrapText="bothSides"/>
                <wp:docPr id="1349548486" name="Text Box 3"/>
                <wp:cNvGraphicFramePr/>
                <a:graphic xmlns:a="http://schemas.openxmlformats.org/drawingml/2006/main">
                  <a:graphicData uri="http://schemas.microsoft.com/office/word/2010/wordprocessingShape">
                    <wps:wsp>
                      <wps:cNvSpPr txBox="1"/>
                      <wps:spPr>
                        <a:xfrm>
                          <a:off x="0" y="0"/>
                          <a:ext cx="2286000" cy="146304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color w:val="70AD47" w:themeColor="accent6"/>
                                <w14:textFill>
                                  <w14:solidFill>
                                    <w14:schemeClr w14:val="accent6"/>
                                  </w14:solidFill>
                                </w14:textFill>
                              </w:rPr>
                            </w:pPr>
                            <w:r>
                              <w:rPr>
                                <w:color w:val="70AD47" w:themeColor="accent6"/>
                                <w14:textFill>
                                  <w14:solidFill>
                                    <w14:schemeClr w14:val="accent6"/>
                                  </w14:solidFill>
                                </w14:textFill>
                              </w:rPr>
                              <w:t xml:space="preserve">Linda Somers writes in </w:t>
                            </w:r>
                            <w:r>
                              <w:rPr>
                                <w:i/>
                                <w:color w:val="70AD47" w:themeColor="accent6"/>
                                <w14:textFill>
                                  <w14:solidFill>
                                    <w14:schemeClr w14:val="accent6"/>
                                  </w14:solidFill>
                                </w14:textFill>
                              </w:rPr>
                              <w:t>Grocery Trends</w:t>
                            </w:r>
                            <w:r>
                              <w:rPr>
                                <w:color w:val="70AD47" w:themeColor="accent6"/>
                                <w14:textFill>
                                  <w14:solidFill>
                                    <w14:schemeClr w14:val="accent6"/>
                                  </w14:solidFill>
                                </w14:textFill>
                              </w:rPr>
                              <w:t>, “One often overlooked advantage of online shopping is that consumers can easily access product information and compare prices. Providing these services in the store should be equally appealing.”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height:115.2pt;width:180pt;mso-position-horizontal:right;mso-position-horizontal-relative:margin;mso-position-vertical:bottom;mso-position-vertical-relative:margin;mso-wrap-distance-bottom:0pt;mso-wrap-distance-left:9pt;mso-wrap-distance-right:9pt;mso-wrap-distance-top:0pt;z-index:251659264;mso-width-relative:page;mso-height-relative:page;" fillcolor="#FFFFFF [3201]" filled="t" stroked="t" coordsize="21600,21600" o:gfxdata="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XSyyrUAAAABQEAAA8AAAAAAAAAAQAgAAAAIgAA&#10;AGRycy9kb3ducmV2LnhtbFBLAQIUABQAAAAIAIdO4kC1CPZxfgIAABMFAAAOAAAAAAAAAAEAIAAA&#10;ACMBAABkcnMvZTJvRG9jLnhtbFBLBQYAAAAABgAGAFkBAAATBgAAAAA=&#10;">
                <v:fill on="t" focussize="0,0"/>
                <v:stroke weight="1pt" color="#70AD47 [3209]" miterlimit="8" joinstyle="miter"/>
                <v:imagedata o:title=""/>
                <o:lock v:ext="edit" aspectratio="f"/>
                <v:textbox>
                  <w:txbxContent>
                    <w:p>
                      <w:pPr>
                        <w:rPr>
                          <w:color w:val="70AD47" w:themeColor="accent6"/>
                          <w14:textFill>
                            <w14:solidFill>
                              <w14:schemeClr w14:val="accent6"/>
                            </w14:solidFill>
                          </w14:textFill>
                        </w:rPr>
                      </w:pPr>
                      <w:r>
                        <w:rPr>
                          <w:color w:val="70AD47" w:themeColor="accent6"/>
                          <w14:textFill>
                            <w14:solidFill>
                              <w14:schemeClr w14:val="accent6"/>
                            </w14:solidFill>
                          </w14:textFill>
                        </w:rPr>
                        <w:t xml:space="preserve">Linda Somers writes in </w:t>
                      </w:r>
                      <w:r>
                        <w:rPr>
                          <w:i/>
                          <w:color w:val="70AD47" w:themeColor="accent6"/>
                          <w14:textFill>
                            <w14:solidFill>
                              <w14:schemeClr w14:val="accent6"/>
                            </w14:solidFill>
                          </w14:textFill>
                        </w:rPr>
                        <w:t>Grocery Trends</w:t>
                      </w:r>
                      <w:r>
                        <w:rPr>
                          <w:color w:val="70AD47" w:themeColor="accent6"/>
                          <w14:textFill>
                            <w14:solidFill>
                              <w14:schemeClr w14:val="accent6"/>
                            </w14:solidFill>
                          </w14:textFill>
                        </w:rPr>
                        <w:t>, “One often overlooked advantage of online shopping is that consumers can easily access product information and compare prices. Providing these services in the store should be equally appealing.”</w:t>
                      </w:r>
                    </w:p>
                    <w:p/>
                  </w:txbxContent>
                </v:textbox>
                <w10:wrap type="square"/>
              </v:shape>
            </w:pict>
          </mc:Fallback>
        </mc:AlternateContent>
      </w:r>
      <w:r>
        <w:t>While investing in e-commerce and improved service models is a sound strategy, Green Market Grocery must determine whether they can avoid lowering their shelf prices. This puts pressure on the supply chain and the retailer to cut costs in other areas. The best way to combat the difficulties that come from reducing expenses is to align costs with growth opportunities so that expenses are investments rather than losses. In other words, stores should continue to fund the most profitable areas and cut back on marginal activities, even if they are in the traditional realm of grocery offerings.</w:t>
      </w:r>
      <w:bookmarkStart w:id="29" w:name="_|nkEXOk8CoE6Uff19E2Uy1w==|1659|32"/>
      <w:bookmarkEnd w:id="29"/>
    </w:p>
    <w:p>
      <w:pPr>
        <w:pStyle w:val="2"/>
      </w:pPr>
      <w:r>
        <w:t>In-Store Experiences</w:t>
      </w:r>
      <w:bookmarkStart w:id="30" w:name="_|nkEXOk8CoE6Uff19E2Uy1w==|1659|33"/>
      <w:bookmarkEnd w:id="30"/>
    </w:p>
    <w:p>
      <w:pPr>
        <w:sectPr>
          <w:footerReference r:id="rId7" w:type="first"/>
          <w:footerReference r:id="rId5" w:type="default"/>
          <w:footerReference r:id="rId6" w:type="even"/>
          <w:type w:val="continuous"/>
          <w:pgSz w:w="12240" w:h="15840"/>
          <w:pgMar w:top="1440" w:right="1440" w:bottom="1440" w:left="1440" w:header="720" w:footer="720" w:gutter="0"/>
          <w:cols w:space="720" w:num="1"/>
          <w:docGrid w:linePitch="360" w:charSpace="0"/>
        </w:sectPr>
      </w:pPr>
    </w:p>
    <w:p>
      <w:pPr>
        <w:sectPr>
          <w:type w:val="continuous"/>
          <w:pgSz w:w="12240" w:h="15840"/>
          <w:pgMar w:top="1440" w:right="1440" w:bottom="1440" w:left="1440" w:header="720" w:footer="720" w:gutter="0"/>
          <w:cols w:space="720" w:num="1"/>
          <w:docGrid w:linePitch="360" w:charSpace="0"/>
        </w:sectPr>
      </w:pPr>
    </w:p>
    <w:p>
      <w:r>
        <w:t>Along with addressing e-commerce innovations that offer consumers more ways to shop, grocery retailers can do more to attract shoppers to their physical stores.</w:t>
      </w:r>
      <w:bookmarkStart w:id="31" w:name="_|nkEXOk8CoE6Uff19E2Uy1w==|1659|34"/>
      <w:bookmarkEnd w:id="31"/>
    </w:p>
    <w:p>
      <w:r>
        <w:rPr>
          <w:b/>
          <w:i/>
          <w:color w:val="2F5597" w:themeColor="accent5" w:themeShade="BF"/>
        </w:rPr>
        <w:t>Payment</w:t>
      </w:r>
      <w:r>
        <w:t xml:space="preserve"> </w:t>
      </w:r>
      <w:r>
        <w:rPr>
          <w:b/>
          <w:i/>
          <w:color w:val="2F5597" w:themeColor="accent5" w:themeShade="BF"/>
        </w:rPr>
        <w:t>services</w:t>
      </w:r>
      <w:r>
        <w:t>: Consumers increasingly expect to pay for groceries using their smartphones. Stores should already be setting up mobile payment stations in checkout lanes.</w:t>
      </w:r>
      <w:bookmarkStart w:id="32" w:name="_|nkEXOk8CoE6Uff19E2Uy1w==|1659|35"/>
      <w:bookmarkEnd w:id="32"/>
    </w:p>
    <w:p>
      <w:r>
        <w:rPr>
          <w:b/>
          <w:i/>
          <w:color w:val="2F5597" w:themeColor="accent5" w:themeShade="BF"/>
        </w:rPr>
        <w:t>Dining</w:t>
      </w:r>
      <w:r>
        <w:t xml:space="preserve">: Sampling stations offering hot and cold food are popular, as are cafés that provide coffee, tea, and other beverages along with a light lunch. </w:t>
      </w:r>
      <w:bookmarkStart w:id="33" w:name="_|nkEXOk8CoE6Uff19E2Uy1w==|1659|36"/>
      <w:bookmarkEnd w:id="33"/>
    </w:p>
    <w:p>
      <w:r>
        <w:rPr>
          <w:b/>
          <w:i/>
          <w:color w:val="2F5597" w:themeColor="accent5" w:themeShade="BF"/>
        </w:rPr>
        <w:t>Prepared and artisan foods</w:t>
      </w:r>
      <w:r>
        <w:t>: If consumers switch to purchasing staples through e-commerce, stores can free shelf space for products shoppers find enticing or exciting. Local chefs demonstrating how to use local artisan foods is a winning activity in many locations.</w:t>
      </w:r>
      <w:bookmarkStart w:id="34" w:name="_|nkEXOk8CoE6Uff19E2Uy1w==|1659|37"/>
      <w:bookmarkEnd w:id="34"/>
    </w:p>
    <w:p>
      <w:pPr>
        <w:sectPr>
          <w:type w:val="continuous"/>
          <w:pgSz w:w="12240" w:h="15840"/>
          <w:pgMar w:top="1440" w:right="1440" w:bottom="1440" w:left="1440" w:header="720" w:footer="720" w:gutter="0"/>
          <w:cols w:space="720" w:num="2"/>
          <w:docGrid w:linePitch="360" w:charSpace="0"/>
        </w:sectPr>
      </w:pPr>
      <w:r>
        <w:rPr>
          <w:b/>
          <w:i/>
          <w:color w:val="2F5597" w:themeColor="accent5" w:themeShade="BF"/>
        </w:rPr>
        <w:t>Sustainability</w:t>
      </w:r>
      <w:r>
        <w:t>: Consumers want to know where their food comes from and how it was produced or grown. They prefer to find that information in the store rather than online. For example, some stores are displaying signs or maps indicating the number of miles a</w:t>
      </w:r>
    </w:p>
    <w:p>
      <w:pPr>
        <w:sectPr>
          <w:type w:val="continuous"/>
          <w:pgSz w:w="12240" w:h="15840"/>
          <w:pgMar w:top="1440" w:right="1440" w:bottom="1440" w:left="1440" w:header="720" w:footer="720" w:gutter="0"/>
          <w:cols w:space="720" w:num="1"/>
          <w:docGrid w:linePitch="360" w:charSpace="0"/>
        </w:sectPr>
      </w:pPr>
      <w:bookmarkStart w:id="35" w:name="_|nkEXOk8CoE6Uff19E2Uy1w==|1659|38"/>
      <w:bookmarkEnd w:id="35"/>
    </w:p>
    <w:p>
      <w:pPr>
        <w:pStyle w:val="2"/>
      </w:pPr>
      <w:r>
        <w:t>Subscription Meal Kits</w:t>
      </w:r>
      <w:bookmarkStart w:id="36" w:name="_|nkEXOk8CoE6Uff19E2Uy1w==|1659|39"/>
      <w:bookmarkEnd w:id="36"/>
    </w:p>
    <w:p>
      <w:r>
        <w:drawing>
          <wp:anchor distT="0" distB="0" distL="114300" distR="114300" simplePos="0" relativeHeight="251659264" behindDoc="1" locked="0" layoutInCell="1" allowOverlap="1">
            <wp:simplePos x="0" y="0"/>
            <wp:positionH relativeFrom="margin">
              <wp:posOffset>108585</wp:posOffset>
            </wp:positionH>
            <wp:positionV relativeFrom="margin">
              <wp:posOffset>4333875</wp:posOffset>
            </wp:positionV>
            <wp:extent cx="2287905" cy="1920240"/>
            <wp:effectExtent l="19050" t="19050" r="17145" b="22860"/>
            <wp:wrapTight wrapText="bothSides">
              <wp:wrapPolygon>
                <wp:start x="-180" y="-214"/>
                <wp:lineTo x="-180" y="21643"/>
                <wp:lineTo x="21582" y="21643"/>
                <wp:lineTo x="21582" y="-214"/>
                <wp:lineTo x="-180" y="-21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7905" cy="1920240"/>
                    </a:xfrm>
                    <a:prstGeom prst="rect">
                      <a:avLst/>
                    </a:prstGeom>
                    <a:ln>
                      <a:solidFill>
                        <a:schemeClr val="accent6"/>
                      </a:solidFill>
                    </a:ln>
                  </pic:spPr>
                </pic:pic>
              </a:graphicData>
            </a:graphic>
          </wp:anchor>
        </w:drawing>
      </w:r>
      <w:r>
        <w:t>While stand-alone companies popularized the trend of mail-order meal kits containing ingredients and recipes for a complete meal, grocery stores are starting to do the same. More food retailers will expand into meal kits, a $5 billion business last year.</w:t>
      </w:r>
      <w:bookmarkStart w:id="37" w:name="_|nkEXOk8CoE6Uff19E2Uy1w==|1659|40"/>
      <w:bookmarkEnd w:id="37"/>
    </w:p>
    <w:p>
      <w:r>
        <w:t>Kits that focus on custom lifestyles, such as vegan and vegetarian meals, low-carbohydrate diet offerings, and healthy, garden-fresh options are growing in popularity. Other companies are offering theme kits, such as those featuring food of a certain region or country, and special recipes designed for kids.</w:t>
      </w:r>
      <w:bookmarkStart w:id="38" w:name="_|nkEXOk8CoE6Uff19E2Uy1w==|1659|41"/>
      <w:bookmarkEnd w:id="38"/>
    </w:p>
    <w:p>
      <w:pPr>
        <w:pStyle w:val="2"/>
      </w:pPr>
      <w:r>
        <w:t>Research</w:t>
      </w:r>
      <w:bookmarkStart w:id="39" w:name="_|nkEXOk8CoE6Uff19E2Uy1w==|1659|42"/>
      <w:bookmarkEnd w:id="39"/>
    </w:p>
    <w:p>
      <w:r>
        <w:t>Devon &amp; Company conducted research to determine the state of the retail grocery business this year. In an online survey, we asked adults in the United States how they buy their groceries. About 990 people responded. Of the respondents, 92 percent buy their groceries in stores, down from 97 percent in the previous year.</w:t>
      </w:r>
      <w:bookmarkStart w:id="40" w:name="_|nkEXOk8CoE6Uff19E2Uy1w==|1659|43"/>
      <w:bookmarkEnd w:id="40"/>
    </w:p>
    <w:tbl>
      <w:tblPr>
        <w:tblStyle w:val="24"/>
        <w:tblW w:w="4129" w:type="pct"/>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top w:w="0" w:type="dxa"/>
          <w:left w:w="108" w:type="dxa"/>
          <w:bottom w:w="0" w:type="dxa"/>
          <w:right w:w="108" w:type="dxa"/>
        </w:tblCellMar>
      </w:tblPr>
      <w:tblGrid>
        <w:gridCol w:w="1770"/>
        <w:gridCol w:w="3438"/>
        <w:gridCol w:w="2700"/>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vMerge w:val="restart"/>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Grocery-shopping habits</w:t>
            </w:r>
          </w:p>
          <w:p>
            <w:pPr>
              <w:spacing w:after="0" w:line="240" w:lineRule="auto"/>
              <w:jc w:val="center"/>
              <w:rPr>
                <w:b/>
                <w:bCs/>
                <w:color w:val="FFFFFF" w:themeColor="background1"/>
                <w14:textFill>
                  <w14:solidFill>
                    <w14:schemeClr w14:val="bg1"/>
                  </w14:solidFill>
                </w14:textFill>
              </w:rPr>
            </w:pPr>
          </w:p>
          <w:p>
            <w:pPr>
              <w:tabs>
                <w:tab w:val="left" w:pos="2215"/>
              </w:tabs>
              <w:spacing w:after="0" w:line="240" w:lineRule="auto"/>
              <w:jc w:val="center"/>
              <w:rPr>
                <w:b/>
                <w:bCs/>
                <w:color w:val="FFFFFF" w:themeColor="background1"/>
                <w14:textFill>
                  <w14:solidFill>
                    <w14:schemeClr w14:val="bg1"/>
                  </w14:solidFill>
                </w14:textFill>
              </w:rPr>
            </w:pPr>
          </w:p>
        </w:tc>
        <w:tc>
          <w:tcPr>
            <w:tcW w:w="2174" w:type="pct"/>
            <w:tcBorders>
              <w:top w:val="single" w:color="70AD47" w:themeColor="accent6" w:sz="4" w:space="0"/>
              <w:bottom w:val="single" w:color="70AD47" w:themeColor="accent6" w:sz="4" w:space="0"/>
              <w:right w:val="nil"/>
              <w:insideH w:val="single" w:sz="4" w:space="0"/>
              <w:insideV w:val="nil"/>
            </w:tcBorders>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Where they shop</w:t>
            </w:r>
          </w:p>
        </w:tc>
        <w:tc>
          <w:tcPr>
            <w:tcW w:w="1707" w:type="pct"/>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Percentage (%)</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vMerge w:val="continue"/>
            <w:shd w:val="clear" w:color="auto" w:fill="E2EFD9" w:themeFill="accent6" w:themeFillTint="33"/>
          </w:tcPr>
          <w:p>
            <w:pPr>
              <w:spacing w:after="0" w:line="240" w:lineRule="auto"/>
              <w:rPr>
                <w:b/>
                <w:bCs/>
              </w:rPr>
            </w:pPr>
          </w:p>
        </w:tc>
        <w:tc>
          <w:tcPr>
            <w:tcW w:w="2174" w:type="pct"/>
            <w:shd w:val="clear" w:color="auto" w:fill="E2EFD9" w:themeFill="accent6" w:themeFillTint="33"/>
          </w:tcPr>
          <w:p>
            <w:pPr>
              <w:spacing w:after="0" w:line="240" w:lineRule="auto"/>
            </w:pPr>
            <w:r>
              <w:t>Delivery service</w:t>
            </w:r>
          </w:p>
        </w:tc>
        <w:tc>
          <w:tcPr>
            <w:tcW w:w="1707" w:type="pct"/>
            <w:shd w:val="clear" w:color="auto" w:fill="E2EFD9" w:themeFill="accent6" w:themeFillTint="33"/>
          </w:tcPr>
          <w:p>
            <w:pPr>
              <w:spacing w:after="0" w:line="240" w:lineRule="auto"/>
            </w:pPr>
            <w:r>
              <w:t>8</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vMerge w:val="continue"/>
          </w:tcPr>
          <w:p>
            <w:pPr>
              <w:spacing w:after="0" w:line="240" w:lineRule="auto"/>
              <w:rPr>
                <w:b/>
                <w:bCs/>
              </w:rPr>
            </w:pPr>
          </w:p>
        </w:tc>
        <w:tc>
          <w:tcPr>
            <w:tcW w:w="2174" w:type="pct"/>
          </w:tcPr>
          <w:p>
            <w:pPr>
              <w:spacing w:after="0" w:line="240" w:lineRule="auto"/>
            </w:pPr>
            <w:r>
              <w:t>In stores</w:t>
            </w:r>
          </w:p>
        </w:tc>
        <w:tc>
          <w:tcPr>
            <w:tcW w:w="1707" w:type="pct"/>
          </w:tcPr>
          <w:p>
            <w:pPr>
              <w:spacing w:after="0" w:line="240" w:lineRule="auto"/>
            </w:pPr>
            <w:r>
              <w:t>92</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vMerge w:val="continue"/>
            <w:shd w:val="clear" w:color="auto" w:fill="E2EFD9" w:themeFill="accent6" w:themeFillTint="33"/>
          </w:tcPr>
          <w:p>
            <w:pPr>
              <w:spacing w:after="0" w:line="240" w:lineRule="auto"/>
              <w:rPr>
                <w:b/>
                <w:bCs/>
              </w:rPr>
            </w:pPr>
          </w:p>
        </w:tc>
        <w:tc>
          <w:tcPr>
            <w:tcW w:w="2174" w:type="pct"/>
            <w:shd w:val="clear" w:color="auto" w:fill="E2EFD9" w:themeFill="accent6" w:themeFillTint="33"/>
          </w:tcPr>
          <w:p>
            <w:pPr>
              <w:spacing w:after="0" w:line="240" w:lineRule="auto"/>
            </w:pPr>
            <w:r>
              <w:t>Mobile app</w:t>
            </w:r>
          </w:p>
        </w:tc>
        <w:tc>
          <w:tcPr>
            <w:tcW w:w="1707" w:type="pct"/>
            <w:shd w:val="clear" w:color="auto" w:fill="E2EFD9" w:themeFill="accent6" w:themeFillTint="33"/>
          </w:tcPr>
          <w:p>
            <w:pPr>
              <w:spacing w:after="0" w:line="240" w:lineRule="auto"/>
            </w:pPr>
            <w:r>
              <w:t>6</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vMerge w:val="continue"/>
          </w:tcPr>
          <w:p>
            <w:pPr>
              <w:spacing w:after="0" w:line="240" w:lineRule="auto"/>
              <w:rPr>
                <w:b/>
                <w:bCs/>
              </w:rPr>
            </w:pPr>
          </w:p>
        </w:tc>
        <w:tc>
          <w:tcPr>
            <w:tcW w:w="2174" w:type="pct"/>
          </w:tcPr>
          <w:p>
            <w:pPr>
              <w:spacing w:after="0" w:line="240" w:lineRule="auto"/>
            </w:pPr>
            <w:r>
              <w:t>Online</w:t>
            </w:r>
          </w:p>
        </w:tc>
        <w:tc>
          <w:tcPr>
            <w:tcW w:w="1707" w:type="pct"/>
          </w:tcPr>
          <w:p>
            <w:pPr>
              <w:spacing w:after="0" w:line="240" w:lineRule="auto"/>
            </w:pPr>
            <w:r>
              <w:t>20</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Ex>
        <w:tc>
          <w:tcPr>
            <w:tcW w:w="1119" w:type="pct"/>
            <w:shd w:val="clear" w:color="auto" w:fill="E2EFD9" w:themeFill="accent6" w:themeFillTint="33"/>
          </w:tcPr>
          <w:p>
            <w:pPr>
              <w:spacing w:after="0" w:line="240" w:lineRule="auto"/>
              <w:rPr>
                <w:b/>
                <w:bCs/>
              </w:rPr>
            </w:pPr>
          </w:p>
        </w:tc>
        <w:tc>
          <w:tcPr>
            <w:tcW w:w="2174" w:type="pct"/>
            <w:shd w:val="clear" w:color="auto" w:fill="E2EFD9" w:themeFill="accent6" w:themeFillTint="33"/>
          </w:tcPr>
          <w:p>
            <w:pPr>
              <w:spacing w:after="0" w:line="240" w:lineRule="auto"/>
            </w:pPr>
            <w:r>
              <w:t>Store pickup service</w:t>
            </w:r>
          </w:p>
        </w:tc>
        <w:tc>
          <w:tcPr>
            <w:tcW w:w="1707" w:type="pct"/>
            <w:shd w:val="clear" w:color="auto" w:fill="E2EFD9" w:themeFill="accent6" w:themeFillTint="33"/>
          </w:tcPr>
          <w:p>
            <w:pPr>
              <w:spacing w:after="0" w:line="240" w:lineRule="auto"/>
            </w:pPr>
            <w:r>
              <w:t>10</w:t>
            </w:r>
          </w:p>
        </w:tc>
      </w:tr>
    </w:tbl>
    <w:p>
      <w:r>
        <w:t>We also asked U.S. adults how many trips they made to the grocery store each week. The following table compares the results to two previous years.</w:t>
      </w:r>
      <w:bookmarkStart w:id="41" w:name="_|nkEXOk8CoE6Uff19E2Uy1w==|1659|44"/>
      <w:bookmarkEnd w:id="41"/>
    </w:p>
    <w:tbl>
      <w:tblPr>
        <w:tblStyle w:val="21"/>
        <w:tblW w:w="5000" w:type="pct"/>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2500" w:type="pct"/>
            <w:tcBorders>
              <w:bottom w:val="nil"/>
              <w:right w:val="nil"/>
            </w:tcBorders>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Year</w:t>
            </w:r>
          </w:p>
        </w:tc>
        <w:tc>
          <w:tcPr>
            <w:tcW w:w="2500" w:type="pct"/>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Number of trips</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2500" w:type="pct"/>
            <w:tcBorders>
              <w:top w:val="single" w:color="70AD47" w:themeColor="accent6" w:sz="4" w:space="0"/>
              <w:bottom w:val="single" w:color="70AD47" w:themeColor="accent6" w:sz="4" w:space="0"/>
              <w:right w:val="nil"/>
              <w:insideH w:val="single" w:sz="4" w:space="0"/>
              <w:insideV w:val="nil"/>
            </w:tcBorders>
            <w:shd w:val="clear" w:color="auto" w:fill="FFFFFF" w:themeFill="background1"/>
          </w:tcPr>
          <w:p>
            <w:pPr>
              <w:spacing w:after="0" w:line="240" w:lineRule="auto"/>
              <w:rPr>
                <w:b/>
                <w:bCs/>
              </w:rPr>
            </w:pPr>
            <w:r>
              <w:rPr>
                <w:b/>
                <w:bCs/>
              </w:rPr>
              <w:t>2019</w:t>
            </w:r>
          </w:p>
        </w:tc>
        <w:tc>
          <w:tcPr>
            <w:tcW w:w="2500" w:type="pct"/>
            <w:tcBorders>
              <w:top w:val="single" w:color="70AD47" w:themeColor="accent6" w:sz="4" w:space="0"/>
              <w:bottom w:val="single" w:color="70AD47" w:themeColor="accent6" w:sz="4" w:space="0"/>
              <w:insideH w:val="single" w:sz="4" w:space="0"/>
            </w:tcBorders>
          </w:tcPr>
          <w:p>
            <w:pPr>
              <w:spacing w:after="0" w:line="240" w:lineRule="auto"/>
            </w:pPr>
            <w:r>
              <w:t>2.2</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2500" w:type="pct"/>
            <w:tcBorders>
              <w:right w:val="nil"/>
              <w:insideV w:val="nil"/>
            </w:tcBorders>
            <w:shd w:val="clear" w:color="auto" w:fill="FFFFFF" w:themeFill="background1"/>
          </w:tcPr>
          <w:p>
            <w:pPr>
              <w:spacing w:after="0" w:line="240" w:lineRule="auto"/>
              <w:rPr>
                <w:b/>
                <w:bCs/>
              </w:rPr>
            </w:pPr>
            <w:r>
              <w:rPr>
                <w:b/>
                <w:bCs/>
              </w:rPr>
              <w:t>2020</w:t>
            </w:r>
          </w:p>
        </w:tc>
        <w:tc>
          <w:tcPr>
            <w:tcW w:w="2500" w:type="pct"/>
          </w:tcPr>
          <w:p>
            <w:pPr>
              <w:spacing w:after="0" w:line="240" w:lineRule="auto"/>
            </w:pPr>
            <w:r>
              <w:t>1.8</w:t>
            </w:r>
          </w:p>
        </w:tc>
      </w:tr>
    </w:tbl>
    <w:p>
      <w:bookmarkStart w:id="42" w:name="_|nkEXOk8CoE6Uff19E2Uy1w==|1659|45"/>
      <w:bookmarkEnd w:id="42"/>
    </w:p>
    <w:p>
      <w:r>
        <w:t>Finally, we asked respondents to estimate their expenditures on the four most popular categories of grocery items in the past year. The following table shows the results.</w:t>
      </w:r>
      <w:bookmarkStart w:id="43" w:name="_|nkEXOk8CoE6Uff19E2Uy1w==|1659|46"/>
      <w:bookmarkEnd w:id="43"/>
    </w:p>
    <w:tbl>
      <w:tblPr>
        <w:tblStyle w:val="21"/>
        <w:tblW w:w="0" w:type="auto"/>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Category</w:t>
            </w:r>
          </w:p>
        </w:tc>
        <w:tc>
          <w:tcPr>
            <w:tcW w:w="4675" w:type="dxa"/>
            <w:shd w:val="clear" w:color="auto" w:fill="70AD47" w:themeFill="accent6"/>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Expenditure ($)</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tcBorders>
              <w:top w:val="single" w:color="70AD47" w:themeColor="accent6" w:sz="4" w:space="0"/>
              <w:bottom w:val="single" w:color="70AD47" w:themeColor="accent6" w:sz="4" w:space="0"/>
              <w:insideH w:val="single" w:sz="4" w:space="0"/>
            </w:tcBorders>
          </w:tcPr>
          <w:p>
            <w:pPr>
              <w:spacing w:after="0" w:line="240" w:lineRule="auto"/>
            </w:pPr>
            <w:r>
              <w:t>Bakery</w:t>
            </w:r>
          </w:p>
        </w:tc>
        <w:tc>
          <w:tcPr>
            <w:tcW w:w="4675" w:type="dxa"/>
            <w:tcBorders>
              <w:top w:val="single" w:color="70AD47" w:themeColor="accent6" w:sz="4" w:space="0"/>
              <w:bottom w:val="single" w:color="70AD47" w:themeColor="accent6" w:sz="4" w:space="0"/>
              <w:insideH w:val="single" w:sz="4" w:space="0"/>
            </w:tcBorders>
          </w:tcPr>
          <w:p>
            <w:pPr>
              <w:tabs>
                <w:tab w:val="decimal" w:pos="1085"/>
              </w:tabs>
              <w:spacing w:after="0" w:line="240" w:lineRule="auto"/>
            </w:pPr>
            <w:r>
              <w:t>1,020</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pPr>
            <w:r>
              <w:t>Meat and seafood</w:t>
            </w:r>
          </w:p>
        </w:tc>
        <w:tc>
          <w:tcPr>
            <w:tcW w:w="4675" w:type="dxa"/>
          </w:tcPr>
          <w:p>
            <w:pPr>
              <w:tabs>
                <w:tab w:val="decimal" w:pos="1085"/>
              </w:tabs>
              <w:spacing w:after="0" w:line="240" w:lineRule="auto"/>
            </w:pPr>
            <w:r>
              <w:t>2,215</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tcBorders>
              <w:top w:val="single" w:color="70AD47" w:themeColor="accent6" w:sz="4" w:space="0"/>
              <w:bottom w:val="single" w:color="70AD47" w:themeColor="accent6" w:sz="4" w:space="0"/>
              <w:insideH w:val="single" w:sz="4" w:space="0"/>
            </w:tcBorders>
          </w:tcPr>
          <w:p>
            <w:pPr>
              <w:spacing w:after="0" w:line="240" w:lineRule="auto"/>
            </w:pPr>
            <w:r>
              <w:t>Fresh produce and dairy</w:t>
            </w:r>
          </w:p>
        </w:tc>
        <w:tc>
          <w:tcPr>
            <w:tcW w:w="4675" w:type="dxa"/>
            <w:tcBorders>
              <w:top w:val="single" w:color="70AD47" w:themeColor="accent6" w:sz="4" w:space="0"/>
              <w:bottom w:val="single" w:color="70AD47" w:themeColor="accent6" w:sz="4" w:space="0"/>
              <w:insideH w:val="single" w:sz="4" w:space="0"/>
            </w:tcBorders>
          </w:tcPr>
          <w:p>
            <w:pPr>
              <w:tabs>
                <w:tab w:val="decimal" w:pos="1085"/>
              </w:tabs>
              <w:spacing w:after="0" w:line="240" w:lineRule="auto"/>
            </w:pPr>
            <w:r>
              <w:t>910</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tcPr>
          <w:p>
            <w:pPr>
              <w:spacing w:after="0" w:line="240" w:lineRule="auto"/>
            </w:pPr>
            <w:r>
              <w:t>Packaged foods</w:t>
            </w:r>
          </w:p>
        </w:tc>
        <w:tc>
          <w:tcPr>
            <w:tcW w:w="4675" w:type="dxa"/>
          </w:tcPr>
          <w:p>
            <w:pPr>
              <w:tabs>
                <w:tab w:val="decimal" w:pos="1085"/>
              </w:tabs>
              <w:spacing w:after="0" w:line="240" w:lineRule="auto"/>
            </w:pPr>
            <w:r>
              <w:t>955</w:t>
            </w:r>
          </w:p>
        </w:tc>
      </w:tr>
      <w:tr>
        <w:tblPrEx>
          <w:tbl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auto" w:sz="0" w:space="0"/>
            <w:insideV w:val="none" w:color="auto" w:sz="0" w:space="0"/>
          </w:tblBorders>
          <w:tblCellMar>
            <w:top w:w="0" w:type="dxa"/>
            <w:left w:w="108" w:type="dxa"/>
            <w:bottom w:w="0" w:type="dxa"/>
            <w:right w:w="108" w:type="dxa"/>
          </w:tblCellMar>
        </w:tblPrEx>
        <w:tc>
          <w:tcPr>
            <w:tcW w:w="4675" w:type="dxa"/>
            <w:tcBorders>
              <w:top w:val="single" w:color="70AD47" w:themeColor="accent6" w:sz="4" w:space="0"/>
              <w:bottom w:val="single" w:color="70AD47" w:themeColor="accent6" w:sz="4" w:space="0"/>
              <w:insideH w:val="single" w:sz="4" w:space="0"/>
            </w:tcBorders>
          </w:tcPr>
          <w:p>
            <w:pPr>
              <w:spacing w:after="0" w:line="240" w:lineRule="auto"/>
            </w:pPr>
            <w:r>
              <w:t>Total</w:t>
            </w:r>
          </w:p>
        </w:tc>
        <w:tc>
          <w:tcPr>
            <w:tcW w:w="4675" w:type="dxa"/>
            <w:tcBorders>
              <w:top w:val="single" w:color="70AD47" w:themeColor="accent6" w:sz="4" w:space="0"/>
              <w:bottom w:val="single" w:color="70AD47" w:themeColor="accent6" w:sz="4" w:space="0"/>
              <w:insideH w:val="single" w:sz="4" w:space="0"/>
            </w:tcBorders>
          </w:tcPr>
          <w:p>
            <w:pPr>
              <w:tabs>
                <w:tab w:val="decimal" w:pos="1085"/>
              </w:tabs>
              <w:spacing w:after="0" w:line="240" w:lineRule="auto"/>
              <w:jc w:val="both"/>
            </w:pPr>
            <w:r>
              <w:t>5.100</w:t>
            </w:r>
          </w:p>
        </w:tc>
      </w:tr>
    </w:tbl>
    <w:p>
      <w:pPr>
        <w:spacing w:before="720"/>
      </w:pPr>
      <w:bookmarkStart w:id="44" w:name="_|nkEXOk8CoE6Uff19E2Uy1w==|1659|47"/>
      <w:bookmarkEnd w:id="44"/>
    </w:p>
    <w:p>
      <w:pPr>
        <w:pBdr>
          <w:top w:val="single" w:color="385623" w:themeColor="accent6" w:themeShade="80" w:sz="4" w:space="1"/>
          <w:left w:val="single" w:color="385623" w:themeColor="accent6" w:themeShade="80" w:sz="4" w:space="4"/>
          <w:bottom w:val="single" w:color="385623" w:themeColor="accent6" w:themeShade="80" w:sz="4" w:space="1"/>
          <w:right w:val="single" w:color="385623" w:themeColor="accent6" w:themeShade="80" w:sz="4" w:space="4"/>
        </w:pBdr>
        <w:jc w:val="center"/>
      </w:pPr>
      <w:r>
        <w:t xml:space="preserve">For more survey results, contact </w:t>
      </w:r>
      <w:bookmarkStart w:id="45" w:name="_|nkEXOk8CoE6Uff19E2Uy1w==|1659|48"/>
      <w:bookmarkEnd w:id="45"/>
      <w:r>
        <w:fldChar w:fldCharType="begin"/>
      </w:r>
      <w:r>
        <w:instrText xml:space="preserve">HYPERLINK "mailto:info@devon.cengage.com"</w:instrText>
      </w:r>
      <w:r>
        <w:fldChar w:fldCharType="separate"/>
      </w:r>
      <w:r>
        <w:rPr>
          <w:rStyle w:val="10"/>
        </w:rPr>
        <w:t>info@devon.cengage.com</w:t>
      </w:r>
      <w:r>
        <w:fldChar w:fldCharType="end"/>
      </w:r>
      <w:r>
        <w:t xml:space="preserve"> </w:t>
      </w:r>
    </w:p>
    <w:p>
      <w:pPr>
        <w:pBdr>
          <w:top w:val="single" w:color="385623" w:themeColor="accent6" w:themeShade="80" w:sz="4" w:space="1"/>
          <w:left w:val="single" w:color="385623" w:themeColor="accent6" w:themeShade="80" w:sz="4" w:space="4"/>
          <w:bottom w:val="single" w:color="385623" w:themeColor="accent6" w:themeShade="80" w:sz="4" w:space="1"/>
          <w:right w:val="single" w:color="385623" w:themeColor="accent6" w:themeShade="80" w:sz="4" w:space="4"/>
        </w:pBdr>
        <w:jc w:val="center"/>
      </w:pPr>
      <w:r>
        <w:drawing>
          <wp:inline distT="0" distB="0" distL="0" distR="0">
            <wp:extent cx="132207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22095" cy="914400"/>
                    </a:xfrm>
                    <a:prstGeom prst="rect">
                      <a:avLst/>
                    </a:prstGeom>
                  </pic:spPr>
                </pic:pic>
              </a:graphicData>
            </a:graphic>
          </wp:inline>
        </w:drawing>
      </w:r>
      <w:bookmarkStart w:id="46" w:name="_|nkEXOk8CoE6Uff19E2Uy1w==|1659|49"/>
      <w:bookmarkEnd w:id="46"/>
    </w:p>
    <w:p>
      <w:pPr>
        <w:pBdr>
          <w:top w:val="single" w:color="385623" w:themeColor="accent6" w:themeShade="80" w:sz="4" w:space="1"/>
          <w:left w:val="single" w:color="385623" w:themeColor="accent6" w:themeShade="80" w:sz="4" w:space="4"/>
          <w:bottom w:val="single" w:color="385623" w:themeColor="accent6" w:themeShade="80" w:sz="4" w:space="1"/>
          <w:right w:val="single" w:color="385623" w:themeColor="accent6" w:themeShade="80" w:sz="4" w:space="4"/>
        </w:pBdr>
        <w:jc w:val="center"/>
      </w:pPr>
      <w:r>
        <w:t>Devon &amp; Company Consultants ■devon.cengage.com</w:t>
      </w: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86"/>
    <w:family w:val="swiss"/>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swiss"/>
    <w:pitch w:val="default"/>
    <w:sig w:usb0="00000287" w:usb1="00000000" w:usb2="00000000" w:usb3="00000000" w:csb0="2000009F" w:csb1="DFD70000"/>
  </w:font>
  <w:font w:name="隶书">
    <w:altName w:val="Microsoft YaHei"/>
    <w:panose1 w:val="00000000000000000000"/>
    <w:charset w:val="00"/>
    <w:family w:val="auto"/>
    <w:pitch w:val="default"/>
    <w:sig w:usb0="00000000" w:usb1="00000000" w:usb2="00000000" w:usb3="00000000" w:csb0="00000000" w:csb1="00000000"/>
  </w:font>
  <w:font w:name="华文楷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i/>
        <w:iCs/>
      </w:rPr>
    </w:pPr>
    <w:r>
      <w:t xml:space="preserve">This file completed specifically by </w:t>
    </w:r>
    <w:r>
      <w:rPr>
        <w:b/>
        <w:bCs/>
        <w:i/>
        <w:iCs/>
      </w:rPr>
      <w:t>22048845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This file created specifically for Mark Mensah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This file created specifically for Mark Mensah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8"/>
      </w:pPr>
      <w:r>
        <w:rPr>
          <w:rStyle w:val="7"/>
        </w:rPr>
        <w:footnoteRef/>
      </w:r>
      <w:r>
        <w:t xml:space="preserve"> Small producers are those ranked below the 100 producers.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F4019"/>
    <w:multiLevelType w:val="multilevel"/>
    <w:tmpl w:val="0E7F40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yMTc1NzCxMDA0sDRR0lEKTi0uzszPAykwrAUAM9RBCiwAAAA="/>
  </w:docVars>
  <w:rsids>
    <w:rsidRoot w:val="001074DD"/>
    <w:rsid w:val="00033333"/>
    <w:rsid w:val="000455A0"/>
    <w:rsid w:val="00045BE5"/>
    <w:rsid w:val="0004642D"/>
    <w:rsid w:val="000540B5"/>
    <w:rsid w:val="0005744D"/>
    <w:rsid w:val="00062F5A"/>
    <w:rsid w:val="000969A4"/>
    <w:rsid w:val="00097889"/>
    <w:rsid w:val="000C67F0"/>
    <w:rsid w:val="000D3E99"/>
    <w:rsid w:val="000E2E8E"/>
    <w:rsid w:val="000E4CEB"/>
    <w:rsid w:val="001074DD"/>
    <w:rsid w:val="00115D6F"/>
    <w:rsid w:val="001213A5"/>
    <w:rsid w:val="00145210"/>
    <w:rsid w:val="001603E6"/>
    <w:rsid w:val="00185949"/>
    <w:rsid w:val="00194EAE"/>
    <w:rsid w:val="001A094B"/>
    <w:rsid w:val="001A0ECD"/>
    <w:rsid w:val="001C42CE"/>
    <w:rsid w:val="001D0CCA"/>
    <w:rsid w:val="001D72C4"/>
    <w:rsid w:val="001F2B91"/>
    <w:rsid w:val="002033CF"/>
    <w:rsid w:val="002144CB"/>
    <w:rsid w:val="002353EE"/>
    <w:rsid w:val="00236A89"/>
    <w:rsid w:val="00255340"/>
    <w:rsid w:val="00257A76"/>
    <w:rsid w:val="00266305"/>
    <w:rsid w:val="00297731"/>
    <w:rsid w:val="002A5613"/>
    <w:rsid w:val="002B62F9"/>
    <w:rsid w:val="0033652F"/>
    <w:rsid w:val="00346248"/>
    <w:rsid w:val="003555E3"/>
    <w:rsid w:val="0036021E"/>
    <w:rsid w:val="00370C7C"/>
    <w:rsid w:val="003973A9"/>
    <w:rsid w:val="003A1BEF"/>
    <w:rsid w:val="003C575C"/>
    <w:rsid w:val="003F4254"/>
    <w:rsid w:val="0041348B"/>
    <w:rsid w:val="00446231"/>
    <w:rsid w:val="0047261C"/>
    <w:rsid w:val="00473593"/>
    <w:rsid w:val="00490240"/>
    <w:rsid w:val="004B2D43"/>
    <w:rsid w:val="004E0DF0"/>
    <w:rsid w:val="00500B3C"/>
    <w:rsid w:val="00514425"/>
    <w:rsid w:val="00517488"/>
    <w:rsid w:val="00525084"/>
    <w:rsid w:val="00544C50"/>
    <w:rsid w:val="00557B97"/>
    <w:rsid w:val="00584CFC"/>
    <w:rsid w:val="00586F4E"/>
    <w:rsid w:val="00591368"/>
    <w:rsid w:val="005A2CBD"/>
    <w:rsid w:val="005B34FD"/>
    <w:rsid w:val="006147DE"/>
    <w:rsid w:val="00623182"/>
    <w:rsid w:val="0063477D"/>
    <w:rsid w:val="00642584"/>
    <w:rsid w:val="00651C00"/>
    <w:rsid w:val="006731FE"/>
    <w:rsid w:val="00674585"/>
    <w:rsid w:val="0068442D"/>
    <w:rsid w:val="006A073D"/>
    <w:rsid w:val="00732FF4"/>
    <w:rsid w:val="00733BCC"/>
    <w:rsid w:val="00774A6D"/>
    <w:rsid w:val="00775569"/>
    <w:rsid w:val="00785E00"/>
    <w:rsid w:val="007A479D"/>
    <w:rsid w:val="007A71ED"/>
    <w:rsid w:val="007C23B9"/>
    <w:rsid w:val="007C493A"/>
    <w:rsid w:val="007D4F54"/>
    <w:rsid w:val="007F2702"/>
    <w:rsid w:val="0080257D"/>
    <w:rsid w:val="00812208"/>
    <w:rsid w:val="00816491"/>
    <w:rsid w:val="00820349"/>
    <w:rsid w:val="00843E58"/>
    <w:rsid w:val="00856A4B"/>
    <w:rsid w:val="00882109"/>
    <w:rsid w:val="00893C9F"/>
    <w:rsid w:val="0089551F"/>
    <w:rsid w:val="008D4684"/>
    <w:rsid w:val="009170DF"/>
    <w:rsid w:val="0092624D"/>
    <w:rsid w:val="00964D8B"/>
    <w:rsid w:val="009A2F7E"/>
    <w:rsid w:val="009A5AB7"/>
    <w:rsid w:val="009B0AD0"/>
    <w:rsid w:val="009C5A3C"/>
    <w:rsid w:val="009D0355"/>
    <w:rsid w:val="009D0F0A"/>
    <w:rsid w:val="009E2684"/>
    <w:rsid w:val="009E7EB6"/>
    <w:rsid w:val="00A020F5"/>
    <w:rsid w:val="00A1526F"/>
    <w:rsid w:val="00A52109"/>
    <w:rsid w:val="00A55122"/>
    <w:rsid w:val="00A623A4"/>
    <w:rsid w:val="00A77E42"/>
    <w:rsid w:val="00A92EEB"/>
    <w:rsid w:val="00AA35E7"/>
    <w:rsid w:val="00AD5870"/>
    <w:rsid w:val="00B01038"/>
    <w:rsid w:val="00B02FBA"/>
    <w:rsid w:val="00B067AB"/>
    <w:rsid w:val="00B255D1"/>
    <w:rsid w:val="00B31682"/>
    <w:rsid w:val="00B46C68"/>
    <w:rsid w:val="00B52FFB"/>
    <w:rsid w:val="00B55157"/>
    <w:rsid w:val="00B64EAD"/>
    <w:rsid w:val="00B7229E"/>
    <w:rsid w:val="00B80D01"/>
    <w:rsid w:val="00B80D3D"/>
    <w:rsid w:val="00B87F6D"/>
    <w:rsid w:val="00B92EE8"/>
    <w:rsid w:val="00BB360E"/>
    <w:rsid w:val="00BC396B"/>
    <w:rsid w:val="00C05A65"/>
    <w:rsid w:val="00C4254D"/>
    <w:rsid w:val="00C5243E"/>
    <w:rsid w:val="00C62CD2"/>
    <w:rsid w:val="00C72E67"/>
    <w:rsid w:val="00C93BA4"/>
    <w:rsid w:val="00CA09D3"/>
    <w:rsid w:val="00CB0702"/>
    <w:rsid w:val="00CD0751"/>
    <w:rsid w:val="00D030B7"/>
    <w:rsid w:val="00D3480A"/>
    <w:rsid w:val="00D5245C"/>
    <w:rsid w:val="00D72C93"/>
    <w:rsid w:val="00D82978"/>
    <w:rsid w:val="00DC4C4D"/>
    <w:rsid w:val="00DD021C"/>
    <w:rsid w:val="00DD61E5"/>
    <w:rsid w:val="00DE0792"/>
    <w:rsid w:val="00E205E1"/>
    <w:rsid w:val="00E32103"/>
    <w:rsid w:val="00E34415"/>
    <w:rsid w:val="00E54FBB"/>
    <w:rsid w:val="00EC04C3"/>
    <w:rsid w:val="00ED1BAC"/>
    <w:rsid w:val="00ED44ED"/>
    <w:rsid w:val="00EE589B"/>
    <w:rsid w:val="00EE7A43"/>
    <w:rsid w:val="00F0045F"/>
    <w:rsid w:val="00F04741"/>
    <w:rsid w:val="00F07E3B"/>
    <w:rsid w:val="00F326D7"/>
    <w:rsid w:val="00F42785"/>
    <w:rsid w:val="00F43C6B"/>
    <w:rsid w:val="00F8659B"/>
    <w:rsid w:val="00F87248"/>
    <w:rsid w:val="00F94369"/>
    <w:rsid w:val="00FB015D"/>
    <w:rsid w:val="00FD2BEF"/>
    <w:rsid w:val="00FD7681"/>
    <w:rsid w:val="00FE0170"/>
    <w:rsid w:val="00FF5016"/>
    <w:rsid w:val="3F44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680"/>
        <w:tab w:val="right" w:pos="9360"/>
      </w:tabs>
      <w:spacing w:after="0" w:line="240" w:lineRule="auto"/>
    </w:pPr>
  </w:style>
  <w:style w:type="character" w:styleId="7">
    <w:name w:val="footnote reference"/>
    <w:basedOn w:val="4"/>
    <w:semiHidden/>
    <w:unhideWhenUsed/>
    <w:uiPriority w:val="99"/>
    <w:rPr>
      <w:vertAlign w:val="superscript"/>
    </w:rPr>
  </w:style>
  <w:style w:type="paragraph" w:styleId="8">
    <w:name w:val="footnote text"/>
    <w:basedOn w:val="1"/>
    <w:link w:val="18"/>
    <w:semiHidden/>
    <w:unhideWhenUsed/>
    <w:uiPriority w:val="99"/>
    <w:pPr>
      <w:spacing w:after="0" w:line="240" w:lineRule="auto"/>
    </w:pPr>
    <w:rPr>
      <w:sz w:val="20"/>
      <w:szCs w:val="20"/>
    </w:rPr>
  </w:style>
  <w:style w:type="paragraph" w:styleId="9">
    <w:name w:val="header"/>
    <w:basedOn w:val="1"/>
    <w:link w:val="22"/>
    <w:unhideWhenUsed/>
    <w:uiPriority w:val="99"/>
    <w:pPr>
      <w:tabs>
        <w:tab w:val="center" w:pos="4680"/>
        <w:tab w:val="right" w:pos="9360"/>
      </w:tabs>
      <w:spacing w:after="0" w:line="240" w:lineRule="auto"/>
    </w:p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5">
    <w:name w:val="Title Char"/>
    <w:basedOn w:val="4"/>
    <w:link w:val="13"/>
    <w:uiPriority w:val="10"/>
    <w:rPr>
      <w:rFonts w:asciiTheme="majorHAnsi" w:hAnsiTheme="majorHAnsi" w:eastAsiaTheme="majorEastAsia" w:cstheme="majorBidi"/>
      <w:spacing w:val="-10"/>
      <w:kern w:val="28"/>
      <w:sz w:val="56"/>
      <w:szCs w:val="56"/>
    </w:rPr>
  </w:style>
  <w:style w:type="character" w:customStyle="1" w:styleId="16">
    <w:name w:val="Subtitle Char"/>
    <w:basedOn w:val="4"/>
    <w:link w:val="11"/>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8">
    <w:name w:val="Footnote Text Char"/>
    <w:basedOn w:val="4"/>
    <w:link w:val="8"/>
    <w:semiHidden/>
    <w:uiPriority w:val="99"/>
    <w:rPr>
      <w:sz w:val="20"/>
      <w:szCs w:val="20"/>
    </w:rPr>
  </w:style>
  <w:style w:type="character" w:customStyle="1" w:styleId="19">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styleId="20">
    <w:name w:val="List Paragraph"/>
    <w:basedOn w:val="1"/>
    <w:qFormat/>
    <w:uiPriority w:val="34"/>
    <w:pPr>
      <w:ind w:left="720"/>
      <w:contextualSpacing/>
    </w:pPr>
  </w:style>
  <w:style w:type="table" w:customStyle="1" w:styleId="21">
    <w:name w:val="List Table 3 Accent 6"/>
    <w:basedOn w:val="5"/>
    <w:uiPriority w:val="48"/>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character" w:customStyle="1" w:styleId="22">
    <w:name w:val="Header Char"/>
    <w:basedOn w:val="4"/>
    <w:link w:val="9"/>
    <w:uiPriority w:val="99"/>
  </w:style>
  <w:style w:type="character" w:customStyle="1" w:styleId="23">
    <w:name w:val="Footer Char"/>
    <w:basedOn w:val="4"/>
    <w:link w:val="6"/>
    <w:qFormat/>
    <w:uiPriority w:val="99"/>
  </w:style>
  <w:style w:type="table" w:customStyle="1" w:styleId="24">
    <w:name w:val="Grid Table 4 Accent 6"/>
    <w:basedOn w:val="5"/>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2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microsoft.com/office/2007/relationships/diagramDrawing" Target="diagrams/drawing1.xml"/><Relationship Id="rId17" Type="http://schemas.openxmlformats.org/officeDocument/2006/relationships/diagramColors" Target="diagrams/colors1.xml"/><Relationship Id="rId16" Type="http://schemas.openxmlformats.org/officeDocument/2006/relationships/diagramQuickStyle" Target="diagrams/quickStyle1.xml"/><Relationship Id="rId15" Type="http://schemas.openxmlformats.org/officeDocument/2006/relationships/diagramLayout" Target="diagrams/layout1.xml"/><Relationship Id="rId14" Type="http://schemas.openxmlformats.org/officeDocument/2006/relationships/diagramData" Target="diagrams/data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D5A55B-FBD5-4985-B1BE-5FB29531A856}" type="doc">
      <dgm:prSet loTypeId="urn:microsoft.com/office/officeart/2005/8/layout/matrix2" loCatId="matrix" qsTypeId="urn:microsoft.com/office/officeart/2005/8/quickstyle/simple3" qsCatId="simple" csTypeId="urn:microsoft.com/office/officeart/2005/8/colors/accent2_2" csCatId="accent2" phldr="1"/>
      <dgm:spPr/>
      <dgm:t>
        <a:bodyPr/>
        <a:p>
          <a:endParaRPr lang="en-US"/>
        </a:p>
      </dgm:t>
    </dgm:pt>
    <dgm:pt modelId="{0A669A74-B2C5-4E4C-A6FF-4827FBFB9A51}">
      <dgm:prSet phldrT="[Text]"/>
      <dgm:spPr/>
      <dgm:t>
        <a:bodyPr/>
        <a:p>
          <a:r>
            <a:rPr lang="en-US"/>
            <a:t>Local and fresh</a:t>
          </a:r>
        </a:p>
      </dgm:t>
    </dgm:pt>
    <dgm:pt modelId="{56A06575-1B4B-4C95-BF88-8325428E01F0}" cxnId="{5F228DE8-CF8B-4EC5-9049-0FB7A1F104FB}" type="parTrans">
      <dgm:prSet/>
      <dgm:spPr/>
      <dgm:t>
        <a:bodyPr/>
        <a:p>
          <a:endParaRPr lang="en-US"/>
        </a:p>
      </dgm:t>
    </dgm:pt>
    <dgm:pt modelId="{A2B6EDF8-F73F-4761-AFCF-1CDA3BEEF1BA}" cxnId="{5F228DE8-CF8B-4EC5-9049-0FB7A1F104FB}" type="sibTrans">
      <dgm:prSet/>
      <dgm:spPr/>
      <dgm:t>
        <a:bodyPr/>
        <a:p>
          <a:endParaRPr lang="en-US"/>
        </a:p>
      </dgm:t>
    </dgm:pt>
    <dgm:pt modelId="{1C1F7DFE-ED29-4AAF-8E67-B71FFA5A0111}">
      <dgm:prSet phldrT="[Text]"/>
      <dgm:spPr/>
      <dgm:t>
        <a:bodyPr/>
        <a:p>
          <a:r>
            <a:rPr lang="en-US"/>
            <a:t>E-commerce</a:t>
          </a:r>
        </a:p>
      </dgm:t>
    </dgm:pt>
    <dgm:pt modelId="{5AED6C98-0A95-40DD-9A8A-AE85BFC8C53E}" cxnId="{F2111710-902F-48BB-9A1D-0BAE03760212}" type="parTrans">
      <dgm:prSet/>
      <dgm:spPr/>
      <dgm:t>
        <a:bodyPr/>
        <a:p>
          <a:endParaRPr lang="en-US"/>
        </a:p>
      </dgm:t>
    </dgm:pt>
    <dgm:pt modelId="{E3A9A15D-2411-4F00-BCA6-4F1287F63461}" cxnId="{F2111710-902F-48BB-9A1D-0BAE03760212}" type="sibTrans">
      <dgm:prSet/>
      <dgm:spPr/>
      <dgm:t>
        <a:bodyPr/>
        <a:p>
          <a:endParaRPr lang="en-US"/>
        </a:p>
      </dgm:t>
    </dgm:pt>
    <dgm:pt modelId="{12824F4C-1EF3-436E-A451-2B549DE5C673}">
      <dgm:prSet phldrT="[Text]"/>
      <dgm:spPr/>
      <dgm:t>
        <a:bodyPr/>
        <a:p>
          <a:r>
            <a:rPr lang="en-US"/>
            <a:t>Shopping and more</a:t>
          </a:r>
        </a:p>
      </dgm:t>
    </dgm:pt>
    <dgm:pt modelId="{64D65223-DE67-4DC8-95E2-2FC64B340C6B}" cxnId="{BC1AF8F8-0C3A-4746-9FE6-B15C195AEB20}" type="parTrans">
      <dgm:prSet/>
      <dgm:spPr/>
      <dgm:t>
        <a:bodyPr/>
        <a:p>
          <a:endParaRPr lang="en-US"/>
        </a:p>
      </dgm:t>
    </dgm:pt>
    <dgm:pt modelId="{934EF915-F7E5-4871-A405-E805DC1155F0}" cxnId="{BC1AF8F8-0C3A-4746-9FE6-B15C195AEB20}" type="sibTrans">
      <dgm:prSet/>
      <dgm:spPr/>
      <dgm:t>
        <a:bodyPr/>
        <a:p>
          <a:endParaRPr lang="en-US"/>
        </a:p>
      </dgm:t>
    </dgm:pt>
    <dgm:pt modelId="{93677709-5BF1-489B-B85C-4BD7369C22B2}">
      <dgm:prSet phldrT="[Text]"/>
      <dgm:spPr/>
      <dgm:t>
        <a:bodyPr/>
        <a:p>
          <a:r>
            <a:rPr lang="en-US"/>
            <a:t>Meal Kits</a:t>
          </a:r>
        </a:p>
      </dgm:t>
    </dgm:pt>
    <dgm:pt modelId="{E4D5FCC7-244E-47B5-B177-8B0C097430EC}" cxnId="{48CC8AA6-0D74-4772-B965-277CDF0D226F}" type="parTrans">
      <dgm:prSet/>
      <dgm:spPr/>
      <dgm:t>
        <a:bodyPr/>
        <a:p>
          <a:endParaRPr lang="en-US"/>
        </a:p>
      </dgm:t>
    </dgm:pt>
    <dgm:pt modelId="{CFBF527C-A0D7-4610-A4C0-5138BCF54207}" cxnId="{48CC8AA6-0D74-4772-B965-277CDF0D226F}" type="sibTrans">
      <dgm:prSet/>
      <dgm:spPr/>
      <dgm:t>
        <a:bodyPr/>
        <a:p>
          <a:endParaRPr lang="en-US"/>
        </a:p>
      </dgm:t>
    </dgm:pt>
    <dgm:pt modelId="{D78C0DE9-8AE6-4076-A565-4CAC80BF0CE9}" type="pres">
      <dgm:prSet presAssocID="{63D5A55B-FBD5-4985-B1BE-5FB29531A856}" presName="matrix" presStyleCnt="0">
        <dgm:presLayoutVars>
          <dgm:chMax val="1"/>
          <dgm:dir/>
          <dgm:resizeHandles val="exact"/>
        </dgm:presLayoutVars>
      </dgm:prSet>
      <dgm:spPr/>
    </dgm:pt>
    <dgm:pt modelId="{BCF32BA5-6BDD-4C64-9DCC-56C342DAD989}" type="pres">
      <dgm:prSet presAssocID="{63D5A55B-FBD5-4985-B1BE-5FB29531A856}" presName="axisShape" presStyleLbl="bgShp" presStyleIdx="0" presStyleCnt="1"/>
      <dgm:spPr/>
    </dgm:pt>
    <dgm:pt modelId="{D32EB750-9101-48A2-94FE-F14FEB17DF60}" type="pres">
      <dgm:prSet presAssocID="{63D5A55B-FBD5-4985-B1BE-5FB29531A856}" presName="rect1" presStyleLbl="node1" presStyleIdx="0" presStyleCnt="4">
        <dgm:presLayoutVars>
          <dgm:chMax val="0"/>
          <dgm:chPref val="0"/>
          <dgm:bulletEnabled val="1"/>
        </dgm:presLayoutVars>
      </dgm:prSet>
      <dgm:spPr/>
    </dgm:pt>
    <dgm:pt modelId="{88B8E744-8B83-46E7-8B19-9D11E7C6A9C9}" type="pres">
      <dgm:prSet presAssocID="{63D5A55B-FBD5-4985-B1BE-5FB29531A856}" presName="rect2" presStyleLbl="node1" presStyleIdx="1" presStyleCnt="4">
        <dgm:presLayoutVars>
          <dgm:chMax val="0"/>
          <dgm:chPref val="0"/>
          <dgm:bulletEnabled val="1"/>
        </dgm:presLayoutVars>
      </dgm:prSet>
      <dgm:spPr/>
    </dgm:pt>
    <dgm:pt modelId="{00BEFE56-D5E5-41BF-9464-3F28D3B3A7DF}" type="pres">
      <dgm:prSet presAssocID="{63D5A55B-FBD5-4985-B1BE-5FB29531A856}" presName="rect3" presStyleLbl="node1" presStyleIdx="2" presStyleCnt="4">
        <dgm:presLayoutVars>
          <dgm:chMax val="0"/>
          <dgm:chPref val="0"/>
          <dgm:bulletEnabled val="1"/>
        </dgm:presLayoutVars>
      </dgm:prSet>
      <dgm:spPr/>
    </dgm:pt>
    <dgm:pt modelId="{7D457C68-AAFA-4610-9436-CF3BC9C443E1}" type="pres">
      <dgm:prSet presAssocID="{63D5A55B-FBD5-4985-B1BE-5FB29531A856}" presName="rect4" presStyleLbl="node1" presStyleIdx="3" presStyleCnt="4">
        <dgm:presLayoutVars>
          <dgm:chMax val="0"/>
          <dgm:chPref val="0"/>
          <dgm:bulletEnabled val="1"/>
        </dgm:presLayoutVars>
      </dgm:prSet>
      <dgm:spPr/>
    </dgm:pt>
  </dgm:ptLst>
  <dgm:cxnLst>
    <dgm:cxn modelId="{0DFD0903-CC0C-4A27-8ED6-D5CD7E9D7449}" type="presOf" srcId="{0A669A74-B2C5-4E4C-A6FF-4827FBFB9A51}" destId="{D32EB750-9101-48A2-94FE-F14FEB17DF60}" srcOrd="0" destOrd="0" presId="urn:microsoft.com/office/officeart/2005/8/layout/matrix2"/>
    <dgm:cxn modelId="{F2111710-902F-48BB-9A1D-0BAE03760212}" srcId="{63D5A55B-FBD5-4985-B1BE-5FB29531A856}" destId="{1C1F7DFE-ED29-4AAF-8E67-B71FFA5A0111}" srcOrd="1" destOrd="0" parTransId="{5AED6C98-0A95-40DD-9A8A-AE85BFC8C53E}" sibTransId="{E3A9A15D-2411-4F00-BCA6-4F1287F63461}"/>
    <dgm:cxn modelId="{2349D26F-A44C-4DE6-8C99-CA479DF98298}" type="presOf" srcId="{93677709-5BF1-489B-B85C-4BD7369C22B2}" destId="{7D457C68-AAFA-4610-9436-CF3BC9C443E1}" srcOrd="0" destOrd="0" presId="urn:microsoft.com/office/officeart/2005/8/layout/matrix2"/>
    <dgm:cxn modelId="{3597C89B-F795-4A05-A423-D45CAD45B67D}" type="presOf" srcId="{1C1F7DFE-ED29-4AAF-8E67-B71FFA5A0111}" destId="{88B8E744-8B83-46E7-8B19-9D11E7C6A9C9}" srcOrd="0" destOrd="0" presId="urn:microsoft.com/office/officeart/2005/8/layout/matrix2"/>
    <dgm:cxn modelId="{48CC8AA6-0D74-4772-B965-277CDF0D226F}" srcId="{63D5A55B-FBD5-4985-B1BE-5FB29531A856}" destId="{93677709-5BF1-489B-B85C-4BD7369C22B2}" srcOrd="3" destOrd="0" parTransId="{E4D5FCC7-244E-47B5-B177-8B0C097430EC}" sibTransId="{CFBF527C-A0D7-4610-A4C0-5138BCF54207}"/>
    <dgm:cxn modelId="{F9FA54A8-6DFE-4A97-A2FE-A95EE9257F80}" type="presOf" srcId="{63D5A55B-FBD5-4985-B1BE-5FB29531A856}" destId="{D78C0DE9-8AE6-4076-A565-4CAC80BF0CE9}" srcOrd="0" destOrd="0" presId="urn:microsoft.com/office/officeart/2005/8/layout/matrix2"/>
    <dgm:cxn modelId="{5F228DE8-CF8B-4EC5-9049-0FB7A1F104FB}" srcId="{63D5A55B-FBD5-4985-B1BE-5FB29531A856}" destId="{0A669A74-B2C5-4E4C-A6FF-4827FBFB9A51}" srcOrd="0" destOrd="0" parTransId="{56A06575-1B4B-4C95-BF88-8325428E01F0}" sibTransId="{A2B6EDF8-F73F-4761-AFCF-1CDA3BEEF1BA}"/>
    <dgm:cxn modelId="{4915A8F6-DF89-4A57-97E0-4664D1ED7942}" type="presOf" srcId="{12824F4C-1EF3-436E-A451-2B549DE5C673}" destId="{00BEFE56-D5E5-41BF-9464-3F28D3B3A7DF}" srcOrd="0" destOrd="0" presId="urn:microsoft.com/office/officeart/2005/8/layout/matrix2"/>
    <dgm:cxn modelId="{BC1AF8F8-0C3A-4746-9FE6-B15C195AEB20}" srcId="{63D5A55B-FBD5-4985-B1BE-5FB29531A856}" destId="{12824F4C-1EF3-436E-A451-2B549DE5C673}" srcOrd="2" destOrd="0" parTransId="{64D65223-DE67-4DC8-95E2-2FC64B340C6B}" sibTransId="{934EF915-F7E5-4871-A405-E805DC1155F0}"/>
    <dgm:cxn modelId="{B8993D13-37D5-4EF7-A59C-1EB73D390FE6}" type="presParOf" srcId="{D78C0DE9-8AE6-4076-A565-4CAC80BF0CE9}" destId="{BCF32BA5-6BDD-4C64-9DCC-56C342DAD989}" srcOrd="0" destOrd="0" presId="urn:microsoft.com/office/officeart/2005/8/layout/matrix2"/>
    <dgm:cxn modelId="{BF24CA33-5E0F-48E1-B17D-2BCA6C06119E}" type="presParOf" srcId="{D78C0DE9-8AE6-4076-A565-4CAC80BF0CE9}" destId="{D32EB750-9101-48A2-94FE-F14FEB17DF60}" srcOrd="1" destOrd="0" presId="urn:microsoft.com/office/officeart/2005/8/layout/matrix2"/>
    <dgm:cxn modelId="{F320BE81-9A35-4955-BB0A-2AC61B5D6CCB}" type="presParOf" srcId="{D78C0DE9-8AE6-4076-A565-4CAC80BF0CE9}" destId="{88B8E744-8B83-46E7-8B19-9D11E7C6A9C9}" srcOrd="2" destOrd="0" presId="urn:microsoft.com/office/officeart/2005/8/layout/matrix2"/>
    <dgm:cxn modelId="{746C579C-8433-4A99-88A1-CA01EDBB9F9B}" type="presParOf" srcId="{D78C0DE9-8AE6-4076-A565-4CAC80BF0CE9}" destId="{00BEFE56-D5E5-41BF-9464-3F28D3B3A7DF}" srcOrd="3" destOrd="0" presId="urn:microsoft.com/office/officeart/2005/8/layout/matrix2"/>
    <dgm:cxn modelId="{C1E08AD5-8EB7-49A6-BE77-DA250B03638E}" type="presParOf" srcId="{D78C0DE9-8AE6-4076-A565-4CAC80BF0CE9}" destId="{7D457C68-AAFA-4610-9436-CF3BC9C443E1}" srcOrd="4" destOrd="0" presId="urn:microsoft.com/office/officeart/2005/8/layout/matrix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200400" cy="3200400"/>
        <a:chOff x="0" y="0"/>
        <a:chExt cx="3200400" cy="3200400"/>
      </a:xfrm>
    </dsp:grpSpPr>
    <dsp:sp modelId="{BCF32BA5-6BDD-4C64-9DCC-56C342DAD989}">
      <dsp:nvSpPr>
        <dsp:cNvPr id="3" name="Quad Arrow 2"/>
        <dsp:cNvSpPr/>
      </dsp:nvSpPr>
      <dsp:spPr bwMode="white">
        <a:xfrm>
          <a:off x="1143000" y="0"/>
          <a:ext cx="3200400" cy="3200400"/>
        </a:xfrm>
        <a:prstGeom prst="quadArrow">
          <a:avLst>
            <a:gd name="adj1" fmla="val 2000"/>
            <a:gd name="adj2" fmla="val 4000"/>
            <a:gd name="adj3" fmla="val 5000"/>
          </a:avLst>
        </a:prstGeom>
      </dsp:spPr>
      <dsp:style>
        <a:lnRef idx="0">
          <a:schemeClr val="accent2"/>
        </a:lnRef>
        <a:fillRef idx="1">
          <a:schemeClr val="accent2">
            <a:tint val="40000"/>
          </a:schemeClr>
        </a:fillRef>
        <a:effectRef idx="1">
          <a:scrgbClr r="0" g="0" b="0"/>
        </a:effectRef>
        <a:fontRef idx="minor"/>
      </dsp:style>
      <dsp:txXfrm>
        <a:off x="1143000" y="0"/>
        <a:ext cx="3200400" cy="3200400"/>
      </dsp:txXfrm>
    </dsp:sp>
    <dsp:sp modelId="{D32EB750-9101-48A2-94FE-F14FEB17DF60}">
      <dsp:nvSpPr>
        <dsp:cNvPr id="4" name="Rounded Rectangle 3"/>
        <dsp:cNvSpPr/>
      </dsp:nvSpPr>
      <dsp:spPr bwMode="white">
        <a:xfrm>
          <a:off x="1351026" y="208026"/>
          <a:ext cx="1280160" cy="1280160"/>
        </a:xfrm>
        <a:prstGeom prst="roundRect">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68580" tIns="68580" rIns="68580" bIns="6858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Local and fresh</a:t>
          </a:r>
        </a:p>
      </dsp:txBody>
      <dsp:txXfrm>
        <a:off x="1351026" y="208026"/>
        <a:ext cx="1280160" cy="1280160"/>
      </dsp:txXfrm>
    </dsp:sp>
    <dsp:sp modelId="{88B8E744-8B83-46E7-8B19-9D11E7C6A9C9}">
      <dsp:nvSpPr>
        <dsp:cNvPr id="5" name="Rounded Rectangle 4"/>
        <dsp:cNvSpPr/>
      </dsp:nvSpPr>
      <dsp:spPr bwMode="white">
        <a:xfrm>
          <a:off x="2855214" y="208026"/>
          <a:ext cx="1280160" cy="1280160"/>
        </a:xfrm>
        <a:prstGeom prst="roundRect">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68580" tIns="68580" rIns="68580" bIns="6858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E-commerce</a:t>
          </a:r>
        </a:p>
      </dsp:txBody>
      <dsp:txXfrm>
        <a:off x="2855214" y="208026"/>
        <a:ext cx="1280160" cy="1280160"/>
      </dsp:txXfrm>
    </dsp:sp>
    <dsp:sp modelId="{00BEFE56-D5E5-41BF-9464-3F28D3B3A7DF}">
      <dsp:nvSpPr>
        <dsp:cNvPr id="6" name="Rounded Rectangle 5"/>
        <dsp:cNvSpPr/>
      </dsp:nvSpPr>
      <dsp:spPr bwMode="white">
        <a:xfrm>
          <a:off x="1351026" y="1712214"/>
          <a:ext cx="1280160" cy="1280160"/>
        </a:xfrm>
        <a:prstGeom prst="roundRect">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68580" tIns="68580" rIns="68580" bIns="6858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Shopping and more</a:t>
          </a:r>
        </a:p>
      </dsp:txBody>
      <dsp:txXfrm>
        <a:off x="1351026" y="1712214"/>
        <a:ext cx="1280160" cy="1280160"/>
      </dsp:txXfrm>
    </dsp:sp>
    <dsp:sp modelId="{7D457C68-AAFA-4610-9436-CF3BC9C443E1}">
      <dsp:nvSpPr>
        <dsp:cNvPr id="7" name="Rounded Rectangle 6"/>
        <dsp:cNvSpPr/>
      </dsp:nvSpPr>
      <dsp:spPr bwMode="white">
        <a:xfrm>
          <a:off x="2855214" y="1712214"/>
          <a:ext cx="1280160" cy="1280160"/>
        </a:xfrm>
        <a:prstGeom prst="roundRect">
          <a:avLst/>
        </a:prstGeom>
        <a:sp3d prstMaterial="dkEdge">
          <a:bevelT w="8200" h="38100"/>
        </a:sp3d>
      </dsp:spPr>
      <dsp:style>
        <a:lnRef idx="0">
          <a:schemeClr val="lt1"/>
        </a:lnRef>
        <a:fillRef idx="2">
          <a:schemeClr val="accent2"/>
        </a:fillRef>
        <a:effectRef idx="1">
          <a:scrgbClr r="0" g="0" b="0"/>
        </a:effectRef>
        <a:fontRef idx="minor">
          <a:schemeClr val="dk1"/>
        </a:fontRef>
      </dsp:style>
      <dsp:txBody>
        <a:bodyPr lIns="68580" tIns="68580" rIns="68580" bIns="6858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a:t>Meal Kits</a:t>
          </a:r>
        </a:p>
      </dsp:txBody>
      <dsp:txXfrm>
        <a:off x="2855214" y="1712214"/>
        <a:ext cx="1280160" cy="128016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GradingEngineProps xmlns="http://tempuri.org/temp">
  <UserID>{3a17419e-024f-4ea0-947d-fd7d136532d7}</UserID>
  <AssignmentID>{3a17419e-024f-4ea0-947d-fd7d136532d7}</AssignmentID>
</GradingEngineProp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0420AD-E211-4AC1-85DB-C8162766C948}">
  <ds:schemaRefs/>
</ds:datastoreItem>
</file>

<file path=customXml/itemProps3.xml><?xml version="1.0" encoding="utf-8"?>
<ds:datastoreItem xmlns:ds="http://schemas.openxmlformats.org/officeDocument/2006/customXml" ds:itemID="{A9C5D82F-E2D1-469F-8C7B-C3BD50E462FE}">
  <ds:schemaRefs/>
</ds:datastoreItem>
</file>

<file path=docProps/app.xml><?xml version="1.0" encoding="utf-8"?>
<Properties xmlns="http://schemas.openxmlformats.org/officeDocument/2006/extended-properties" xmlns:vt="http://schemas.openxmlformats.org/officeDocument/2006/docPropsVTypes">
  <Template>Normal</Template>
  <Pages>5</Pages>
  <Words>864</Words>
  <Characters>4927</Characters>
  <Lines>41</Lines>
  <Paragraphs>11</Paragraphs>
  <TotalTime>3</TotalTime>
  <ScaleCrop>false</ScaleCrop>
  <LinksUpToDate>false</LinksUpToDate>
  <CharactersWithSpaces>5780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2024-02-16T16:09:00Z</dcterms:created>
  <dc:creator>Your Name</dc:creator>
  <cp:keywords>© 2020 Cengage Learning.</cp:keywords>
  <cp:lastModifiedBy>USER</cp:lastModifiedBy>
  <dcterms:modified xsi:type="dcterms:W3CDTF">2024-02-16T20:34:41Z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1AE51EF673AF442B83AEB9F2FE066DE4_13</vt:lpwstr>
  </property>
</Properties>
</file>