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DE2" w:sz="1"/>
              <w:left w:val="single" w:color="C8DDE2" w:sz="1"/>
              <w:bottom w:val="single" w:color="C8DDE2" w:sz="1"/>
              <w:right w:val="single" w:color="C8DDE2" w:sz="1"/>
            </w:tcBorders>
            <w:shd w:fill="1A2E3B" w:val="clear"/>
            <w:tcMar>
              <w:top w:type="dxa" w:w="400"/>
              <w:left w:type="dxa" w:w="480"/>
              <w:bottom w:type="dxa" w:w="400"/>
              <w:right w:type="dxa" w:w="480"/>
            </w:tcMar>
          </w:tcPr>
          <w:p>
            <w:pPr>
              <w:jc w:val="left"/>
            </w:pPr>
            <w:r>
              <w:rPr>
                <w:rFonts w:ascii="Cambria" w:cs="Cambria" w:eastAsia="Cambria" w:hAnsi="Cambria"/>
                <w:b/>
                <w:bCs/>
                <w:color w:val="FFFFFF"/>
                <w:sz w:val="48"/>
                <w:szCs w:val="48"/>
              </w:rPr>
              <w:t xml:space="preserve">SEND-TIME OPTIMISATION</w:t>
            </w:r>
          </w:p>
          <w:p>
            <w:pPr>
              <w:jc w:val="left"/>
            </w:pPr>
            <w:r>
              <w:rPr>
                <w:rFonts w:ascii="Arial" w:cs="Arial" w:eastAsia="Arial" w:hAnsi="Arial"/>
                <w:color w:val="A8C8D4"/>
                <w:sz w:val="26"/>
                <w:szCs w:val="26"/>
              </w:rPr>
              <w:t xml:space="preserve">Experiment Analysis &amp; Business Impact Assessment</w:t>
            </w:r>
          </w:p>
          <w:p>
            <w:pPr>
              <w:jc w:val="left"/>
            </w:pPr>
            <w:r>
              <w:rPr>
                <w:sz w:val="14"/>
                <w:szCs w:val="14"/>
              </w:rPr>
              <w:t xml:space="preserve"> </w:t>
            </w:r>
          </w:p>
          <w:p>
            <w:pPr>
              <w:jc w:val="left"/>
            </w:pPr>
            <w:r>
              <w:rPr>
                <w:rFonts w:ascii="Arial" w:cs="Arial" w:eastAsia="Arial" w:hAnsi="Arial"/>
                <w:color w:val="6B9CAD"/>
                <w:sz w:val="20"/>
                <w:szCs w:val="20"/>
              </w:rPr>
              <w:t xml:space="preserve">B2B SaaS  |  50,000 Leads  |  Portfolio Case Study</w:t>
            </w:r>
          </w:p>
        </w:tc>
      </w:tr>
    </w:tbl>
    <w:p>
      <w:pPr>
        <w:spacing w:after="100"/>
      </w:pPr>
      <w:r>
        <w:t xml:space="preserve"/>
      </w:r>
    </w:p>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01  Executive Summary</w:t>
      </w:r>
    </w:p>
    <w:p>
      <w:pPr>
        <w:pStyle w:val="ListParagraph"/>
        <w:numPr>
          <w:ilvl w:val="0"/>
          <w:numId w:val="2"/>
        </w:numPr>
        <w:spacing w:after="100"/>
      </w:pPr>
      <w:r>
        <w:rPr>
          <w:rFonts w:ascii="Arial" w:cs="Arial" w:eastAsia="Arial" w:hAnsi="Arial"/>
          <w:color w:val="4A6572"/>
          <w:sz w:val="22"/>
          <w:szCs w:val="22"/>
        </w:rPr>
        <w:t xml:space="preserve">STO was evaluated across 50,000 B2B SaaS leads using a balanced, randomised controlled experiment.</w:t>
      </w:r>
    </w:p>
    <w:p>
      <w:pPr>
        <w:pStyle w:val="ListParagraph"/>
        <w:numPr>
          <w:ilvl w:val="0"/>
          <w:numId w:val="2"/>
        </w:numPr>
        <w:spacing w:after="100"/>
      </w:pPr>
      <w:r>
        <w:rPr>
          <w:rFonts w:ascii="Arial" w:cs="Arial" w:eastAsia="Arial" w:hAnsi="Arial"/>
          <w:color w:val="4A6572"/>
          <w:sz w:val="22"/>
          <w:szCs w:val="22"/>
        </w:rPr>
        <w:t xml:space="preserve">Engagement improved materially: open rate +6.3%, CTR +5.5%.</w:t>
      </w:r>
    </w:p>
    <w:p>
      <w:pPr>
        <w:pStyle w:val="ListParagraph"/>
        <w:numPr>
          <w:ilvl w:val="0"/>
          <w:numId w:val="2"/>
        </w:numPr>
        <w:spacing w:after="100"/>
      </w:pPr>
      <w:r>
        <w:rPr>
          <w:rFonts w:ascii="Arial" w:cs="Arial" w:eastAsia="Arial" w:hAnsi="Arial"/>
          <w:color w:val="4A6572"/>
          <w:sz w:val="22"/>
          <w:szCs w:val="22"/>
        </w:rPr>
        <w:t xml:space="preserve">Initial modelling produced commercially implausible downstream results, triggering causal investigation.</w:t>
      </w:r>
    </w:p>
    <w:p>
      <w:pPr>
        <w:pStyle w:val="ListParagraph"/>
        <w:numPr>
          <w:ilvl w:val="0"/>
          <w:numId w:val="2"/>
        </w:numPr>
        <w:spacing w:after="100"/>
      </w:pPr>
      <w:r>
        <w:rPr>
          <w:rFonts w:ascii="Arial" w:cs="Arial" w:eastAsia="Arial" w:hAnsi="Arial"/>
          <w:color w:val="4A6572"/>
          <w:sz w:val="22"/>
          <w:szCs w:val="22"/>
        </w:rPr>
        <w:t xml:space="preserve">Attribution leakage was identified and corrected. The opportunity model was rebuilt to enforce the correct causal pathway.</w:t>
      </w:r>
    </w:p>
    <w:p>
      <w:pPr>
        <w:pStyle w:val="ListParagraph"/>
        <w:numPr>
          <w:ilvl w:val="0"/>
          <w:numId w:val="2"/>
        </w:numPr>
        <w:spacing w:after="100"/>
      </w:pPr>
      <w:r>
        <w:rPr>
          <w:rFonts w:ascii="Arial" w:cs="Arial" w:eastAsia="Arial" w:hAnsi="Arial"/>
          <w:color w:val="4A6572"/>
          <w:sz w:val="22"/>
          <w:szCs w:val="22"/>
        </w:rPr>
        <w:t xml:space="preserve">Post-correction: engagement gains confirmed. Opportunities, pipeline, and revenue showed no material improvement.</w:t>
      </w:r>
    </w:p>
    <w:p>
      <w:pPr>
        <w:pStyle w:val="ListParagraph"/>
        <w:numPr>
          <w:ilvl w:val="0"/>
          <w:numId w:val="2"/>
        </w:numPr>
        <w:spacing w:after="100"/>
      </w:pPr>
      <w:r>
        <w:rPr>
          <w:rFonts w:ascii="Arial" w:cs="Arial" w:eastAsia="Arial" w:hAnsi="Arial"/>
          <w:color w:val="4A6572"/>
          <w:sz w:val="22"/>
          <w:szCs w:val="22"/>
        </w:rPr>
        <w:t xml:space="preserve">Recommendation: deploy STO as a low-cost engagement optimisation. Do not frame it as a revenue driver.</w:t>
      </w:r>
    </w:p>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02  Business Context</w:t>
      </w:r>
    </w:p>
    <w:p>
      <w:pPr>
        <w:spacing w:after="140" w:line="320"/>
      </w:pPr>
      <w:r>
        <w:rPr>
          <w:rFonts w:ascii="Arial" w:cs="Arial" w:eastAsia="Arial" w:hAnsi="Arial"/>
          <w:color w:val="4A6572"/>
          <w:sz w:val="22"/>
          <w:szCs w:val="22"/>
        </w:rPr>
        <w:t xml:space="preserve">A B2B SaaS organisation sought to determine whether deploying Send-Time Optimisation — a technique that personalises email delivery to each lead's predicted peak engagement window — would drive measurable improvements in both marketing engagement and downstream commercial outcomes. The hypothesis was that higher engagement would translate into more qualified opportunities, increased pipeline value, and accelerated revenue.</w:t>
      </w:r>
    </w:p>
    <w:p>
      <w:pPr>
        <w:spacing w:after="140" w:line="320"/>
      </w:pPr>
      <w:r>
        <w:rPr>
          <w:rFonts w:ascii="Arial" w:cs="Arial" w:eastAsia="Arial" w:hAnsi="Arial"/>
          <w:color w:val="4A6572"/>
          <w:sz w:val="22"/>
          <w:szCs w:val="22"/>
        </w:rPr>
        <w:t xml:space="preserve">The experiment was structured as a large-scale randomised controlled trial (RCT) with clear pre-registered primary and secondary KPIs, enabling objective evaluation of both engagement and business impact.</w:t>
      </w:r>
    </w:p>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03  Experiment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E4E8" w:sz="1"/>
              <w:left w:val="single" w:color="D0E4E8" w:sz="1"/>
              <w:bottom w:val="single" w:color="D0E4E8" w:sz="1"/>
              <w:right w:val="single" w:color="D0E4E8" w:sz="1"/>
            </w:tcBorders>
            <w:shd w:fill="EEF6F8" w:val="clear"/>
            <w:tcMar>
              <w:top w:type="dxa" w:w="100"/>
              <w:left w:type="dxa" w:w="160"/>
              <w:bottom w:type="dxa" w:w="100"/>
              <w:right w:type="dxa" w:w="160"/>
            </w:tcMar>
          </w:tcPr>
          <w:p>
            <w:r>
              <w:rPr>
                <w:rFonts w:ascii="Arial" w:cs="Arial" w:eastAsia="Arial" w:hAnsi="Arial"/>
                <w:b/>
                <w:bCs/>
                <w:color w:val="1A2E3B"/>
                <w:sz w:val="21"/>
                <w:szCs w:val="21"/>
              </w:rPr>
              <w:t xml:space="preserve">Population</w:t>
            </w:r>
          </w:p>
        </w:tc>
        <w:tc>
          <w:tcPr>
            <w:tcW w:type="dxa" w:w="5760"/>
            <w:tcBorders>
              <w:top w:val="single" w:color="D0E4E8" w:sz="1"/>
              <w:left w:val="single" w:color="D0E4E8" w:sz="1"/>
              <w:bottom w:val="single" w:color="D0E4E8" w:sz="1"/>
              <w:right w:val="single" w:color="D0E4E8" w:sz="1"/>
            </w:tcBorders>
            <w:shd w:fill="FFFFFF" w:val="clear"/>
            <w:tcMar>
              <w:top w:type="dxa" w:w="100"/>
              <w:left w:type="dxa" w:w="160"/>
              <w:bottom w:type="dxa" w:w="100"/>
              <w:right w:type="dxa" w:w="160"/>
            </w:tcMar>
          </w:tcPr>
          <w:p>
            <w:r>
              <w:rPr>
                <w:rFonts w:ascii="Arial" w:cs="Arial" w:eastAsia="Arial" w:hAnsi="Arial"/>
                <w:color w:val="4A6572"/>
                <w:sz w:val="21"/>
                <w:szCs w:val="21"/>
              </w:rPr>
              <w:t xml:space="preserve">~50,000 B2B SaaS leads</w:t>
            </w:r>
          </w:p>
        </w:tc>
      </w:tr>
      <w:tr>
        <w:tc>
          <w:tcPr>
            <w:tcW w:type="dxa" w:w="3600"/>
            <w:tcBorders>
              <w:top w:val="single" w:color="D0E4E8" w:sz="1"/>
              <w:left w:val="single" w:color="D0E4E8" w:sz="1"/>
              <w:bottom w:val="single" w:color="D0E4E8" w:sz="1"/>
              <w:right w:val="single" w:color="D0E4E8" w:sz="1"/>
            </w:tcBorders>
            <w:shd w:fill="EEF6F8" w:val="clear"/>
            <w:tcMar>
              <w:top w:type="dxa" w:w="100"/>
              <w:left w:type="dxa" w:w="160"/>
              <w:bottom w:type="dxa" w:w="100"/>
              <w:right w:type="dxa" w:w="160"/>
            </w:tcMar>
          </w:tcPr>
          <w:p>
            <w:r>
              <w:rPr>
                <w:rFonts w:ascii="Arial" w:cs="Arial" w:eastAsia="Arial" w:hAnsi="Arial"/>
                <w:b/>
                <w:bCs/>
                <w:color w:val="1A2E3B"/>
                <w:sz w:val="21"/>
                <w:szCs w:val="21"/>
              </w:rPr>
              <w:t xml:space="preserve">Control group</w:t>
            </w:r>
          </w:p>
        </w:tc>
        <w:tc>
          <w:tcPr>
            <w:tcW w:type="dxa" w:w="5760"/>
            <w:tcBorders>
              <w:top w:val="single" w:color="D0E4E8" w:sz="1"/>
              <w:left w:val="single" w:color="D0E4E8" w:sz="1"/>
              <w:bottom w:val="single" w:color="D0E4E8" w:sz="1"/>
              <w:right w:val="single" w:color="D0E4E8" w:sz="1"/>
            </w:tcBorders>
            <w:shd w:fill="F2F7F9" w:val="clear"/>
            <w:tcMar>
              <w:top w:type="dxa" w:w="100"/>
              <w:left w:type="dxa" w:w="160"/>
              <w:bottom w:type="dxa" w:w="100"/>
              <w:right w:type="dxa" w:w="160"/>
            </w:tcMar>
          </w:tcPr>
          <w:p>
            <w:r>
              <w:rPr>
                <w:rFonts w:ascii="Arial" w:cs="Arial" w:eastAsia="Arial" w:hAnsi="Arial"/>
                <w:color w:val="4A6572"/>
                <w:sz w:val="21"/>
                <w:szCs w:val="21"/>
              </w:rPr>
              <w:t xml:space="preserve">25,007 leads, fixed 10am send time</w:t>
            </w:r>
          </w:p>
        </w:tc>
      </w:tr>
      <w:tr>
        <w:tc>
          <w:tcPr>
            <w:tcW w:type="dxa" w:w="3600"/>
            <w:tcBorders>
              <w:top w:val="single" w:color="D0E4E8" w:sz="1"/>
              <w:left w:val="single" w:color="D0E4E8" w:sz="1"/>
              <w:bottom w:val="single" w:color="D0E4E8" w:sz="1"/>
              <w:right w:val="single" w:color="D0E4E8" w:sz="1"/>
            </w:tcBorders>
            <w:shd w:fill="EEF6F8" w:val="clear"/>
            <w:tcMar>
              <w:top w:type="dxa" w:w="100"/>
              <w:left w:type="dxa" w:w="160"/>
              <w:bottom w:type="dxa" w:w="100"/>
              <w:right w:type="dxa" w:w="160"/>
            </w:tcMar>
          </w:tcPr>
          <w:p>
            <w:r>
              <w:rPr>
                <w:rFonts w:ascii="Arial" w:cs="Arial" w:eastAsia="Arial" w:hAnsi="Arial"/>
                <w:b/>
                <w:bCs/>
                <w:color w:val="1A2E3B"/>
                <w:sz w:val="21"/>
                <w:szCs w:val="21"/>
              </w:rPr>
              <w:t xml:space="preserve">Treatment group</w:t>
            </w:r>
          </w:p>
        </w:tc>
        <w:tc>
          <w:tcPr>
            <w:tcW w:type="dxa" w:w="5760"/>
            <w:tcBorders>
              <w:top w:val="single" w:color="D0E4E8" w:sz="1"/>
              <w:left w:val="single" w:color="D0E4E8" w:sz="1"/>
              <w:bottom w:val="single" w:color="D0E4E8" w:sz="1"/>
              <w:right w:val="single" w:color="D0E4E8" w:sz="1"/>
            </w:tcBorders>
            <w:shd w:fill="FFFFFF" w:val="clear"/>
            <w:tcMar>
              <w:top w:type="dxa" w:w="100"/>
              <w:left w:type="dxa" w:w="160"/>
              <w:bottom w:type="dxa" w:w="100"/>
              <w:right w:type="dxa" w:w="160"/>
            </w:tcMar>
          </w:tcPr>
          <w:p>
            <w:r>
              <w:rPr>
                <w:rFonts w:ascii="Arial" w:cs="Arial" w:eastAsia="Arial" w:hAnsi="Arial"/>
                <w:color w:val="4A6572"/>
                <w:sz w:val="21"/>
                <w:szCs w:val="21"/>
              </w:rPr>
              <w:t xml:space="preserve">24,993 leads, send-time optimised (avg. 11.6h)</w:t>
            </w:r>
          </w:p>
        </w:tc>
      </w:tr>
      <w:tr>
        <w:tc>
          <w:tcPr>
            <w:tcW w:type="dxa" w:w="3600"/>
            <w:tcBorders>
              <w:top w:val="single" w:color="D0E4E8" w:sz="1"/>
              <w:left w:val="single" w:color="D0E4E8" w:sz="1"/>
              <w:bottom w:val="single" w:color="D0E4E8" w:sz="1"/>
              <w:right w:val="single" w:color="D0E4E8" w:sz="1"/>
            </w:tcBorders>
            <w:shd w:fill="EEF6F8" w:val="clear"/>
            <w:tcMar>
              <w:top w:type="dxa" w:w="100"/>
              <w:left w:type="dxa" w:w="160"/>
              <w:bottom w:type="dxa" w:w="100"/>
              <w:right w:type="dxa" w:w="160"/>
            </w:tcMar>
          </w:tcPr>
          <w:p>
            <w:r>
              <w:rPr>
                <w:rFonts w:ascii="Arial" w:cs="Arial" w:eastAsia="Arial" w:hAnsi="Arial"/>
                <w:b/>
                <w:bCs/>
                <w:color w:val="1A2E3B"/>
                <w:sz w:val="21"/>
                <w:szCs w:val="21"/>
              </w:rPr>
              <w:t xml:space="preserve">Primary KPIs</w:t>
            </w:r>
          </w:p>
        </w:tc>
        <w:tc>
          <w:tcPr>
            <w:tcW w:type="dxa" w:w="5760"/>
            <w:tcBorders>
              <w:top w:val="single" w:color="D0E4E8" w:sz="1"/>
              <w:left w:val="single" w:color="D0E4E8" w:sz="1"/>
              <w:bottom w:val="single" w:color="D0E4E8" w:sz="1"/>
              <w:right w:val="single" w:color="D0E4E8" w:sz="1"/>
            </w:tcBorders>
            <w:shd w:fill="F2F7F9" w:val="clear"/>
            <w:tcMar>
              <w:top w:type="dxa" w:w="100"/>
              <w:left w:type="dxa" w:w="160"/>
              <w:bottom w:type="dxa" w:w="100"/>
              <w:right w:type="dxa" w:w="160"/>
            </w:tcMar>
          </w:tcPr>
          <w:p>
            <w:r>
              <w:rPr>
                <w:rFonts w:ascii="Arial" w:cs="Arial" w:eastAsia="Arial" w:hAnsi="Arial"/>
                <w:color w:val="4A6572"/>
                <w:sz w:val="21"/>
                <w:szCs w:val="21"/>
              </w:rPr>
              <w:t xml:space="preserve">Open rate, click-through rate (CTR)</w:t>
            </w:r>
          </w:p>
        </w:tc>
      </w:tr>
      <w:tr>
        <w:tc>
          <w:tcPr>
            <w:tcW w:type="dxa" w:w="3600"/>
            <w:tcBorders>
              <w:top w:val="single" w:color="D0E4E8" w:sz="1"/>
              <w:left w:val="single" w:color="D0E4E8" w:sz="1"/>
              <w:bottom w:val="single" w:color="D0E4E8" w:sz="1"/>
              <w:right w:val="single" w:color="D0E4E8" w:sz="1"/>
            </w:tcBorders>
            <w:shd w:fill="EEF6F8" w:val="clear"/>
            <w:tcMar>
              <w:top w:type="dxa" w:w="100"/>
              <w:left w:type="dxa" w:w="160"/>
              <w:bottom w:type="dxa" w:w="100"/>
              <w:right w:type="dxa" w:w="160"/>
            </w:tcMar>
          </w:tcPr>
          <w:p>
            <w:r>
              <w:rPr>
                <w:rFonts w:ascii="Arial" w:cs="Arial" w:eastAsia="Arial" w:hAnsi="Arial"/>
                <w:b/>
                <w:bCs/>
                <w:color w:val="1A2E3B"/>
                <w:sz w:val="21"/>
                <w:szCs w:val="21"/>
              </w:rPr>
              <w:t xml:space="preserve">Business KPIs</w:t>
            </w:r>
          </w:p>
        </w:tc>
        <w:tc>
          <w:tcPr>
            <w:tcW w:type="dxa" w:w="5760"/>
            <w:tcBorders>
              <w:top w:val="single" w:color="D0E4E8" w:sz="1"/>
              <w:left w:val="single" w:color="D0E4E8" w:sz="1"/>
              <w:bottom w:val="single" w:color="D0E4E8" w:sz="1"/>
              <w:right w:val="single" w:color="D0E4E8" w:sz="1"/>
            </w:tcBorders>
            <w:shd w:fill="FFFFFF" w:val="clear"/>
            <w:tcMar>
              <w:top w:type="dxa" w:w="100"/>
              <w:left w:type="dxa" w:w="160"/>
              <w:bottom w:type="dxa" w:w="100"/>
              <w:right w:type="dxa" w:w="160"/>
            </w:tcMar>
          </w:tcPr>
          <w:p>
            <w:r>
              <w:rPr>
                <w:rFonts w:ascii="Arial" w:cs="Arial" w:eastAsia="Arial" w:hAnsi="Arial"/>
                <w:color w:val="4A6572"/>
                <w:sz w:val="21"/>
                <w:szCs w:val="21"/>
              </w:rPr>
              <w:t xml:space="preserve">Opportunities created, pipeline value, revenue</w:t>
            </w:r>
          </w:p>
        </w:tc>
      </w:tr>
      <w:tr>
        <w:tc>
          <w:tcPr>
            <w:tcW w:type="dxa" w:w="3600"/>
            <w:tcBorders>
              <w:top w:val="single" w:color="D0E4E8" w:sz="1"/>
              <w:left w:val="single" w:color="D0E4E8" w:sz="1"/>
              <w:bottom w:val="single" w:color="D0E4E8" w:sz="1"/>
              <w:right w:val="single" w:color="D0E4E8" w:sz="1"/>
            </w:tcBorders>
            <w:shd w:fill="EEF6F8" w:val="clear"/>
            <w:tcMar>
              <w:top w:type="dxa" w:w="100"/>
              <w:left w:type="dxa" w:w="160"/>
              <w:bottom w:type="dxa" w:w="100"/>
              <w:right w:type="dxa" w:w="160"/>
            </w:tcMar>
          </w:tcPr>
          <w:p>
            <w:r>
              <w:rPr>
                <w:rFonts w:ascii="Arial" w:cs="Arial" w:eastAsia="Arial" w:hAnsi="Arial"/>
                <w:b/>
                <w:bCs/>
                <w:color w:val="1A2E3B"/>
                <w:sz w:val="21"/>
                <w:szCs w:val="21"/>
              </w:rPr>
              <w:t xml:space="preserve">Randomisation</w:t>
            </w:r>
          </w:p>
        </w:tc>
        <w:tc>
          <w:tcPr>
            <w:tcW w:type="dxa" w:w="5760"/>
            <w:tcBorders>
              <w:top w:val="single" w:color="D0E4E8" w:sz="1"/>
              <w:left w:val="single" w:color="D0E4E8" w:sz="1"/>
              <w:bottom w:val="single" w:color="D0E4E8" w:sz="1"/>
              <w:right w:val="single" w:color="D0E4E8" w:sz="1"/>
            </w:tcBorders>
            <w:shd w:fill="F2F7F9" w:val="clear"/>
            <w:tcMar>
              <w:top w:type="dxa" w:w="100"/>
              <w:left w:type="dxa" w:w="160"/>
              <w:bottom w:type="dxa" w:w="100"/>
              <w:right w:type="dxa" w:w="160"/>
            </w:tcMar>
          </w:tcPr>
          <w:p>
            <w:r>
              <w:rPr>
                <w:rFonts w:ascii="Arial" w:cs="Arial" w:eastAsia="Arial" w:hAnsi="Arial"/>
                <w:color w:val="4A6572"/>
                <w:sz w:val="21"/>
                <w:szCs w:val="21"/>
              </w:rPr>
              <w:t xml:space="preserve">Balanced across industry, region, company size</w:t>
            </w:r>
          </w:p>
        </w:tc>
      </w:tr>
      <w:tr>
        <w:tc>
          <w:tcPr>
            <w:tcW w:type="dxa" w:w="3600"/>
            <w:tcBorders>
              <w:top w:val="single" w:color="D0E4E8" w:sz="1"/>
              <w:left w:val="single" w:color="D0E4E8" w:sz="1"/>
              <w:bottom w:val="single" w:color="D0E4E8" w:sz="1"/>
              <w:right w:val="single" w:color="D0E4E8" w:sz="1"/>
            </w:tcBorders>
            <w:shd w:fill="EEF6F8" w:val="clear"/>
            <w:tcMar>
              <w:top w:type="dxa" w:w="100"/>
              <w:left w:type="dxa" w:w="160"/>
              <w:bottom w:type="dxa" w:w="100"/>
              <w:right w:type="dxa" w:w="160"/>
            </w:tcMar>
          </w:tcPr>
          <w:p>
            <w:r>
              <w:rPr>
                <w:rFonts w:ascii="Arial" w:cs="Arial" w:eastAsia="Arial" w:hAnsi="Arial"/>
                <w:b/>
                <w:bCs/>
                <w:color w:val="1A2E3B"/>
                <w:sz w:val="21"/>
                <w:szCs w:val="21"/>
              </w:rPr>
              <w:t xml:space="preserve">Deliverability</w:t>
            </w:r>
          </w:p>
        </w:tc>
        <w:tc>
          <w:tcPr>
            <w:tcW w:type="dxa" w:w="5760"/>
            <w:tcBorders>
              <w:top w:val="single" w:color="D0E4E8" w:sz="1"/>
              <w:left w:val="single" w:color="D0E4E8" w:sz="1"/>
              <w:bottom w:val="single" w:color="D0E4E8" w:sz="1"/>
              <w:right w:val="single" w:color="D0E4E8" w:sz="1"/>
            </w:tcBorders>
            <w:shd w:fill="FFFFFF" w:val="clear"/>
            <w:tcMar>
              <w:top w:type="dxa" w:w="100"/>
              <w:left w:type="dxa" w:w="160"/>
              <w:bottom w:type="dxa" w:w="100"/>
              <w:right w:type="dxa" w:w="160"/>
            </w:tcMar>
          </w:tcPr>
          <w:p>
            <w:r>
              <w:rPr>
                <w:rFonts w:ascii="Arial" w:cs="Arial" w:eastAsia="Arial" w:hAnsi="Arial"/>
                <w:color w:val="4A6572"/>
                <w:sz w:val="21"/>
                <w:szCs w:val="21"/>
              </w:rPr>
              <w:t xml:space="preserve">Control 97.91% | Treatment 98.02%</w:t>
            </w:r>
          </w:p>
        </w:tc>
      </w:tr>
      <w:tr>
        <w:tc>
          <w:tcPr>
            <w:tcW w:type="dxa" w:w="3600"/>
            <w:tcBorders>
              <w:top w:val="single" w:color="D0E4E8" w:sz="1"/>
              <w:left w:val="single" w:color="D0E4E8" w:sz="1"/>
              <w:bottom w:val="single" w:color="D0E4E8" w:sz="1"/>
              <w:right w:val="single" w:color="D0E4E8" w:sz="1"/>
            </w:tcBorders>
            <w:shd w:fill="EEF6F8" w:val="clear"/>
            <w:tcMar>
              <w:top w:type="dxa" w:w="100"/>
              <w:left w:type="dxa" w:w="160"/>
              <w:bottom w:type="dxa" w:w="100"/>
              <w:right w:type="dxa" w:w="160"/>
            </w:tcMar>
          </w:tcPr>
          <w:p>
            <w:r>
              <w:rPr>
                <w:rFonts w:ascii="Arial" w:cs="Arial" w:eastAsia="Arial" w:hAnsi="Arial"/>
                <w:b/>
                <w:bCs/>
                <w:color w:val="1A2E3B"/>
                <w:sz w:val="21"/>
                <w:szCs w:val="21"/>
              </w:rPr>
              <w:t xml:space="preserve">Validation</w:t>
            </w:r>
          </w:p>
        </w:tc>
        <w:tc>
          <w:tcPr>
            <w:tcW w:type="dxa" w:w="5760"/>
            <w:tcBorders>
              <w:top w:val="single" w:color="D0E4E8" w:sz="1"/>
              <w:left w:val="single" w:color="D0E4E8" w:sz="1"/>
              <w:bottom w:val="single" w:color="D0E4E8" w:sz="1"/>
              <w:right w:val="single" w:color="D0E4E8" w:sz="1"/>
            </w:tcBorders>
            <w:shd w:fill="F2F7F9" w:val="clear"/>
            <w:tcMar>
              <w:top w:type="dxa" w:w="100"/>
              <w:left w:type="dxa" w:w="160"/>
              <w:bottom w:type="dxa" w:w="100"/>
              <w:right w:type="dxa" w:w="160"/>
            </w:tcMar>
          </w:tcPr>
          <w:p>
            <w:r>
              <w:rPr>
                <w:rFonts w:ascii="Arial" w:cs="Arial" w:eastAsia="Arial" w:hAnsi="Arial"/>
                <w:color w:val="4A6572"/>
                <w:sz w:val="21"/>
                <w:szCs w:val="21"/>
              </w:rPr>
              <w:t xml:space="preserve">Experiment integrity confirmed pre-analysis</w:t>
            </w:r>
          </w:p>
        </w:tc>
      </w:tr>
    </w:tbl>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04  Experiment Validation</w:t>
      </w:r>
    </w:p>
    <w:p>
      <w:pPr>
        <w:spacing w:after="140" w:line="320"/>
      </w:pPr>
      <w:r>
        <w:rPr>
          <w:rFonts w:ascii="Arial" w:cs="Arial" w:eastAsia="Arial" w:hAnsi="Arial"/>
          <w:color w:val="4A6572"/>
          <w:sz w:val="22"/>
          <w:szCs w:val="22"/>
        </w:rPr>
        <w:t xml:space="preserve">Pre-analysis validation confirmed that the experiment met all integrity requirements:</w:t>
      </w:r>
    </w:p>
    <w:p>
      <w:pPr>
        <w:pStyle w:val="ListParagraph"/>
        <w:numPr>
          <w:ilvl w:val="0"/>
          <w:numId w:val="2"/>
        </w:numPr>
        <w:spacing w:after="100"/>
      </w:pPr>
      <w:r>
        <w:rPr>
          <w:rFonts w:ascii="Arial" w:cs="Arial" w:eastAsia="Arial" w:hAnsi="Arial"/>
          <w:color w:val="4A6572"/>
          <w:sz w:val="22"/>
          <w:szCs w:val="22"/>
        </w:rPr>
        <w:t xml:space="preserve">Group sizes were balanced: Control 25,007 | Treatment 24,993.</w:t>
      </w:r>
    </w:p>
    <w:p>
      <w:pPr>
        <w:pStyle w:val="ListParagraph"/>
        <w:numPr>
          <w:ilvl w:val="0"/>
          <w:numId w:val="2"/>
        </w:numPr>
        <w:spacing w:after="100"/>
      </w:pPr>
      <w:r>
        <w:rPr>
          <w:rFonts w:ascii="Arial" w:cs="Arial" w:eastAsia="Arial" w:hAnsi="Arial"/>
          <w:color w:val="4A6572"/>
          <w:sz w:val="22"/>
          <w:szCs w:val="22"/>
        </w:rPr>
        <w:t xml:space="preserve">Randomisation was stratified and balanced across industry, region, and company size.</w:t>
      </w:r>
    </w:p>
    <w:p>
      <w:pPr>
        <w:pStyle w:val="ListParagraph"/>
        <w:numPr>
          <w:ilvl w:val="0"/>
          <w:numId w:val="2"/>
        </w:numPr>
        <w:spacing w:after="100"/>
      </w:pPr>
      <w:r>
        <w:rPr>
          <w:rFonts w:ascii="Arial" w:cs="Arial" w:eastAsia="Arial" w:hAnsi="Arial"/>
          <w:color w:val="4A6572"/>
          <w:sz w:val="22"/>
          <w:szCs w:val="22"/>
        </w:rPr>
        <w:t xml:space="preserve">Deliverability rates were comparable: Control 97.91% | Treatment 98.02%.</w:t>
      </w:r>
    </w:p>
    <w:p>
      <w:pPr>
        <w:pStyle w:val="ListParagraph"/>
        <w:numPr>
          <w:ilvl w:val="0"/>
          <w:numId w:val="2"/>
        </w:numPr>
        <w:spacing w:after="100"/>
      </w:pPr>
      <w:r>
        <w:rPr>
          <w:rFonts w:ascii="Arial" w:cs="Arial" w:eastAsia="Arial" w:hAnsi="Arial"/>
          <w:color w:val="4A6572"/>
          <w:sz w:val="22"/>
          <w:szCs w:val="22"/>
        </w:rPr>
        <w:t xml:space="preserve">STO was correctly applied: treatment group average send hour was 11.6 vs. fixed 10am for control.</w:t>
      </w:r>
    </w:p>
    <w:p>
      <w:pPr>
        <w:pStyle w:val="ListParagraph"/>
        <w:numPr>
          <w:ilvl w:val="0"/>
          <w:numId w:val="2"/>
        </w:numPr>
        <w:spacing w:after="100"/>
      </w:pPr>
      <w:r>
        <w:rPr>
          <w:rFonts w:ascii="Arial" w:cs="Arial" w:eastAsia="Arial" w:hAnsi="Arial"/>
          <w:color w:val="4A6572"/>
          <w:sz w:val="22"/>
          <w:szCs w:val="22"/>
        </w:rPr>
        <w:t xml:space="preserve">No pre-treatment differences in engagement history were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C39A" w:sz="1"/>
              <w:left w:val="single" w:color="028090" w:sz="12"/>
              <w:bottom w:val="single" w:color="02C39A" w:sz="1"/>
              <w:right w:val="single" w:color="02C39A" w:sz="1"/>
            </w:tcBorders>
            <w:shd w:fill="EEF6F8" w:val="clear"/>
            <w:tcMar>
              <w:top w:type="dxa" w:w="140"/>
              <w:left w:type="dxa" w:w="240"/>
              <w:bottom w:type="dxa" w:w="140"/>
              <w:right w:type="dxa" w:w="240"/>
            </w:tcMar>
          </w:tcPr>
          <w:p>
            <w:r>
              <w:rPr>
                <w:rFonts w:ascii="Cambria" w:cs="Cambria" w:eastAsia="Cambria" w:hAnsi="Cambria"/>
                <w:b/>
                <w:bCs/>
                <w:color w:val="028090"/>
                <w:sz w:val="22"/>
                <w:szCs w:val="22"/>
              </w:rPr>
              <w:t xml:space="preserve">Validation Conclusion</w:t>
            </w:r>
          </w:p>
          <w:p>
            <w:pPr>
              <w:spacing w:before="60"/>
            </w:pPr>
            <w:r>
              <w:rPr>
                <w:rFonts w:ascii="Arial" w:cs="Arial" w:eastAsia="Arial" w:hAnsi="Arial"/>
                <w:color w:val="1A2E3B"/>
                <w:sz w:val="21"/>
                <w:szCs w:val="21"/>
              </w:rPr>
              <w:t xml:space="preserve">Experiment integrity confirmed. Results can be attributed to the intervention rather than group imbalance or operational contamination.</w:t>
            </w:r>
          </w:p>
        </w:tc>
      </w:tr>
    </w:tbl>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05  Engagement Results</w:t>
      </w:r>
    </w:p>
    <w:p>
      <w:pPr>
        <w:spacing w:after="140" w:line="320"/>
      </w:pPr>
      <w:r>
        <w:rPr>
          <w:rFonts w:ascii="Arial" w:cs="Arial" w:eastAsia="Arial" w:hAnsi="Arial"/>
          <w:color w:val="4A6572"/>
          <w:sz w:val="22"/>
          <w:szCs w:val="22"/>
        </w:rPr>
        <w:t xml:space="preserve">STO produced statistically significant improvements across all engagement metrics: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DE2" w:sz="1"/>
              <w:left w:val="single" w:color="C8DDE2" w:sz="1"/>
              <w:bottom w:val="single" w:color="C8DDE2" w:sz="1"/>
              <w:right w:val="single" w:color="C8DDE2" w:sz="1"/>
            </w:tcBorders>
            <w:shd w:fill="02809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Metric</w:t>
            </w:r>
          </w:p>
        </w:tc>
        <w:tc>
          <w:tcPr>
            <w:tcW w:type="dxa" w:w="2340"/>
            <w:tcBorders>
              <w:top w:val="single" w:color="C8DDE2" w:sz="1"/>
              <w:left w:val="single" w:color="C8DDE2" w:sz="1"/>
              <w:bottom w:val="single" w:color="C8DDE2" w:sz="1"/>
              <w:right w:val="single" w:color="C8DDE2" w:sz="1"/>
            </w:tcBorders>
            <w:shd w:fill="02809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Control</w:t>
            </w:r>
          </w:p>
        </w:tc>
        <w:tc>
          <w:tcPr>
            <w:tcW w:type="dxa" w:w="2340"/>
            <w:tcBorders>
              <w:top w:val="single" w:color="C8DDE2" w:sz="1"/>
              <w:left w:val="single" w:color="C8DDE2" w:sz="1"/>
              <w:bottom w:val="single" w:color="C8DDE2" w:sz="1"/>
              <w:right w:val="single" w:color="C8DDE2" w:sz="1"/>
            </w:tcBorders>
            <w:shd w:fill="02809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Treatment</w:t>
            </w:r>
          </w:p>
        </w:tc>
        <w:tc>
          <w:tcPr>
            <w:tcW w:type="dxa" w:w="2340"/>
            <w:tcBorders>
              <w:top w:val="single" w:color="C8DDE2" w:sz="1"/>
              <w:left w:val="single" w:color="C8DDE2" w:sz="1"/>
              <w:bottom w:val="single" w:color="C8DDE2" w:sz="1"/>
              <w:right w:val="single" w:color="C8DDE2" w:sz="1"/>
            </w:tcBorders>
            <w:shd w:fill="02809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Result</w:t>
            </w:r>
          </w:p>
        </w:tc>
      </w:tr>
      <w:tr>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Open Rate</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35.56%</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37.81%</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+6.3%</w:t>
            </w:r>
          </w:p>
        </w:tc>
      </w:tr>
      <w:tr>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CTR</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6.34%</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6.69%</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+5.5%</w:t>
            </w:r>
          </w:p>
        </w:tc>
      </w:tr>
      <w:tr>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Avg. Engagement Score</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0.534</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0.567</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+6.2%</w:t>
            </w:r>
          </w:p>
        </w:tc>
      </w:tr>
      <w:tr>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Unsubscribes</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Stable</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Stable</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No impact</w:t>
            </w:r>
          </w:p>
        </w:tc>
      </w:tr>
      <w:tr>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Spam Complaints</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Stable</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Stable</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No impact</w:t>
            </w:r>
          </w:p>
        </w:tc>
      </w:tr>
    </w:tbl>
    <w:p>
      <w:pPr>
        <w:spacing w:after="100"/>
      </w:pPr>
      <w:r>
        <w:t xml:space="preserve"/>
      </w:r>
    </w:p>
    <w:p>
      <w:pPr>
        <w:spacing w:after="140" w:line="320"/>
      </w:pPr>
      <w:r>
        <w:rPr>
          <w:rFonts w:ascii="Arial" w:cs="Arial" w:eastAsia="Arial" w:hAnsi="Arial"/>
          <w:color w:val="4A6572"/>
          <w:sz w:val="22"/>
          <w:szCs w:val="22"/>
        </w:rPr>
        <w:t xml:space="preserve">Importantly, the improvements in open rate and CTR were achieved without any increase in unsubscribes or spam complaints, confirming that STO did not create audience friction.</w:t>
      </w:r>
    </w:p>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06  Causal Investigation</w:t>
      </w:r>
    </w:p>
    <w:p>
      <w:pPr>
        <w:spacing w:after="140" w:line="320"/>
      </w:pPr>
      <w:r>
        <w:rPr>
          <w:rFonts w:ascii="Arial" w:cs="Arial" w:eastAsia="Arial" w:hAnsi="Arial"/>
          <w:color w:val="4A6572"/>
          <w:sz w:val="22"/>
          <w:szCs w:val="22"/>
        </w:rPr>
        <w:t xml:space="preserve">Initial modelling suggested the following downstream results:</w:t>
      </w:r>
    </w:p>
    <w:p>
      <w:pPr>
        <w:pStyle w:val="ListParagraph"/>
        <w:numPr>
          <w:ilvl w:val="0"/>
          <w:numId w:val="2"/>
        </w:numPr>
        <w:spacing w:after="100"/>
      </w:pPr>
      <w:r>
        <w:rPr>
          <w:rFonts w:ascii="Arial" w:cs="Arial" w:eastAsia="Arial" w:hAnsi="Arial"/>
          <w:color w:val="4A6572"/>
          <w:sz w:val="22"/>
          <w:szCs w:val="22"/>
        </w:rPr>
        <w:t xml:space="preserve">Opportunity uplift: approximately +100%</w:t>
      </w:r>
    </w:p>
    <w:p>
      <w:pPr>
        <w:pStyle w:val="ListParagraph"/>
        <w:numPr>
          <w:ilvl w:val="0"/>
          <w:numId w:val="2"/>
        </w:numPr>
        <w:spacing w:after="100"/>
      </w:pPr>
      <w:r>
        <w:rPr>
          <w:rFonts w:ascii="Arial" w:cs="Arial" w:eastAsia="Arial" w:hAnsi="Arial"/>
          <w:color w:val="4A6572"/>
          <w:sz w:val="22"/>
          <w:szCs w:val="22"/>
        </w:rPr>
        <w:t xml:space="preserve">Pipeline uplift: approximately +99%</w:t>
      </w:r>
    </w:p>
    <w:p>
      <w:pPr>
        <w:pStyle w:val="ListParagraph"/>
        <w:numPr>
          <w:ilvl w:val="0"/>
          <w:numId w:val="2"/>
        </w:numPr>
        <w:spacing w:after="100"/>
      </w:pPr>
      <w:r>
        <w:rPr>
          <w:rFonts w:ascii="Arial" w:cs="Arial" w:eastAsia="Arial" w:hAnsi="Arial"/>
          <w:color w:val="4A6572"/>
          <w:sz w:val="22"/>
          <w:szCs w:val="22"/>
        </w:rPr>
        <w:t xml:space="preserve">Revenue uplift: approximately +118%</w:t>
      </w:r>
    </w:p>
    <w:p>
      <w:pPr>
        <w:spacing w:after="140" w:line="320"/>
      </w:pPr>
      <w:r>
        <w:rPr>
          <w:rFonts w:ascii="Arial" w:cs="Arial" w:eastAsia="Arial" w:hAnsi="Arial"/>
          <w:color w:val="4A6572"/>
          <w:sz w:val="22"/>
          <w:szCs w:val="22"/>
        </w:rPr>
        <w:t xml:space="preserve">These results were commercially implausible. A CTR improvement of 5.5% should not produce a doubling of opportunities. This triggered a formal causal investigation.</w:t>
      </w:r>
    </w:p>
    <w:p>
      <w:pPr>
        <w:spacing w:after="100"/>
      </w:pPr>
      <w:r>
        <w:t xml:space="preserve"/>
      </w:r>
    </w:p>
    <w:p>
      <w:pPr>
        <w:spacing w:after="140" w:line="320"/>
      </w:pPr>
      <w:r>
        <w:rPr>
          <w:rFonts w:ascii="Arial" w:cs="Arial" w:eastAsia="Arial" w:hAnsi="Arial"/>
          <w:color w:val="4A6572"/>
          <w:sz w:val="22"/>
          <w:szCs w:val="22"/>
        </w:rPr>
        <w:t xml:space="preserve">Key findings from the investigation:</w:t>
      </w:r>
    </w:p>
    <w:p>
      <w:pPr>
        <w:pStyle w:val="ListParagraph"/>
        <w:numPr>
          <w:ilvl w:val="0"/>
          <w:numId w:val="2"/>
        </w:numPr>
        <w:spacing w:after="100"/>
      </w:pPr>
      <w:r>
        <w:rPr>
          <w:rFonts w:ascii="Arial" w:cs="Arial" w:eastAsia="Arial" w:hAnsi="Arial"/>
          <w:color w:val="4A6572"/>
          <w:sz w:val="22"/>
          <w:szCs w:val="22"/>
        </w:rPr>
        <w:t xml:space="preserve">Treatment effects on opportunities were present even among leads who did not open the email — violating the expected engagement mediation pathway.</w:t>
      </w:r>
    </w:p>
    <w:p>
      <w:pPr>
        <w:pStyle w:val="ListParagraph"/>
        <w:numPr>
          <w:ilvl w:val="0"/>
          <w:numId w:val="2"/>
        </w:numPr>
        <w:spacing w:after="100"/>
      </w:pPr>
      <w:r>
        <w:rPr>
          <w:rFonts w:ascii="Arial" w:cs="Arial" w:eastAsia="Arial" w:hAnsi="Arial"/>
          <w:color w:val="4A6572"/>
          <w:sz w:val="22"/>
          <w:szCs w:val="22"/>
        </w:rPr>
        <w:t xml:space="preserve">The opportunity-generation model contained a direct path from treatment assignment to opportunity creation, bypassing engagement entirely.</w:t>
      </w:r>
    </w:p>
    <w:p>
      <w:pPr>
        <w:pStyle w:val="ListParagraph"/>
        <w:numPr>
          <w:ilvl w:val="0"/>
          <w:numId w:val="2"/>
        </w:numPr>
        <w:spacing w:after="100"/>
      </w:pPr>
      <w:r>
        <w:rPr>
          <w:rFonts w:ascii="Arial" w:cs="Arial" w:eastAsia="Arial" w:hAnsi="Arial"/>
          <w:color w:val="4A6572"/>
          <w:sz w:val="22"/>
          <w:szCs w:val="22"/>
        </w:rPr>
        <w:t xml:space="preserve">This constituted attribution leakage: the model was crediting STO for conversions it could not have caused through the engagement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C39A" w:sz="1"/>
              <w:left w:val="single" w:color="028090" w:sz="12"/>
              <w:bottom w:val="single" w:color="02C39A" w:sz="1"/>
              <w:right w:val="single" w:color="02C39A" w:sz="1"/>
            </w:tcBorders>
            <w:shd w:fill="EEF6F8" w:val="clear"/>
            <w:tcMar>
              <w:top w:type="dxa" w:w="140"/>
              <w:left w:type="dxa" w:w="240"/>
              <w:bottom w:type="dxa" w:w="140"/>
              <w:right w:type="dxa" w:w="240"/>
            </w:tcMar>
          </w:tcPr>
          <w:p>
            <w:r>
              <w:rPr>
                <w:rFonts w:ascii="Cambria" w:cs="Cambria" w:eastAsia="Cambria" w:hAnsi="Cambria"/>
                <w:b/>
                <w:bCs/>
                <w:color w:val="028090"/>
                <w:sz w:val="22"/>
                <w:szCs w:val="22"/>
              </w:rPr>
              <w:t xml:space="preserve">Root Cause</w:t>
            </w:r>
          </w:p>
          <w:p>
            <w:pPr>
              <w:spacing w:before="60"/>
            </w:pPr>
            <w:r>
              <w:rPr>
                <w:rFonts w:ascii="Arial" w:cs="Arial" w:eastAsia="Arial" w:hAnsi="Arial"/>
                <w:color w:val="1A2E3B"/>
                <w:sz w:val="21"/>
                <w:szCs w:val="21"/>
              </w:rPr>
              <w:t xml:space="preserve">The original model included treatment assignment as a direct predictor of opportunity creation. This inflated all downstream metrics and rendered the business case invalid.</w:t>
            </w:r>
          </w:p>
        </w:tc>
      </w:tr>
    </w:tbl>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07  Model Redesign</w:t>
      </w:r>
    </w:p>
    <w:p>
      <w:pPr>
        <w:spacing w:after="140" w:line="320"/>
      </w:pPr>
      <w:r>
        <w:rPr>
          <w:rFonts w:ascii="Arial" w:cs="Arial" w:eastAsia="Arial" w:hAnsi="Arial"/>
          <w:color w:val="4A6572"/>
          <w:sz w:val="22"/>
          <w:szCs w:val="22"/>
        </w:rPr>
        <w:t xml:space="preserve">The opportunity model was rebuilt to enforce the correct causal structure: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DE2" w:sz="1"/>
              <w:left w:val="single" w:color="C8DDE2" w:sz="1"/>
              <w:bottom w:val="single" w:color="C8DDE2" w:sz="1"/>
              <w:right w:val="single" w:color="C8DDE2" w:sz="1"/>
            </w:tcBorders>
            <w:shd w:fill="FDE8E8" w:val="clear"/>
            <w:tcMar>
              <w:top w:type="dxa" w:w="160"/>
              <w:left w:type="dxa" w:w="200"/>
              <w:bottom w:type="dxa" w:w="160"/>
              <w:right w:type="dxa" w:w="200"/>
            </w:tcMar>
          </w:tcPr>
          <w:p>
            <w:r>
              <w:rPr>
                <w:rFonts w:ascii="Cambria" w:cs="Cambria" w:eastAsia="Cambria" w:hAnsi="Cambria"/>
                <w:b/>
                <w:bCs/>
                <w:color w:val="B03030"/>
                <w:sz w:val="20"/>
                <w:szCs w:val="20"/>
              </w:rPr>
              <w:t xml:space="preserve">ORIGINAL MODEL (flawed)</w:t>
            </w:r>
          </w:p>
          <w:p>
            <w:r>
              <w:rPr>
                <w:sz w:val="14"/>
                <w:szCs w:val="14"/>
              </w:rPr>
              <w:t xml:space="preserve"> </w:t>
            </w:r>
          </w:p>
          <w:p>
            <w:r>
              <w:rPr>
                <w:rFonts w:ascii="Arial" w:cs="Arial" w:eastAsia="Arial" w:hAnsi="Arial"/>
                <w:color w:val="1A2E3B"/>
                <w:sz w:val="22"/>
                <w:szCs w:val="22"/>
              </w:rPr>
              <w:t xml:space="preserve">Treatment → Opportunity</w:t>
            </w:r>
          </w:p>
          <w:p>
            <w:r>
              <w:rPr>
                <w:rFonts w:ascii="Arial" w:cs="Arial" w:eastAsia="Arial" w:hAnsi="Arial"/>
                <w:color w:val="4A6572"/>
                <w:sz w:val="19"/>
                <w:szCs w:val="19"/>
              </w:rPr>
              <w:t xml:space="preserve">Direct path creates attribution leakage</w:t>
            </w:r>
          </w:p>
        </w:tc>
        <w:tc>
          <w:tcPr>
            <w:tcW w:type="dxa" w:w="4680"/>
            <w:tcBorders>
              <w:top w:val="single" w:color="C8DDE2" w:sz="1"/>
              <w:left w:val="single" w:color="C8DDE2" w:sz="1"/>
              <w:bottom w:val="single" w:color="C8DDE2" w:sz="1"/>
              <w:right w:val="single" w:color="C8DDE2" w:sz="1"/>
            </w:tcBorders>
            <w:shd w:fill="E8F6F0" w:val="clear"/>
            <w:tcMar>
              <w:top w:type="dxa" w:w="160"/>
              <w:left w:type="dxa" w:w="200"/>
              <w:bottom w:type="dxa" w:w="160"/>
              <w:right w:type="dxa" w:w="200"/>
            </w:tcMar>
          </w:tcPr>
          <w:p>
            <w:r>
              <w:rPr>
                <w:rFonts w:ascii="Cambria" w:cs="Cambria" w:eastAsia="Cambria" w:hAnsi="Cambria"/>
                <w:b/>
                <w:bCs/>
                <w:color w:val="1A7A55"/>
                <w:sz w:val="20"/>
                <w:szCs w:val="20"/>
              </w:rPr>
              <w:t xml:space="preserve">CORRECTED MODEL</w:t>
            </w:r>
          </w:p>
          <w:p>
            <w:r>
              <w:rPr>
                <w:sz w:val="14"/>
                <w:szCs w:val="14"/>
              </w:rPr>
              <w:t xml:space="preserve"> </w:t>
            </w:r>
          </w:p>
          <w:p>
            <w:r>
              <w:rPr>
                <w:rFonts w:ascii="Arial" w:cs="Arial" w:eastAsia="Arial" w:hAnsi="Arial"/>
                <w:color w:val="1A2E3B"/>
                <w:sz w:val="22"/>
                <w:szCs w:val="22"/>
              </w:rPr>
              <w:t xml:space="preserve">Treatment → Engagement → Opportunity</w:t>
            </w:r>
          </w:p>
          <w:p>
            <w:r>
              <w:rPr>
                <w:rFonts w:ascii="Arial" w:cs="Arial" w:eastAsia="Arial" w:hAnsi="Arial"/>
                <w:color w:val="4A6572"/>
                <w:sz w:val="19"/>
                <w:szCs w:val="19"/>
              </w:rPr>
              <w:t xml:space="preserve">Engagement mediates all commercial impact</w:t>
            </w:r>
          </w:p>
        </w:tc>
      </w:tr>
    </w:tbl>
    <w:p>
      <w:pPr>
        <w:spacing w:after="100"/>
      </w:pPr>
      <w:r>
        <w:t xml:space="preserve"/>
      </w:r>
    </w:p>
    <w:p>
      <w:pPr>
        <w:spacing w:after="140" w:line="320"/>
      </w:pPr>
      <w:r>
        <w:rPr>
          <w:rFonts w:ascii="Arial" w:cs="Arial" w:eastAsia="Arial" w:hAnsi="Arial"/>
          <w:color w:val="4A6572"/>
          <w:sz w:val="22"/>
          <w:szCs w:val="22"/>
        </w:rPr>
        <w:t xml:space="preserve">In the redesigned model, opportunity probability was determined solely by industry baseline propensity and engagement score. No direct treatment effect was permitted, ensuring that STO could only influence commercial outcomes through the engagement mechanism it was designed to affect.</w:t>
      </w:r>
    </w:p>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08  Final Results</w:t>
      </w:r>
    </w:p>
    <w:p>
      <w:pPr>
        <w:spacing w:after="140" w:line="320"/>
      </w:pPr>
      <w:r>
        <w:rPr>
          <w:rFonts w:ascii="Arial" w:cs="Arial" w:eastAsia="Arial" w:hAnsi="Arial"/>
          <w:color w:val="4A6572"/>
          <w:sz w:val="22"/>
          <w:szCs w:val="22"/>
        </w:rPr>
        <w:t xml:space="preserve">After model correction, the final results across all KPIs were: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DE2" w:sz="1"/>
              <w:left w:val="single" w:color="C8DDE2" w:sz="1"/>
              <w:bottom w:val="single" w:color="C8DDE2" w:sz="1"/>
              <w:right w:val="single" w:color="C8DDE2" w:sz="1"/>
            </w:tcBorders>
            <w:shd w:fill="02809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Metric</w:t>
            </w:r>
          </w:p>
        </w:tc>
        <w:tc>
          <w:tcPr>
            <w:tcW w:type="dxa" w:w="2340"/>
            <w:tcBorders>
              <w:top w:val="single" w:color="C8DDE2" w:sz="1"/>
              <w:left w:val="single" w:color="C8DDE2" w:sz="1"/>
              <w:bottom w:val="single" w:color="C8DDE2" w:sz="1"/>
              <w:right w:val="single" w:color="C8DDE2" w:sz="1"/>
            </w:tcBorders>
            <w:shd w:fill="02809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Control</w:t>
            </w:r>
          </w:p>
        </w:tc>
        <w:tc>
          <w:tcPr>
            <w:tcW w:type="dxa" w:w="2340"/>
            <w:tcBorders>
              <w:top w:val="single" w:color="C8DDE2" w:sz="1"/>
              <w:left w:val="single" w:color="C8DDE2" w:sz="1"/>
              <w:bottom w:val="single" w:color="C8DDE2" w:sz="1"/>
              <w:right w:val="single" w:color="C8DDE2" w:sz="1"/>
            </w:tcBorders>
            <w:shd w:fill="02809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Treatment</w:t>
            </w:r>
          </w:p>
        </w:tc>
        <w:tc>
          <w:tcPr>
            <w:tcW w:type="dxa" w:w="2340"/>
            <w:tcBorders>
              <w:top w:val="single" w:color="C8DDE2" w:sz="1"/>
              <w:left w:val="single" w:color="C8DDE2" w:sz="1"/>
              <w:bottom w:val="single" w:color="C8DDE2" w:sz="1"/>
              <w:right w:val="single" w:color="C8DDE2" w:sz="1"/>
            </w:tcBorders>
            <w:shd w:fill="02809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Result</w:t>
            </w:r>
          </w:p>
        </w:tc>
      </w:tr>
      <w:tr>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Open Rate</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35.56%</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37.81%</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+6.3%</w:t>
            </w:r>
          </w:p>
        </w:tc>
      </w:tr>
      <w:tr>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CTR</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6.34%</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6.69%</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+5.5%</w:t>
            </w:r>
          </w:p>
        </w:tc>
      </w:tr>
      <w:tr>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Avg. Engagement Score</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0.534</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0.567</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+6.2%</w:t>
            </w:r>
          </w:p>
        </w:tc>
      </w:tr>
      <w:tr>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Unsubscribes / Complaints</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Stable</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Stable</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No negative signal</w:t>
            </w:r>
          </w:p>
        </w:tc>
      </w:tr>
      <w:tr>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Opportunities</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312</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300</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Flat (no uplift)</w:t>
            </w:r>
          </w:p>
        </w:tc>
      </w:tr>
      <w:tr>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Pipeline Value</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£4.47M</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£4.19M</w:t>
            </w:r>
          </w:p>
        </w:tc>
        <w:tc>
          <w:tcPr>
            <w:tcW w:type="dxa" w:w="2340"/>
            <w:tcBorders>
              <w:top w:val="single" w:color="C8DDE2" w:sz="1"/>
              <w:left w:val="single" w:color="C8DDE2" w:sz="1"/>
              <w:bottom w:val="single" w:color="C8DDE2" w:sz="1"/>
              <w:right w:val="single" w:color="C8DDE2" w:sz="1"/>
            </w:tcBorders>
            <w:shd w:fill="F2F7F9"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Flat (within noise)</w:t>
            </w:r>
          </w:p>
        </w:tc>
      </w:tr>
      <w:tr>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6572"/>
                <w:sz w:val="20"/>
                <w:szCs w:val="20"/>
              </w:rPr>
              <w:t xml:space="preserve">Revenue</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£1.07M</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4A6572"/>
                <w:sz w:val="20"/>
                <w:szCs w:val="20"/>
              </w:rPr>
              <w:t xml:space="preserve">£0.91M</w:t>
            </w:r>
          </w:p>
        </w:tc>
        <w:tc>
          <w:tcPr>
            <w:tcW w:type="dxa" w:w="2340"/>
            <w:tcBorders>
              <w:top w:val="single" w:color="C8DDE2" w:sz="1"/>
              <w:left w:val="single" w:color="C8DDE2" w:sz="1"/>
              <w:bottom w:val="single" w:color="C8DDE2" w:sz="1"/>
              <w:right w:val="single" w:color="C8DDE2" w:sz="1"/>
            </w:tcBorders>
            <w:shd w:fill="FFFFFF" w:val="clear"/>
            <w:tcMar>
              <w:top w:type="dxa" w:w="100"/>
              <w:left w:type="dxa" w:w="160"/>
              <w:bottom w:type="dxa" w:w="100"/>
              <w:right w:type="dxa" w:w="160"/>
            </w:tcMar>
          </w:tcPr>
          <w:p>
            <w:pPr>
              <w:jc w:val="center"/>
            </w:pPr>
            <w:r>
              <w:rPr>
                <w:rFonts w:ascii="Arial" w:cs="Arial" w:eastAsia="Arial" w:hAnsi="Arial"/>
                <w:b/>
                <w:bCs/>
                <w:color w:val="028090"/>
                <w:sz w:val="20"/>
                <w:szCs w:val="20"/>
              </w:rPr>
              <w:t xml:space="preserve">Flat (within noise)</w:t>
            </w:r>
          </w:p>
        </w:tc>
      </w:tr>
    </w:tbl>
    <w:p>
      <w:pPr>
        <w:spacing w:after="100"/>
      </w:pPr>
      <w:r>
        <w:t xml:space="preserve"/>
      </w:r>
    </w:p>
    <w:p>
      <w:pPr>
        <w:spacing w:after="140" w:line="320"/>
      </w:pPr>
      <w:r>
        <w:rPr>
          <w:rFonts w:ascii="Arial" w:cs="Arial" w:eastAsia="Arial" w:hAnsi="Arial"/>
          <w:color w:val="4A6572"/>
          <w:sz w:val="22"/>
          <w:szCs w:val="22"/>
        </w:rPr>
        <w:t xml:space="preserve">Engagement improvements were genuine and sustained. The absence of pipeline and revenue lift reflects the reality that STO improves marketing receptivity among a broad audience but does not systematically shift high-intent conversion behaviour.</w:t>
      </w:r>
    </w:p>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09  Business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C39A" w:sz="1"/>
              <w:left w:val="single" w:color="028090" w:sz="12"/>
              <w:bottom w:val="single" w:color="02C39A" w:sz="1"/>
              <w:right w:val="single" w:color="02C39A" w:sz="1"/>
            </w:tcBorders>
            <w:shd w:fill="EEF6F8" w:val="clear"/>
            <w:tcMar>
              <w:top w:type="dxa" w:w="140"/>
              <w:left w:type="dxa" w:w="240"/>
              <w:bottom w:type="dxa" w:w="140"/>
              <w:right w:type="dxa" w:w="240"/>
            </w:tcMar>
          </w:tcPr>
          <w:p>
            <w:r>
              <w:rPr>
                <w:rFonts w:ascii="Cambria" w:cs="Cambria" w:eastAsia="Cambria" w:hAnsi="Cambria"/>
                <w:b/>
                <w:bCs/>
                <w:color w:val="028090"/>
                <w:sz w:val="22"/>
                <w:szCs w:val="22"/>
              </w:rPr>
              <w:t xml:space="preserve">Recommended Decision</w:t>
            </w:r>
          </w:p>
          <w:p>
            <w:pPr>
              <w:spacing w:before="60"/>
            </w:pPr>
            <w:r>
              <w:rPr>
                <w:rFonts w:ascii="Arial" w:cs="Arial" w:eastAsia="Arial" w:hAnsi="Arial"/>
                <w:color w:val="1A2E3B"/>
                <w:sz w:val="21"/>
                <w:szCs w:val="21"/>
              </w:rPr>
              <w:t xml:space="preserve">Deploy STO as a standard low-cost engagement optimisation. Do not position STO as a revenue-growth initiative based on current evidence.</w:t>
            </w:r>
          </w:p>
        </w:tc>
      </w:tr>
    </w:tbl>
    <w:p>
      <w:pPr>
        <w:spacing w:after="100"/>
      </w:pPr>
      <w:r>
        <w:t xml:space="preserve"/>
      </w:r>
    </w:p>
    <w:p>
      <w:pPr>
        <w:spacing w:after="140" w:line="320"/>
      </w:pPr>
      <w:r>
        <w:rPr>
          <w:rFonts w:ascii="Arial" w:cs="Arial" w:eastAsia="Arial" w:hAnsi="Arial"/>
          <w:color w:val="4A6572"/>
          <w:sz w:val="22"/>
          <w:szCs w:val="22"/>
        </w:rPr>
        <w:t xml:space="preserve">Rationale:</w:t>
      </w:r>
    </w:p>
    <w:p>
      <w:pPr>
        <w:pStyle w:val="ListParagraph"/>
        <w:numPr>
          <w:ilvl w:val="0"/>
          <w:numId w:val="2"/>
        </w:numPr>
        <w:spacing w:after="100"/>
      </w:pPr>
      <w:r>
        <w:rPr>
          <w:rFonts w:ascii="Arial" w:cs="Arial" w:eastAsia="Arial" w:hAnsi="Arial"/>
          <w:color w:val="4A6572"/>
          <w:sz w:val="22"/>
          <w:szCs w:val="22"/>
        </w:rPr>
        <w:t xml:space="preserve">Engagement improvements are real, statistically significant, and require no incremental investment beyond the STO capability already tested.</w:t>
      </w:r>
    </w:p>
    <w:p>
      <w:pPr>
        <w:pStyle w:val="ListParagraph"/>
        <w:numPr>
          <w:ilvl w:val="0"/>
          <w:numId w:val="2"/>
        </w:numPr>
        <w:spacing w:after="100"/>
      </w:pPr>
      <w:r>
        <w:rPr>
          <w:rFonts w:ascii="Arial" w:cs="Arial" w:eastAsia="Arial" w:hAnsi="Arial"/>
          <w:color w:val="4A6572"/>
          <w:sz w:val="22"/>
          <w:szCs w:val="22"/>
        </w:rPr>
        <w:t xml:space="preserve">Pipeline and revenue outcomes are within expected variability. The corrected analysis provides no credible evidence of commercial uplift.</w:t>
      </w:r>
    </w:p>
    <w:p>
      <w:pPr>
        <w:pStyle w:val="ListParagraph"/>
        <w:numPr>
          <w:ilvl w:val="0"/>
          <w:numId w:val="2"/>
        </w:numPr>
        <w:spacing w:after="100"/>
      </w:pPr>
      <w:r>
        <w:rPr>
          <w:rFonts w:ascii="Arial" w:cs="Arial" w:eastAsia="Arial" w:hAnsi="Arial"/>
          <w:color w:val="4A6572"/>
          <w:sz w:val="22"/>
          <w:szCs w:val="22"/>
        </w:rPr>
        <w:t xml:space="preserve">Continued deployment accumulates engagement data that may eventually support stronger downstream hypotheses.</w:t>
      </w:r>
    </w:p>
    <w:p>
      <w:pPr>
        <w:pStyle w:val="ListParagraph"/>
        <w:numPr>
          <w:ilvl w:val="0"/>
          <w:numId w:val="2"/>
        </w:numPr>
        <w:spacing w:after="100"/>
      </w:pPr>
      <w:r>
        <w:rPr>
          <w:rFonts w:ascii="Arial" w:cs="Arial" w:eastAsia="Arial" w:hAnsi="Arial"/>
          <w:color w:val="4A6572"/>
          <w:sz w:val="22"/>
          <w:szCs w:val="22"/>
        </w:rPr>
        <w:t xml:space="preserve">Future experiments should target interventions designed to shift high-intent behaviour — for example, personalised content, dynamic offer sequencing, or re-engagement tracks for marketing-qualified leads.</w:t>
      </w:r>
    </w:p>
    <w:p>
      <w:pPr>
        <w:spacing w:after="100"/>
      </w:pPr>
      <w:r>
        <w:t xml:space="preserve"/>
      </w:r>
    </w:p>
    <w:p>
      <w:pPr>
        <w:pBdr>
          <w:bottom w:val="single" w:color="028090" w:sz="6" w:space="4"/>
        </w:pBdr>
        <w:spacing w:after="160" w:before="360"/>
      </w:pPr>
      <w:r>
        <w:rPr>
          <w:rFonts w:ascii="Cambria" w:cs="Cambria" w:eastAsia="Cambria" w:hAnsi="Cambria"/>
          <w:b/>
          <w:bCs/>
          <w:color w:val="1A2E3B"/>
          <w:sz w:val="36"/>
          <w:szCs w:val="36"/>
        </w:rPr>
        <w:t xml:space="preserve">10  Lessons Learned</w:t>
      </w:r>
    </w:p>
    <w:p>
      <w:pPr>
        <w:pStyle w:val="ListParagraph"/>
        <w:numPr>
          <w:ilvl w:val="0"/>
          <w:numId w:val="2"/>
        </w:numPr>
        <w:spacing w:after="120"/>
      </w:pPr>
      <w:r>
        <w:rPr>
          <w:rFonts w:ascii="Arial" w:cs="Arial" w:eastAsia="Arial" w:hAnsi="Arial"/>
          <w:color w:val="4A6572"/>
          <w:sz w:val="22"/>
          <w:szCs w:val="22"/>
        </w:rPr>
        <w:t xml:space="preserve">Validate causal structure before reporting business impact. Statistical significance is not the same as commercial credibility.</w:t>
      </w:r>
    </w:p>
    <w:p>
      <w:pPr>
        <w:pStyle w:val="ListParagraph"/>
        <w:numPr>
          <w:ilvl w:val="0"/>
          <w:numId w:val="2"/>
        </w:numPr>
        <w:spacing w:after="120"/>
      </w:pPr>
      <w:r>
        <w:rPr>
          <w:rFonts w:ascii="Arial" w:cs="Arial" w:eastAsia="Arial" w:hAnsi="Arial"/>
          <w:color w:val="4A6572"/>
          <w:sz w:val="22"/>
          <w:szCs w:val="22"/>
        </w:rPr>
        <w:t xml:space="preserve">Implausible results are a signal, not a success. A ~5% CTR lift producing ~100% opportunity uplift should trigger investigation, not celebration.</w:t>
      </w:r>
    </w:p>
    <w:p>
      <w:pPr>
        <w:pStyle w:val="ListParagraph"/>
        <w:numPr>
          <w:ilvl w:val="0"/>
          <w:numId w:val="2"/>
        </w:numPr>
        <w:spacing w:after="120"/>
      </w:pPr>
      <w:r>
        <w:rPr>
          <w:rFonts w:ascii="Arial" w:cs="Arial" w:eastAsia="Arial" w:hAnsi="Arial"/>
          <w:color w:val="4A6572"/>
          <w:sz w:val="22"/>
          <w:szCs w:val="22"/>
        </w:rPr>
        <w:t xml:space="preserve">Mediation matters. Engagement should cause conversion, not co-vary with it due to model leakage.</w:t>
      </w:r>
    </w:p>
    <w:p>
      <w:pPr>
        <w:pStyle w:val="ListParagraph"/>
        <w:numPr>
          <w:ilvl w:val="0"/>
          <w:numId w:val="2"/>
        </w:numPr>
        <w:spacing w:after="120"/>
      </w:pPr>
      <w:r>
        <w:rPr>
          <w:rFonts w:ascii="Arial" w:cs="Arial" w:eastAsia="Arial" w:hAnsi="Arial"/>
          <w:color w:val="4A6572"/>
          <w:sz w:val="22"/>
          <w:szCs w:val="22"/>
        </w:rPr>
        <w:t xml:space="preserve">Honest analysis builds credibility. Correcting an overstated result and presenting a conservative recommendation demonstrates analytical integrity.</w:t>
      </w:r>
    </w:p>
    <w:p>
      <w:pPr>
        <w:pStyle w:val="ListParagraph"/>
        <w:numPr>
          <w:ilvl w:val="0"/>
          <w:numId w:val="2"/>
        </w:numPr>
        <w:spacing w:after="120"/>
      </w:pPr>
      <w:r>
        <w:rPr>
          <w:rFonts w:ascii="Arial" w:cs="Arial" w:eastAsia="Arial" w:hAnsi="Arial"/>
          <w:color w:val="4A6572"/>
          <w:sz w:val="22"/>
          <w:szCs w:val="22"/>
        </w:rPr>
        <w:t xml:space="preserve">Low-cost optimisations still have value. STO is deployable without significant resource investment — engagement gains compound over time.</w:t>
      </w:r>
    </w:p>
    <w:p>
      <w:pPr>
        <w:spacing w:after="100"/>
      </w:pPr>
      <w:r>
        <w:t xml:space="preserve"/>
      </w:r>
    </w:p>
    <w:p>
      <w:pPr>
        <w:pBdr>
          <w:top w:val="single" w:color="028090" w:sz="4" w:space="4"/>
        </w:pBdr>
        <w:spacing w:before="400"/>
        <w:jc w:val="center"/>
      </w:pPr>
      <w:r>
        <w:rPr>
          <w:rFonts w:ascii="Arial" w:cs="Arial" w:eastAsia="Arial" w:hAnsi="Arial"/>
          <w:color w:val="8BAAB4"/>
          <w:sz w:val="18"/>
          <w:szCs w:val="18"/>
        </w:rPr>
        <w:t xml:space="preserve">Portfolio Case Study  |  James Kufre Etok  |  Senior Data Analyst</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4"/>
      </w:pBdr>
      <w:spacing w:after="200"/>
      <w:jc w:val="right"/>
    </w:pPr>
    <w:r>
      <w:rPr>
        <w:rFonts w:ascii="Arial" w:cs="Arial" w:eastAsia="Arial" w:hAnsi="Arial"/>
        <w:color w:val="8BAAB4"/>
        <w:sz w:val="16"/>
        <w:szCs w:val="16"/>
      </w:rPr>
      <w:t xml:space="preserve">SEND-TIME OPTIMISATION | Portfolio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657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A2E3B"/>
      <w:sz w:val="36"/>
      <w:szCs w:val="36"/>
    </w:rPr>
  </w:style>
  <w:style w:type="paragraph" w:styleId="Heading2">
    <w:name w:val="Heading 2"/>
    <w:basedOn w:val="Normal"/>
    <w:next w:val="Normal"/>
    <w:qFormat/>
    <w:pPr>
      <w:spacing w:after="140" w:before="280"/>
      <w:outlineLvl w:val="1"/>
    </w:pPr>
    <w:rPr>
      <w:rFonts w:ascii="Cambria" w:cs="Cambria" w:eastAsia="Cambria" w:hAnsi="Cambria"/>
      <w:b/>
      <w:bCs/>
      <w:color w:val="028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2026-06-15T18:22:52.008Z</dcterms:created>
  <dcterms:modified xsi:type="dcterms:W3CDTF">2026-06-15T18:22:52.009Z</dcterms:modified>
</cp:coreProperties>
</file>

<file path=docProps/custom.xml><?xml version="1.0" encoding="utf-8"?>
<Properties xmlns="http://schemas.openxmlformats.org/officeDocument/2006/custom-properties" xmlns:vt="http://schemas.openxmlformats.org/officeDocument/2006/docPropsVTypes"/>
</file>