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Effects of UA on Survival Rate and Cholesterol Efflux Rate of RAW264.7 Macrophage-derived Foam Cells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923280" cy="1782445"/>
            <wp:effectExtent l="0" t="0" r="7620" b="8255"/>
            <wp:docPr id="7" name="图片 7" descr="QQ截图2017101917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0191708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b/>
          <w:bCs/>
        </w:rPr>
        <w:t xml:space="preserve">Fig.1 </w:t>
      </w:r>
      <w:r>
        <w:rPr>
          <w:rFonts w:ascii="Times New Roman" w:hAnsi="Times New Roman"/>
          <w:b/>
        </w:rPr>
        <w:t>Effects of UA on Survival Rate and Cholesterol Efflux Rate of RAW264.7 Macrophage-derived Foam Cells</w:t>
      </w: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宋体"/>
          <w:lang w:val="en-US" w:eastAsia="zh-CN"/>
        </w:rPr>
        <w:t xml:space="preserve">(A) Comparison of the outflows of cholesterol in the UA 10 </w:t>
      </w:r>
    </w:p>
    <w:tbl>
      <w:tblPr>
        <w:tblStyle w:val="3"/>
        <w:tblW w:w="4455" w:type="dxa"/>
        <w:jc w:val="center"/>
        <w:tblInd w:w="1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Time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10mg·L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10mg·L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2.12±0.07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1.76±0.05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3.87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0.26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6.42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7.23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0.36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7.89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0.67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5.78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0.58</w:t>
            </w:r>
          </w:p>
        </w:tc>
      </w:tr>
    </w:tbl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Table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 mg·L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UA group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and APS group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Cholesterol Efflux Rate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tbl>
      <w:tblPr>
        <w:tblStyle w:val="3"/>
        <w:tblW w:w="4455" w:type="dxa"/>
        <w:jc w:val="center"/>
        <w:tblInd w:w="1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Time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15mg·L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15mg·L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2.52±0.07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1.89±0.05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3.21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0.26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4.23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7.56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8.36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0.36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5.86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0.67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6.32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0.58</w:t>
            </w:r>
          </w:p>
        </w:tc>
      </w:tr>
    </w:tbl>
    <w:p>
      <w:pPr>
        <w:jc w:val="center"/>
        <w:rPr>
          <w:rFonts w:hint="eastAsia" w:ascii="Times New Roman" w:hAnsi="Times New Roman" w:eastAsiaTheme="minorEastAsia"/>
          <w:b/>
          <w:bCs/>
          <w:color w:va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Table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mg·L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UA group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and APS group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Cholesterol Efflux Rate</w:t>
      </w:r>
    </w:p>
    <w:tbl>
      <w:tblPr>
        <w:tblStyle w:val="3"/>
        <w:tblW w:w="4455" w:type="dxa"/>
        <w:jc w:val="center"/>
        <w:tblInd w:w="1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20mg·L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20mg·L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4.46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0.13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7.47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0.26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4.65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10.12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24h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0.15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8.24</w:t>
            </w:r>
            <w:r>
              <w:rPr>
                <w:rFonts w:hint="eastAsia" w:ascii="宋体" w:hAnsi="宋体" w:eastAsia="宋体" w:cs="宋体"/>
              </w:rPr>
              <w:t>±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0.27</w:t>
            </w: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Table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 mg·L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UA group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and APS group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Cholesterol Efflux Rate</w:t>
      </w: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/>
        </w:rPr>
      </w:pPr>
    </w:p>
    <w:tbl>
      <w:tblPr>
        <w:tblStyle w:val="3"/>
        <w:tblW w:w="5624" w:type="dxa"/>
        <w:jc w:val="center"/>
        <w:tblInd w:w="1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6"/>
        <w:gridCol w:w="1416"/>
        <w:gridCol w:w="1415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Times New Roman" w:hAnsi="Times New Roman" w:eastAsia="宋体" w:cs="Times New Roman"/>
                <w:lang w:val="en-US" w:eastAsia="zh-CN" w:bidi="ar"/>
              </w:rPr>
              <w:t>10</w:t>
            </w:r>
            <w:r>
              <w:rPr>
                <w:rStyle w:val="5"/>
                <w:rFonts w:hint="default" w:ascii="Times New Roman" w:hAnsi="Times New Roman" w:cs="Times New Roman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宋体" w:cs="Times New Roman"/>
                <w:lang w:val="en-US" w:eastAsia="zh-CN" w:bidi="ar"/>
              </w:rPr>
              <w:t>mg/L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Times New Roman" w:hAnsi="Times New Roman" w:eastAsia="宋体" w:cs="Times New Roman"/>
                <w:lang w:val="en-US" w:eastAsia="zh-CN" w:bidi="ar"/>
              </w:rPr>
              <w:t>15</w:t>
            </w:r>
            <w:r>
              <w:rPr>
                <w:rStyle w:val="5"/>
                <w:rFonts w:hint="default" w:ascii="Times New Roman" w:hAnsi="Times New Roman" w:cs="Times New Roman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宋体" w:cs="Times New Roman"/>
                <w:lang w:val="en-US" w:eastAsia="zh-CN" w:bidi="ar"/>
              </w:rPr>
              <w:t>mg/L</w:t>
            </w:r>
          </w:p>
        </w:tc>
        <w:tc>
          <w:tcPr>
            <w:tcW w:w="14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4"/>
                <w:rFonts w:hint="default" w:ascii="Times New Roman" w:hAnsi="Times New Roman" w:eastAsia="宋体" w:cs="Times New Roman"/>
                <w:lang w:val="en-US" w:eastAsia="zh-CN" w:bidi="ar"/>
              </w:rPr>
              <w:t>20</w:t>
            </w:r>
            <w:r>
              <w:rPr>
                <w:rStyle w:val="5"/>
                <w:rFonts w:hint="default" w:ascii="Times New Roman" w:hAnsi="Times New Roman" w:cs="Times New Roman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Times New Roman" w:hAnsi="Times New Roman" w:eastAsia="宋体" w:cs="Times New Roman"/>
                <w:lang w:val="en-US" w:eastAsia="zh-CN" w:bidi="ar"/>
              </w:rPr>
              <w:t>mg/L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  <w:jc w:val="center"/>
        </w:trPr>
        <w:tc>
          <w:tcPr>
            <w:tcW w:w="13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APS group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±0.03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±0.09</w:t>
            </w:r>
          </w:p>
        </w:tc>
        <w:tc>
          <w:tcPr>
            <w:tcW w:w="14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±0.02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group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±0.01</w:t>
            </w:r>
          </w:p>
        </w:tc>
        <w:tc>
          <w:tcPr>
            <w:tcW w:w="14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±0.06</w:t>
            </w:r>
          </w:p>
        </w:tc>
        <w:tc>
          <w:tcPr>
            <w:tcW w:w="14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±0.07</w:t>
            </w:r>
          </w:p>
        </w:tc>
      </w:tr>
    </w:tbl>
    <w:p>
      <w:pPr>
        <w:jc w:val="center"/>
        <w:rPr>
          <w:rFonts w:hint="eastAsia" w:ascii="Times New Roman" w:hAnsi="Times New Roman"/>
          <w:b/>
          <w:lang w:val="en-US" w:eastAsia="zh-CN"/>
        </w:rPr>
      </w:pPr>
    </w:p>
    <w:p>
      <w:pPr>
        <w:ind w:firstLine="964" w:firstLineChars="400"/>
        <w:rPr>
          <w:rFonts w:hint="eastAsia" w:ascii="Times New Roman" w:hAnsi="宋体"/>
          <w:b/>
          <w:bCs/>
          <w:color w:val="333333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Table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UA group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and APS group Cell survival rate</w:t>
      </w:r>
    </w:p>
    <w:p>
      <w:pPr>
        <w:jc w:val="center"/>
        <w:rPr>
          <w:rFonts w:hint="eastAsia" w:ascii="Times New Roman" w:hAnsi="宋体" w:eastAsia="宋体"/>
          <w:color w:val="333333"/>
          <w:lang w:eastAsia="zh-CN"/>
        </w:rPr>
      </w:pPr>
      <w:r>
        <w:rPr>
          <w:rFonts w:hint="eastAsia" w:ascii="Times New Roman" w:hAnsi="宋体"/>
          <w:b/>
          <w:bCs/>
          <w:color w:val="333333"/>
          <w:sz w:val="28"/>
          <w:szCs w:val="28"/>
          <w:lang w:val="en-US" w:eastAsia="zh-CN"/>
        </w:rPr>
        <w:t xml:space="preserve">Effect of UA and APS on Foam Cell Formation </w:t>
      </w:r>
      <w:r>
        <w:rPr>
          <w:rFonts w:hint="eastAsia" w:ascii="Times New Roman" w:hAnsi="宋体" w:eastAsia="宋体"/>
          <w:color w:val="333333"/>
          <w:lang w:eastAsia="zh-CN"/>
        </w:rPr>
        <w:drawing>
          <wp:inline distT="0" distB="0" distL="114300" distR="114300">
            <wp:extent cx="4384040" cy="2823845"/>
            <wp:effectExtent l="0" t="0" r="10160" b="8255"/>
            <wp:docPr id="2" name="图片 2" descr="Fig.1 Effect of UA and APS on Foam Cell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.1 Effect of UA and APS on Foam Cell Form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宋体"/>
          <w:lang w:val="en-US" w:eastAsia="zh-CN"/>
        </w:rPr>
      </w:pPr>
      <w:r>
        <w:rPr>
          <w:rFonts w:hint="eastAsia" w:ascii="Times New Roman" w:hAnsi="Times New Roman"/>
          <w:b/>
          <w:bCs/>
        </w:rPr>
        <w:t xml:space="preserve">Fig.1 </w:t>
      </w:r>
      <w:r>
        <w:rPr>
          <w:rFonts w:hint="eastAsia" w:ascii="Times New Roman" w:hAnsi="宋体"/>
          <w:b/>
          <w:bCs/>
          <w:color w:val="333333"/>
          <w:sz w:val="21"/>
          <w:szCs w:val="21"/>
          <w:lang w:val="en-US" w:eastAsia="zh-CN"/>
        </w:rPr>
        <w:t>Effect of UA and APS on Foam Cell Formation</w:t>
      </w:r>
    </w:p>
    <w:p/>
    <w:p>
      <w:pPr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t>Effect of ursolic acid (UA) and astragalus polysaccharides (APS) on the gene expression of SIRT1, PPARγ, NCoR and SMRT in macrophage-derived foam cells</w:t>
      </w:r>
    </w:p>
    <w:p>
      <w:pPr>
        <w:jc w:val="both"/>
        <w:rPr>
          <w:rFonts w:hint="eastAsia" w:ascii="Times New Roman" w:hAnsi="宋体"/>
          <w:b w:val="0"/>
          <w:bCs w:val="0"/>
          <w:color w:val="333333"/>
          <w:lang w:val="en-US" w:eastAsia="zh-CN"/>
        </w:rPr>
      </w:pPr>
    </w:p>
    <w:p>
      <w:pPr>
        <w:jc w:val="both"/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t xml:space="preserve"> A  </w:t>
      </w:r>
      <w:r>
        <w:rPr>
          <w:rFonts w:hint="eastAsia" w:ascii="Times New Roman" w:hAnsi="宋体"/>
          <w:b/>
          <w:bCs/>
          <w:color w:val="333333"/>
          <w:lang w:val="en-US" w:eastAsia="zh-CN"/>
        </w:rPr>
        <w:drawing>
          <wp:inline distT="0" distB="0" distL="114300" distR="114300">
            <wp:extent cx="2135505" cy="1922780"/>
            <wp:effectExtent l="0" t="0" r="10795" b="7620"/>
            <wp:docPr id="1" name="图片 1" descr="UA组基因表达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A组基因表达对比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宋体"/>
          <w:b/>
          <w:bCs/>
          <w:color w:val="333333"/>
          <w:lang w:val="en-US" w:eastAsia="zh-CN"/>
        </w:rPr>
        <w:t xml:space="preserve">         B</w:t>
      </w:r>
      <w:r>
        <w:rPr>
          <w:rFonts w:hint="eastAsia" w:ascii="Times New Roman" w:hAnsi="宋体"/>
          <w:b/>
          <w:bCs/>
          <w:color w:val="333333"/>
          <w:lang w:val="en-US" w:eastAsia="zh-CN"/>
        </w:rPr>
        <w:drawing>
          <wp:inline distT="0" distB="0" distL="114300" distR="114300">
            <wp:extent cx="2134870" cy="1897380"/>
            <wp:effectExtent l="0" t="0" r="11430" b="7620"/>
            <wp:docPr id="5" name="图片 5" descr="APS组蛋白表达对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PS组蛋白表达对比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宋体"/>
          <w:b/>
          <w:bCs/>
          <w:color w:val="333333"/>
          <w:lang w:val="en-US" w:eastAsia="zh-CN"/>
        </w:rPr>
      </w:pPr>
    </w:p>
    <w:p>
      <w:pPr>
        <w:jc w:val="center"/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drawing>
          <wp:inline distT="0" distB="0" distL="114300" distR="114300">
            <wp:extent cx="4439285" cy="2973705"/>
            <wp:effectExtent l="0" t="0" r="5715" b="10795"/>
            <wp:docPr id="3" name="图片 3" descr="截图2017110916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201711091650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宋体" w:eastAsia="宋体"/>
          <w:color w:val="333333"/>
          <w:lang w:val="en-US" w:eastAsia="zh-CN"/>
        </w:rPr>
      </w:pPr>
    </w:p>
    <w:p>
      <w:pPr>
        <w:jc w:val="both"/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color w:val="333333"/>
          <w:lang w:val="en-US" w:eastAsia="zh-CN"/>
        </w:rPr>
        <w:t xml:space="preserve">Fig.3 </w:t>
      </w:r>
      <w:r>
        <w:rPr>
          <w:rFonts w:hint="eastAsia" w:ascii="Times New Roman" w:hAnsi="宋体"/>
          <w:b/>
          <w:bCs/>
          <w:color w:val="333333"/>
          <w:lang w:val="en-US" w:eastAsia="zh-CN"/>
        </w:rPr>
        <w:t>Effect of ursolic acid (UA) and astragalus polysaccharides (APS) on the gene expression of SIRT1, PPARγ, NCoR and SMRT in macrophage-derived foam cells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Comparison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of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rsolic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cid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and Astragalus Polysacharin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on the expression of SIRT1mRNA in foam cells</w:t>
      </w:r>
    </w:p>
    <w:tbl>
      <w:tblPr>
        <w:tblStyle w:val="3"/>
        <w:tblW w:w="4455" w:type="dxa"/>
        <w:jc w:val="center"/>
        <w:tblInd w:w="1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UA group SIRT1mRNA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SIRT1mRNA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eastAsia="宋体"/>
                <w:lang w:val="en-US" w:eastAsia="zh-CN" w:bidi="ar"/>
              </w:rPr>
              <w:t>10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8.09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0.12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6"/>
                <w:rFonts w:eastAsia="宋体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Style w:val="6"/>
                <w:rFonts w:eastAsia="宋体"/>
                <w:lang w:val="en-US" w:eastAsia="zh-CN" w:bidi="ar"/>
              </w:rPr>
              <w:t>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12.13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4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0.25</w:t>
            </w:r>
          </w:p>
        </w:tc>
      </w:tr>
    </w:tbl>
    <w:p>
      <w:pPr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Comparison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of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rsolic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cid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and Astragalus Polysacharin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on the expression of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PPARγ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mRNA in foam cells</w:t>
      </w:r>
    </w:p>
    <w:tbl>
      <w:tblPr>
        <w:tblStyle w:val="3"/>
        <w:tblW w:w="44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PPARγmRNA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PPARγmRNA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 mg·L</w:t>
            </w:r>
            <w:r>
              <w:rPr>
                <w:rStyle w:val="7"/>
                <w:rFonts w:eastAsia="宋体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mg·L</w:t>
            </w:r>
            <w:r>
              <w:rPr>
                <w:rStyle w:val="7"/>
                <w:rFonts w:eastAsia="宋体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mg·L</w:t>
            </w:r>
            <w:r>
              <w:rPr>
                <w:rStyle w:val="7"/>
                <w:rFonts w:eastAsia="宋体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7.03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0.27</w:t>
            </w:r>
          </w:p>
        </w:tc>
      </w:tr>
    </w:tbl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Comparison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of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rsolic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cid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and Astragalus Polysacharin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on the expression of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NCoR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mRNA in foam cells</w:t>
      </w:r>
    </w:p>
    <w:tbl>
      <w:tblPr>
        <w:tblStyle w:val="3"/>
        <w:tblW w:w="4455" w:type="dxa"/>
        <w:jc w:val="center"/>
        <w:tblInd w:w="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NCoRmRNA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NCoRmRNA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0.15</w:t>
            </w:r>
          </w:p>
        </w:tc>
      </w:tr>
    </w:tbl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Comparison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of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rsolic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cid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and Astragalus Polysacharin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on the expression of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NCoR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mRNA in foam cells</w:t>
      </w:r>
    </w:p>
    <w:tbl>
      <w:tblPr>
        <w:tblStyle w:val="3"/>
        <w:tblW w:w="4455" w:type="dxa"/>
        <w:jc w:val="center"/>
        <w:tblInd w:w="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SMRTmRNA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SMRT mRNA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0.08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0.11</w:t>
            </w:r>
          </w:p>
        </w:tc>
      </w:tr>
    </w:tbl>
    <w:p>
      <w:pPr>
        <w:jc w:val="center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/>
    <w:p/>
    <w:p/>
    <w:p>
      <w:pPr>
        <w:numPr>
          <w:ilvl w:val="0"/>
          <w:numId w:val="0"/>
        </w:numPr>
        <w:jc w:val="center"/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t>Effect of ursolic acid (UA) and astragalus polysaccharides (APS) on the protein expressions of SIRT1, PPARγ, NCoR and SMRT in macrophage-derived foam cells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drawing>
          <wp:inline distT="0" distB="0" distL="114300" distR="114300">
            <wp:extent cx="1737360" cy="1722120"/>
            <wp:effectExtent l="0" t="0" r="2540" b="5080"/>
            <wp:docPr id="4" name="图片 4" descr="UA组蛋白表达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A组蛋白表达对比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宋体"/>
          <w:b/>
          <w:bCs/>
          <w:color w:val="333333"/>
          <w:lang w:val="en-US" w:eastAsia="zh-CN"/>
        </w:rPr>
        <w:t xml:space="preserve">  </w:t>
      </w:r>
      <w:r>
        <w:rPr>
          <w:rFonts w:hint="eastAsia" w:ascii="Times New Roman" w:hAnsi="宋体"/>
          <w:b/>
          <w:bCs/>
          <w:color w:val="333333"/>
          <w:lang w:val="en-US" w:eastAsia="zh-CN"/>
        </w:rPr>
        <w:drawing>
          <wp:inline distT="0" distB="0" distL="114300" distR="114300">
            <wp:extent cx="2023745" cy="1735455"/>
            <wp:effectExtent l="0" t="0" r="8255" b="4445"/>
            <wp:docPr id="6" name="图片 6" descr="APS组蛋白表达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PS组蛋白表达对比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Times New Roman" w:hAnsi="宋体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drawing>
          <wp:inline distT="0" distB="0" distL="114300" distR="114300">
            <wp:extent cx="2586355" cy="1717040"/>
            <wp:effectExtent l="0" t="0" r="4445" b="10160"/>
            <wp:docPr id="8" name="图片 8" descr="截图2017110920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201711092012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color w:val="333333"/>
          <w:lang w:val="en-US" w:eastAsia="zh-CN"/>
        </w:rPr>
      </w:pPr>
      <w:r>
        <w:rPr>
          <w:rFonts w:hint="eastAsia" w:ascii="Times New Roman" w:hAnsi="宋体"/>
          <w:b/>
          <w:bCs/>
          <w:color w:val="333333"/>
          <w:lang w:val="en-US" w:eastAsia="zh-CN"/>
        </w:rPr>
        <w:t>Fig.4 Effect of ursolic acid (UA) and astragalus polysaccharides (APS) on the protein expressions of SIRT1, PPARγ, NCoR and SMRT in macrophage-derived foam cells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b w:val="0"/>
          <w:bCs w:val="0"/>
          <w:color w:val="333333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Table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9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ascii="Times New Roman" w:hAnsi="Times New Roman"/>
          <w:b/>
        </w:rPr>
        <w:t>Effects of Ursolic Acid (UA) on the Expression of SIRT1Proteins in Macrophage-derived Foam Cells</w:t>
      </w:r>
    </w:p>
    <w:tbl>
      <w:tblPr>
        <w:tblStyle w:val="3"/>
        <w:tblW w:w="44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UA group SIRT1protein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 SIRT1protein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5.45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7.12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8.35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0.25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color w:val="333333"/>
          <w:lang w:val="en-US" w:eastAsia="zh-CN"/>
        </w:rPr>
      </w:pPr>
    </w:p>
    <w:p/>
    <w:p/>
    <w:p>
      <w:pPr>
        <w:numPr>
          <w:ilvl w:val="0"/>
          <w:numId w:val="0"/>
        </w:numPr>
        <w:jc w:val="center"/>
        <w:rPr>
          <w:rFonts w:ascii="Times New Roman" w:hAnsi="Times New Roman"/>
          <w:b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Table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10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ascii="Times New Roman" w:hAnsi="Times New Roman"/>
          <w:b/>
        </w:rPr>
        <w:t xml:space="preserve">Effects of Ursolic Acid (UA) on the Expression of </w:t>
      </w:r>
      <w:r>
        <w:rPr>
          <w:rFonts w:hint="eastAsia" w:ascii="Times New Roman" w:hAnsi="Times New Roman"/>
          <w:b/>
          <w:lang w:val="en-US" w:eastAsia="zh-CN"/>
        </w:rPr>
        <w:t>PPARγ</w:t>
      </w:r>
      <w:r>
        <w:rPr>
          <w:rFonts w:ascii="Times New Roman" w:hAnsi="Times New Roman"/>
          <w:b/>
        </w:rPr>
        <w:t>Proteins in Macrophage-derived Foam Cells</w:t>
      </w:r>
    </w:p>
    <w:tbl>
      <w:tblPr>
        <w:tblStyle w:val="3"/>
        <w:tblW w:w="4455" w:type="dxa"/>
        <w:jc w:val="center"/>
        <w:tblInd w:w="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PPARγprotein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PPARγprotein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1.87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2.46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0.54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Times New Roman" w:hAnsi="Times New Roman"/>
          <w:b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ascii="Times New Roman" w:hAnsi="Times New Roman"/>
          <w:b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Table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11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.</w:t>
      </w:r>
      <w:r>
        <w:rPr>
          <w:rFonts w:ascii="Times New Roman" w:hAnsi="Times New Roman"/>
          <w:b/>
        </w:rPr>
        <w:t xml:space="preserve">Effects of Ursolic Acid (UA) on the Expression of </w:t>
      </w:r>
      <w:r>
        <w:rPr>
          <w:rFonts w:hint="eastAsia" w:ascii="Times New Roman" w:hAnsi="Times New Roman"/>
          <w:b/>
          <w:lang w:val="en-US" w:eastAsia="zh-CN"/>
        </w:rPr>
        <w:t xml:space="preserve">NCoR </w:t>
      </w:r>
      <w:r>
        <w:rPr>
          <w:rFonts w:ascii="Times New Roman" w:hAnsi="Times New Roman"/>
          <w:b/>
        </w:rPr>
        <w:t>Proteins in Macrophage-derived Foam Cells</w:t>
      </w:r>
    </w:p>
    <w:tbl>
      <w:tblPr>
        <w:tblStyle w:val="3"/>
        <w:tblW w:w="4455" w:type="dxa"/>
        <w:jc w:val="center"/>
        <w:tblInd w:w="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485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NCoR protein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APS group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NCoRprotein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0.08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mg·L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vertAlign w:val="superscript"/>
                <w:lang w:val="en-US" w:eastAsia="zh-CN" w:bidi="ar"/>
              </w:rPr>
              <w:t>-1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±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0.15</w:t>
            </w:r>
          </w:p>
        </w:tc>
      </w:tr>
    </w:tbl>
    <w:p>
      <w:pPr>
        <w:numPr>
          <w:ilvl w:val="0"/>
          <w:numId w:val="0"/>
        </w:numPr>
        <w:jc w:val="center"/>
        <w:rPr>
          <w:rFonts w:ascii="Times New Roman" w:hAnsi="Times New Roman"/>
          <w:b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b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b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 xml:space="preserve">                                                Nov.12 ,2017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E6B2E"/>
    <w:rsid w:val="18DE6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">
    <w:name w:val="font01"/>
    <w:basedOn w:val="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perscript"/>
    </w:rPr>
  </w:style>
  <w:style w:type="character" w:customStyle="1" w:styleId="6">
    <w:name w:val="font2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4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2017-11-15T14:24:00Z</dcterms:created>
  <dc:creator>wangbo</dc:creator>
  <cp:lastModifiedBy>wangbo</cp:lastModifiedBy>
  <dcterms:modified xsi:type="dcterms:W3CDTF">2017-11-15T14:33:11Z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