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C5B7" w14:textId="77777777" w:rsidR="002007FF" w:rsidRPr="000B16E0" w:rsidRDefault="00B06652">
      <w:pPr>
        <w:pStyle w:val="KTHTitel"/>
        <w:keepNext w:val="true"/>
      </w:pPr>
      <w:r>
        <w:t>Actor-Agnostic Persistent Object Memory for Hidden-Object Localization</w:t>
      </w:r>
    </w:p>
    <w:p w14:paraId="3F78CF87" w14:textId="77777777" w:rsidR="002007FF" w:rsidRPr="000B16E0" w:rsidRDefault="00B06652">
      <w:pPr>
        <w:pStyle w:val="Unnumberedheading1"/>
        <w:rPr>
          <w:rFonts w:ascii="Aptos" w:hAnsi="Aptos"/>
          <w:sz w:val="28"/>
          <w:lang w:val="en-US"/>
        </w:rPr>
        <w:keepNext w:val="true"/>
      </w:pPr>
      <w:r w:rsidRPr="000B16E0">
        <w:rPr>
          <w:rFonts w:ascii="Aptos" w:hAnsi="Aptos"/>
          <w:sz w:val="28"/>
          <w:lang w:val="en-US"/>
        </w:rPr>
        <w:t>Authors</w:t>
      </w:r>
    </w:p>
    <w:p w14:paraId="18BE43EA" w14:textId="77777777" w:rsidR="002007FF" w:rsidRPr="000B16E0" w:rsidRDefault="00B06652">
      <w:pPr>
        <w:pStyle w:val="BodyText"/>
      </w:pPr>
      <w:r>
        <w:t>Haonan Yin &lt;haonany@kth.se&gt;</w:t>
      </w:r>
    </w:p>
    <w:p w14:paraId="564021A0" w14:textId="77777777" w:rsidR="002007FF" w:rsidRPr="00441CDF" w:rsidRDefault="00B06652">
      <w:pPr>
        <w:rPr>
          <w:lang w:val="de-DE"/>
        </w:rPr>
        <w:pStyle w:val="BodyText"/>
      </w:pPr>
      <w:r w:rsidRPr="00441CDF">
        <w:rPr>
          <w:lang w:val="de-DE"/>
        </w:rPr>
        <w:t>Joris Köster &lt;jorisk@kth.se&gt;</w:t>
      </w:r>
    </w:p>
    <w:p w14:paraId="22869845" w14:textId="77777777" w:rsidR="002007FF" w:rsidRPr="00441CDF" w:rsidRDefault="00B06652">
      <w:pPr>
        <w:pStyle w:val="Unnumberedheading1"/>
        <w:rPr>
          <w:rFonts w:ascii="Aptos" w:hAnsi="Aptos"/>
          <w:sz w:val="28"/>
          <w:lang w:val="de-DE"/>
        </w:rPr>
        <w:keepNext w:val="true"/>
      </w:pPr>
      <w:r w:rsidRPr="00441CDF">
        <w:rPr>
          <w:rFonts w:ascii="Aptos" w:hAnsi="Aptos"/>
          <w:sz w:val="28"/>
          <w:lang w:val="de-DE"/>
        </w:rPr>
        <w:t>Abstract</w:t>
      </w:r>
    </w:p>
    <w:p w14:paraId="208C55BA" w14:textId="425CDA80" w:rsidR="002007FF" w:rsidRPr="00441CDF" w:rsidRDefault="00441CDF">
      <w:pPr>
        <w:pStyle w:val="BodyText"/>
      </w:pPr>
      <w:r>
        <w:t>Vision-language-action systems often rely on current observations or short-term visual history. This limits their ability when working in changing environments over longer time horizons. A specific problem is the possibility of targets becoming hidden between episodes. This project will investigate the effectiveness of different hidden-object memory methods which can keep track of objects within scenes and the parent containers they may become hidden in. The study will compare current-only and keyframe baselines with persistent 2D and VGGT-grounded 3D memory systems in controlled simulated tabletop environments. The systems will be evaluated using matched trials to compare the performance of each system. The study aims to determine when explicit persistent memory and 3D spatial grounding provide an advantage over simple keyframe-based methods. First-choice container accuracy, success-rate differences, and uncertainty intervals will be reported. The study will evaluate the memory component as a foundation for future robotic retrieval.</w:t>
      </w:r>
    </w:p>
    <w:p w14:paraId="14344F06" w14:textId="77777777" w:rsidR="002007FF" w:rsidRPr="000B16E0" w:rsidRDefault="00B06652">
      <w:pPr>
        <w:pStyle w:val="Heading1"/>
        <w:rPr>
          <w:rFonts w:ascii="Aptos" w:hAnsi="Aptos"/>
          <w:sz w:val="28"/>
          <w:lang w:val="en-US"/>
        </w:rPr>
        <w:keepNext w:val="true"/>
      </w:pPr>
      <w:r w:rsidRPr="000B16E0">
        <w:rPr>
          <w:rFonts w:ascii="Aptos" w:hAnsi="Aptos"/>
          <w:sz w:val="28"/>
          <w:lang w:val="en-US"/>
        </w:rPr>
        <w:t>Introduction</w:t>
      </w:r>
    </w:p>
    <w:p w14:paraId="6BD08BBC" w14:textId="77777777" w:rsidR="002007FF" w:rsidRPr="000B16E0" w:rsidRDefault="00B06652">
      <w:pPr>
        <w:pStyle w:val="Heading2"/>
        <w:rPr>
          <w:rFonts w:ascii="Aptos" w:hAnsi="Aptos"/>
          <w:lang w:val="en-US"/>
        </w:rPr>
        <w:keepNext w:val="true"/>
      </w:pPr>
      <w:r w:rsidRPr="000B16E0">
        <w:rPr>
          <w:rFonts w:ascii="Aptos" w:hAnsi="Aptos"/>
          <w:lang w:val="en-US"/>
        </w:rPr>
        <w:t>Background and Rationale</w:t>
      </w:r>
    </w:p>
    <w:p w14:paraId="66277432" w14:textId="77777777" w:rsidR="002007FF" w:rsidRPr="000B16E0" w:rsidRDefault="00B06652" w:rsidP="007241C8">
      <w:pPr>
        <w:pStyle w:val="BodyText"/>
      </w:pPr>
      <w:r>
        <w:t>Vision-language-action (VLA) policies map visual observations and language instructions to robot actions, promising general-purpose controllers [1]. Many of these policies mainly rely on current observations or a short history. This limits their capability in situations of partial observability. Consider a situation where an apple was placed in a drawer during one episode and the apple needs to be put on a plate during a following episode. An object which has been visible during one episode may become hidden throughout another episode. We argue that a memory to tackle this should be built from observations rather than privileged access to the robot’s own actions, as such a task may also be performed by a person or another agent.</w:t>
      </w:r>
    </w:p>
    <w:p w14:paraId="7DC571B4" w14:textId="77777777" w:rsidR="002007FF" w:rsidRPr="000B16E0" w:rsidRDefault="00B06652">
      <w:pPr>
        <w:pStyle w:val="Heading2"/>
        <w:rPr>
          <w:rFonts w:ascii="Aptos" w:hAnsi="Aptos"/>
          <w:lang w:val="en-US"/>
        </w:rPr>
        <w:keepNext w:val="true"/>
      </w:pPr>
      <w:r w:rsidRPr="000B16E0">
        <w:rPr>
          <w:rFonts w:ascii="Aptos" w:hAnsi="Aptos"/>
          <w:lang w:val="en-US"/>
        </w:rPr>
        <w:t>Theory and Related Work</w:t>
      </w:r>
    </w:p>
    <w:p w14:paraId="2B0E2540" w14:textId="77777777" w:rsidR="001C76F6" w:rsidRDefault="001C76F6" w:rsidP="001C76F6">
      <w:pPr>
        <w:pStyle w:val="BodyText"/>
      </w:pPr>
      <w:r>
        <w:t>Recent work has introduced different methods of providing VLAs with more detailed spatial representations of the environment. VGGT can estimate camera parameters, depth and 3D point clouds from monocular camera images [2]. SpatialVLA adds spatial representations to a VLA [3]. 3D-Mix directly injects VGGT spatial features into VLA architectures and reports improved task performance [4]. These methods provide the VLA with a spatial representation of the environment, but do not by themselves establish how hidden targets can be localized across episodes.</w:t>
      </w:r>
    </w:p>
    <w:p w14:paraId="58B7D713" w14:textId="77777777" w:rsidR="001C76F6" w:rsidRDefault="001C76F6" w:rsidP="001C76F6">
      <w:pPr>
        <w:pStyle w:val="BodyText"/>
      </w:pPr>
      <w:r>
        <w:t>VGGT has also already been used to construct spatial memories for VLA models. SOMA builds a semantic memory using multi-view observations for out-of-vision manipulation and updates it during interaction [5]. FOUND-IT uses VGGT-SLAM 2.0 to build a task-driven hierarchical 3D scene graph using monocular observations, maintaining a keyframe-indexed visual memory of the environment [6]. SceneVGGT builds temporally coherent semantic maps with persistent object identities and detects when objects change [7]. These systems show that spatial scene memory can be built using a monocular camera and VGGT as a source of geometric estimates.</w:t>
      </w:r>
    </w:p>
    <w:p w14:paraId="4D13FC96" w14:textId="77777777" w:rsidR="001C76F6" w:rsidRDefault="001C76F6" w:rsidP="001C76F6">
      <w:pPr>
        <w:pStyle w:val="BodyText"/>
      </w:pPr>
      <w:r>
        <w:t>Furthermore, several systems show that persistent object memory can be built without utilizing VGGT. Embodied VideoAgent stores object identities, states, relations and 3D bounding boxes using egocentric video combined with depth and camera poses [8]. GESTO, partly developed here at KTH, constructs a persistent scene graph and hierarchical memory of observed human–object interactions from RGB-D video streams but evaluates question answering based on the memory rather than robot manipulation [9].</w:t>
      </w:r>
    </w:p>
    <w:p w14:paraId="37E44B7E" w14:textId="04C322A0" w:rsidR="002007FF" w:rsidRPr="000B16E0" w:rsidRDefault="001C76F6" w:rsidP="001C76F6">
      <w:pPr>
        <w:pStyle w:val="BodyText"/>
      </w:pPr>
      <w:r>
        <w:t>Combining these studies, we find that most of the individual components needed to achieve the proposed idea are covered. We will investigate a narrow problem: an observation-driven, action-independent memory built from monocular RGB inputs to keep track of observed containment events, which persists across task episodes. The system should be able to locate objects contained in their visible parent containers. In this project VGGT enables the construction of a 3D scene representation for such a memory, while the research contribution is the controlled study of actor-agnostic, persistent containment memory. Here, actor-agnostic refers to the absence of actor-specific action logs, rather than demonstrated generalization to arbitrary actors or events.</w:t>
      </w:r>
    </w:p>
    <w:p w14:paraId="4C30E329" w14:textId="77777777" w:rsidR="002007FF" w:rsidRPr="000B16E0" w:rsidRDefault="00B06652">
      <w:pPr>
        <w:pStyle w:val="Heading2"/>
        <w:rPr>
          <w:rFonts w:ascii="Aptos" w:hAnsi="Aptos"/>
          <w:lang w:val="en-US"/>
        </w:rPr>
        <w:keepNext w:val="true"/>
      </w:pPr>
      <w:r w:rsidRPr="000B16E0">
        <w:rPr>
          <w:rFonts w:ascii="Aptos" w:hAnsi="Aptos"/>
          <w:lang w:val="en-US"/>
        </w:rPr>
        <w:t>Research Problem, Aim, and Research Questions</w:t>
      </w:r>
    </w:p>
    <w:p w14:paraId="095AC35F" w14:textId="77777777" w:rsidR="002007FF" w:rsidRPr="000B16E0" w:rsidRDefault="00B06652" w:rsidP="007241C8">
      <w:pPr>
        <w:pStyle w:val="BodyText"/>
      </w:pPr>
      <w:r>
        <w:t>The research problem is to evaluate a memory system which maintains an actionable belief state about occluded objects within the scene. Without reliable spatial association, a belief state can become insufficient for localization over time if, for example, the container moves. Current observations can update the position of a visible container but do not by themselves identify which specific container holds a hidden target. The memory would still not reliably detect a manipulation, such as removal of an apple, that happens outside the observed area. Such unobserved changes will remain outside the scope of the study.</w:t>
      </w:r>
    </w:p>
    <w:p w14:paraId="7A05B933" w14:textId="77777777" w:rsidR="00AB1A7D" w:rsidRDefault="00000000">
      <w:pPr>
        <w:pStyle w:val="BodyText"/>
      </w:pPr>
      <w:r>
        <w:t>We aim to understand whether a policy-independent, containment-aware memory built from monocular observations can provide a foundation for hidden-object retrieval across multiple episode rollouts. We further want to test whether VGGT-based spatial grounding adds value beyond 2D or keyframe memory when the camera or containers move. The present evaluation will focus on identifying the correct container, rather than physical retrieval or VLA control.</w:t>
      </w:r>
    </w:p>
    <w:p w14:paraId="489EC161" w14:textId="77777777" w:rsidR="00AB1A7D" w:rsidRDefault="00000000">
      <w:pPr>
        <w:pStyle w:val="BodyText"/>
      </w:pPr>
      <w:r>
        <w:t>RQ1: Does an observation-driven containment memory improve the identification of correct containers holding hidden objects across task episodes compared to systems that only utilize current or historical RGB frames?</w:t>
      </w:r>
    </w:p>
    <w:p w14:paraId="0D6D76CA" w14:textId="77777777" w:rsidR="00AB1A7D" w:rsidRDefault="00000000">
      <w:pPr>
        <w:pStyle w:val="BodyText"/>
      </w:pPr>
      <w:r>
        <w:t>RQ2: Does VGGT-based geometric grounding improve the identification of correct containers holding hidden objects across task episodes compared to a matched 2D memory when the camera viewpoint or the position of a container changes between episodes?</w:t>
      </w:r>
    </w:p>
    <w:p w14:paraId="3B72E0F9" w14:textId="77777777" w:rsidR="00AB1A7D" w:rsidRDefault="00000000">
      <w:pPr>
        <w:pStyle w:val="BodyText"/>
      </w:pPr>
      <w:r>
        <w:t>Our hypotheses are that explicit memory tracking containment of objects will improve container identification in situations where the target object is fully hidden (H1). Furthermore, the benefit of VGGT grounding over 2D memory will be greater under changing viewpoints than under fixed views (H2). The project as stated will not claim a new architecture but evaluate the combination of the technologies above in defined cross-episode containment settings.</w:t>
      </w:r>
    </w:p>
    <w:p w14:paraId="3B72E0F9" w14:textId="77777777" w:rsidR="00AB1A7D" w:rsidRDefault="00000000">
      <w:pPr>
        <w:pStyle w:val="BodyText"/>
      </w:pPr>
      <w:r>
        <w:t>Our objectives are to establish a reproducible simulation setup, implement the RGB perception pipeline and non-geometric memories, complete the geometry pilot and fix the evaluation protocol, and carry out the matched evaluation and analysis. The results will then be prepared for the final report.</w:t>
      </w:r>
    </w:p>
    <w:p w14:paraId="412D9623" w14:textId="77777777" w:rsidR="002007FF" w:rsidRPr="000B16E0" w:rsidRDefault="00062943">
      <w:pPr>
        <w:pStyle w:val="Heading1"/>
        <w:rPr>
          <w:rFonts w:ascii="Aptos" w:hAnsi="Aptos"/>
          <w:sz w:val="28"/>
          <w:lang w:val="en-US"/>
        </w:rPr>
        <w:keepNext w:val="true"/>
      </w:pPr>
      <w:r w:rsidRPr="000B16E0">
        <w:rPr>
          <w:rFonts w:ascii="Aptos" w:hAnsi="Aptos"/>
          <w:sz w:val="28"/>
          <w:lang w:val="en-US"/>
        </w:rPr>
        <w:t xml:space="preserve">Research </w:t>
      </w:r>
      <w:r w:rsidR="00B06652" w:rsidRPr="000B16E0">
        <w:rPr>
          <w:rFonts w:ascii="Aptos" w:hAnsi="Aptos"/>
          <w:sz w:val="28"/>
          <w:lang w:val="en-US"/>
        </w:rPr>
        <w:t>Method</w:t>
      </w:r>
    </w:p>
    <w:p w14:paraId="5BD99945" w14:textId="77777777" w:rsidR="002007FF" w:rsidRPr="000B16E0" w:rsidRDefault="00B06652">
      <w:pPr>
        <w:pStyle w:val="Heading2"/>
        <w:rPr>
          <w:rFonts w:ascii="Aptos" w:hAnsi="Aptos"/>
          <w:lang w:val="en-US"/>
        </w:rPr>
        <w:keepNext w:val="true"/>
      </w:pPr>
      <w:r w:rsidRPr="000B16E0">
        <w:rPr>
          <w:rFonts w:ascii="Aptos" w:hAnsi="Aptos"/>
          <w:lang w:val="en-US"/>
        </w:rPr>
        <w:t>Research Design and Methodological Rationale</w:t>
      </w:r>
    </w:p>
    <w:p w14:paraId="4FEBB70C" w14:textId="77777777" w:rsidR="002007FF" w:rsidRPr="000B16E0" w:rsidRDefault="00B06652" w:rsidP="007241C8">
      <w:pPr>
        <w:pStyle w:val="BodyText"/>
      </w:pPr>
      <w:r>
        <w:t>This study will use a quantitative evaluation using sets of follow-up tasks in a shared tabletop environment. During the first episode, an object visible in the scene will be placed by a scripted external actor in a randomly selected target container, or a scripted robot controller will place the object into one. The container will then be closed or covered in the same episode. Only RGB observations of the scene are provided to the memory module, as well as a signal at the end of the task. In a second episode, the memory persists and the system is tasked to identify the container holding the target.</w:t>
      </w:r>
    </w:p>
    <w:p w14:paraId="20DA1895" w14:textId="77777777" w:rsidR="00AB1A7D" w:rsidRDefault="00000000">
      <w:pPr>
        <w:pStyle w:val="BodyText"/>
      </w:pPr>
      <w:r>
        <w:t>We are choosing to start in simulation environments as they allow us to control camera motion, occlusion, object identities and external interventions in a repeatable manner while being able to access ground truth for evaluation. The main experiment will be designed to compare four matched conditions:</w:t>
      </w:r>
    </w:p>
    <w:p w14:paraId="69EDE212" w14:textId="77777777" w:rsidR="00AB1A7D" w:rsidRDefault="00000000">
      <w:pPr>
        <w:pStyle w:val="BodyText"/>
      </w:pPr>
      <w:r>
        <w:t>1. Current-only: The query model can only access the current RGB observation during container identification.</w:t>
      </w:r>
    </w:p>
    <w:p w14:paraId="6606B37D" w14:textId="77777777" w:rsidR="00AB1A7D" w:rsidRDefault="00000000">
      <w:pPr>
        <w:pStyle w:val="BodyText"/>
      </w:pPr>
      <w:r>
        <w:t>2. Keyframe memory: Relevant earlier RGB frames are provided without any explicit object graph.</w:t>
      </w:r>
    </w:p>
    <w:p w14:paraId="2A20B248" w14:textId="77777777" w:rsidR="00AB1A7D" w:rsidRDefault="00000000">
      <w:pPr>
        <w:pStyle w:val="BodyText"/>
      </w:pPr>
      <w:r>
        <w:t>3. 2D containment memory: Persistent object identities and containment relations are provided, but container matching must follow image-space observations.</w:t>
      </w:r>
    </w:p>
    <w:p w14:paraId="43642EE6" w14:textId="77777777" w:rsidR="00AB1A7D" w:rsidRDefault="00000000">
      <w:pPr>
        <w:pStyle w:val="BodyText"/>
      </w:pPr>
      <w:r>
        <w:t>4. VGGT containment memory: The same graph and update rules are used, but the scene is spatially grounded in a common 3D frame through VGGT.</w:t>
      </w:r>
    </w:p>
    <w:p w14:paraId="756816FA" w14:textId="77777777" w:rsidR="00AB1A7D" w:rsidRDefault="00000000">
      <w:pPr>
        <w:pStyle w:val="BodyText"/>
      </w:pPr>
      <w:r>
        <w:t>A further oracle baseline using simulation data may be included as a reference if VGGT does not work as expected. This baseline will be reported separately and will not replace evidence about VGGT-based grounding. The memory built will be independent of the downstream VLA. Objects will be stored with persistent identifiers, appearance features, a last supporting observation and an association confidence score. When hidden inside a container, the object should receive a parent relation to the container. When a visible container moves or is reidentified, the memory updates the parent pose while preserving the child belief.</w:t>
      </w:r>
    </w:p>
    <w:p w14:paraId="03AE22CF" w14:textId="25D0A5B0" w:rsidR="001C76F6" w:rsidRDefault="001C76F6">
      <w:pPr>
        <w:pStyle w:val="BodyText"/>
      </w:pPr>
      <w:r>
        <w:t>Using a controlled simulated setup allows us to directly compare the performance of the proposed memory conditions in a repeatable manner. As an alternative to evaluating system performance in a simulated environment, prerecorded videos of manipulating objects and hiding them in boxes could be used as well, but this would require additional annotation to provide ground-truth data. The same limitation applies to real robot rollouts, which further introduce a risk of slight scene differences between rollouts, creating an extra source of error. As the study is conducted under quite strict time constraints, it may be necessary to reduce the number of different memory systems to compare. In such a case, the keyframe baseline should be compared to the 2D memory system, with the scope revised with the mentor. RQ2 will only be answered if both the 2D and VGGT systems are evaluated.</w:t>
      </w:r>
    </w:p>
    <w:p w14:paraId="4CF5456F" w14:textId="557A6DDB" w:rsidR="00EC3507" w:rsidRDefault="00EC3507">
      <w:pPr>
        <w:pStyle w:val="BodyText"/>
      </w:pPr>
      <w:r>
        <w:t>For the experiment to work, we assume that we can modify an existing simulation environment in a way that allows us to run the experiment reliably. It is further important that the VGGT scene representations are reliable enough to support spatial grounding. These assumptions will be checked in pilot experiments before the final protocol is fixed.</w:t>
      </w:r>
    </w:p>
    <w:p w14:paraId="35466477" w14:textId="77777777" w:rsidR="002007FF" w:rsidRPr="000B16E0" w:rsidRDefault="00B06652">
      <w:pPr>
        <w:pStyle w:val="Heading2"/>
        <w:rPr>
          <w:rFonts w:ascii="Aptos" w:hAnsi="Aptos"/>
          <w:lang w:val="en-US"/>
        </w:rPr>
        <w:keepNext w:val="true"/>
      </w:pPr>
      <w:r w:rsidRPr="000B16E0">
        <w:rPr>
          <w:rFonts w:ascii="Aptos" w:hAnsi="Aptos"/>
          <w:lang w:val="en-US"/>
        </w:rPr>
        <w:t>Data, Materials, Participants, or Other Sources</w:t>
      </w:r>
    </w:p>
    <w:p w14:paraId="6942327D" w14:textId="77777777" w:rsidR="002007FF" w:rsidRPr="000B16E0" w:rsidRDefault="00B06652" w:rsidP="007241C8">
      <w:pPr>
        <w:pStyle w:val="BodyText"/>
      </w:pPr>
      <w:r>
        <w:t>The primary simulation environment will be selected from LIBERO and RoboCasa, although this requires further investigation at this point. The selection criteria will be the number of suitable consecutive tasks available, scenes containing multiple containers or covers, and the controllability of camera poses. Two or three tabletop scenarios will be constructed including a target object and two or more containers plus distractor objects. The container count will remain fixed within each scenario, with balanced target assignments. Placement will be observable, and the target will be fully hidden at query time.</w:t>
      </w:r>
    </w:p>
    <w:p w14:paraId="2B97CBB0" w14:textId="77777777" w:rsidR="00AB1A7D" w:rsidRDefault="00000000">
      <w:pPr>
        <w:pStyle w:val="BodyText"/>
      </w:pPr>
      <w:r>
        <w:t>The RGB perception pipeline will use pretrained open-vocabulary detection or prompt-based segmentation combined with tracking over time. For constructing the geometric memory, short camera sweeps starting from the main camera position will be acquired before placement and after camera or container movement, with objects stationary during each sweep. We expect this to be necessary to reliably use VGGT as a source of geometry. All conditions will use the same query model and selection instructions. The current-only baseline will receive the final RGB image; the keyframe baseline will additionally receive selected earlier frames covering placement and motion. We will initially use up to five keyframes to keep the visual input and inference cost manageable. This provisional limit has not yet been validated. Pilot experiments will check whether these frames adequately capture placement and subsequent motion, and the limit will be adjusted if necessary before the final evaluation. The explicit-memory conditions will receive the final image and their stored object relations. The frame-selection rule and query settings will be fixed before testing.</w:t>
      </w:r>
    </w:p>
    <w:p w14:paraId="796DF673" w14:textId="77777777" w:rsidR="00AB1A7D" w:rsidRDefault="00000000">
      <w:pPr>
        <w:pStyle w:val="BodyText"/>
      </w:pPr>
      <w:r>
        <w:t>Over time VGGT will reconstruct the static background and visible containers. Dynamic actors and objects will be masked from the background where possible and tracked separately. Stored earlier frames and new frames obtained during every sweep will be used to continuously update the scene. Local reconstructions will be aligned using shared static-background observations, excluding moving objects from the alignment. To consistently associate the containers, appearance similarity, semantic class and, in the VGGT condition, geometric agreement will be evaluated between updates. Containment of a target object will be detected based on its observed entry into a container, followed by disappearance when the container is closed or covered.</w:t>
      </w:r>
    </w:p>
    <w:p w14:paraId="0A949FFA" w14:textId="77777777" w:rsidR="00AB1A7D" w:rsidRDefault="00000000">
      <w:pPr>
        <w:pStyle w:val="BodyText"/>
      </w:pPr>
      <w:r>
        <w:t>The motion conditions will keep both the camera and containers fixed, change only the camera viewpoint, move or rearrange only the containers, or change both. The planned evaluation comprises 30 matched trials per motion condition for each system, distributed across the two or three tabletop scenarios, with different placement and motion seeds. This gives 120 test recordings and 480 evaluations across the four systems. The trial count may be increased to 50 per motion condition if resources permit; it will be fixed before testing begins. Pilot recordings will be kept separate from the final test set. No human participants or personal data will be used. We expect to use existing KTH computing resources and pretrained models without purchasing additional hardware; relevant software and model licences will be checked before use.</w:t>
      </w:r>
    </w:p>
    <w:p w14:paraId="02C9F997" w14:textId="77777777" w:rsidR="002007FF" w:rsidRPr="000B16E0" w:rsidRDefault="009208B4">
      <w:pPr>
        <w:pStyle w:val="Heading2"/>
        <w:rPr>
          <w:rFonts w:ascii="Aptos" w:hAnsi="Aptos"/>
          <w:lang w:val="en-US"/>
        </w:rPr>
        <w:keepNext w:val="true"/>
      </w:pPr>
      <w:r w:rsidRPr="000B16E0">
        <w:rPr>
          <w:rFonts w:ascii="Aptos" w:hAnsi="Aptos"/>
          <w:lang w:val="en-US"/>
        </w:rPr>
        <w:t xml:space="preserve">Work </w:t>
      </w:r>
      <w:r w:rsidR="00B06652" w:rsidRPr="000B16E0">
        <w:rPr>
          <w:rFonts w:ascii="Aptos" w:hAnsi="Aptos"/>
          <w:lang w:val="en-US"/>
        </w:rPr>
        <w:t>Procedure and Data Collection</w:t>
      </w:r>
    </w:p>
    <w:p w14:paraId="4760CF9E" w14:textId="77777777" w:rsidR="002007FF" w:rsidRPr="000B16E0" w:rsidRDefault="00B06652" w:rsidP="007241C8">
      <w:pPr>
        <w:pStyle w:val="BodyText"/>
      </w:pPr>
      <w:r>
        <w:t>As a first step we will create a minimal setup with two successive task episodes. The first will hide the target object; the second will query its parent container. The first one therefore can be fully scripted. This ensures that query success depends on identifying the correct container in the second episode. In the next step RGB object detection, tracking and relevant frame logging will replace oracle perception. Third, the 2D graph will be implemented and verified. Lastly, VGGT reconstruction and cross-episode association will be implemented using short repeated scene sweeps. Simulator identities, poses, depth and containment labels will only be used for development diagnostics and scoring, not as inputs to the RGB systems during testing.</w:t>
      </w:r>
    </w:p>
    <w:p w14:paraId="6809B657" w14:textId="77777777" w:rsidR="00AB1A7D" w:rsidRDefault="00000000">
      <w:pPr>
        <w:pStyle w:val="BodyText"/>
      </w:pPr>
      <w:r>
        <w:t>For each object being observed, the system will store a record containing its ID, class, appearance, parent, relation, visibility, timestamp and association confidence score. Targets inferred to be hidden will be marked as hidden in memory and associated with the container. Confidence is dependent on the expected location and agreement of evidence. The containment relation will be retained while the parent container can be reliably tracked. If the parent cannot be reidentified or the relation becomes ambiguous, the state of the object will become unknown.</w:t>
      </w:r>
    </w:p>
    <w:p w14:paraId="57A50E8E" w14:textId="1F06F5E1" w:rsidR="00AB1A7D" w:rsidRDefault="00000000">
      <w:pPr>
        <w:pStyle w:val="BodyText"/>
      </w:pPr>
      <w:r>
        <w:t>All decisions of the memory system are going to be logged and compared to ground truth. The task boundary will reset the temporary query context while the scene state and memory remain persistent across both episodes. Both the scene and memory will be reset before each new independent trial.</w:t>
      </w:r>
    </w:p>
    <w:p w14:paraId="722C4D73" w14:textId="77777777" w:rsidR="002007FF" w:rsidRPr="000B16E0" w:rsidRDefault="00B06652">
      <w:pPr>
        <w:pStyle w:val="Heading2"/>
        <w:rPr>
          <w:rFonts w:ascii="Aptos" w:hAnsi="Aptos"/>
          <w:lang w:val="en-US"/>
        </w:rPr>
        <w:keepNext w:val="true"/>
      </w:pPr>
      <w:r w:rsidRPr="000B16E0">
        <w:rPr>
          <w:rFonts w:ascii="Aptos" w:hAnsi="Aptos"/>
          <w:lang w:val="en-US"/>
        </w:rPr>
        <w:t>Data Analysis</w:t>
      </w:r>
      <w:r w:rsidR="008E763F" w:rsidRPr="000B16E0">
        <w:rPr>
          <w:rFonts w:ascii="Aptos" w:hAnsi="Aptos"/>
          <w:lang w:val="en-US"/>
        </w:rPr>
        <w:t xml:space="preserve"> and Quality Assurance</w:t>
      </w:r>
    </w:p>
    <w:p w14:paraId="3FA82650" w14:textId="77777777" w:rsidR="002007FF" w:rsidRPr="007241C8" w:rsidRDefault="00B06652" w:rsidP="007241C8">
      <w:pPr>
        <w:pStyle w:val="BodyText"/>
      </w:pPr>
      <w:r>
        <w:t>RQ1 will compare first-choice container accuracy across current-only, keyframe, and explicit containment memories. The success-rate differences will be reported. Unknown responses and processing failures will count as unsuccessful trials and will also be reported separately. Paired differences and 95% confidence intervals will be calculated by resampling independent trial seeds. If ranked outputs are available, the rank of the correct container will give an indication of query efficiency.</w:t>
      </w:r>
    </w:p>
    <w:p w14:paraId="30D29458" w14:textId="77777777" w:rsidR="00AB1A7D" w:rsidRDefault="00000000">
      <w:pPr>
        <w:pStyle w:val="BodyText"/>
      </w:pPr>
      <w:r>
        <w:t>RQ2 will compare the 2D and VGGT-grounded memories under fixed-view, changing-view, moving-container and combined-motion conditions. We will measure container reidentification accuracy, 3D container localization error, and first-choice accuracy. H2 will be examined by comparing the VGGT benefit under changing and fixed viewpoints. For 3D error, a scene-level similarity alignment to simulation coordinates will be used for scoring only, based on static background points rather than separate fits to containers.</w:t>
      </w:r>
    </w:p>
    <w:p w14:paraId="1991C02C" w14:textId="77777777" w:rsidR="00AB1A7D" w:rsidRDefault="00000000">
      <w:pPr>
        <w:pStyle w:val="BodyText"/>
      </w:pPr>
      <w:r>
        <w:t>The results will be interpreted as evidence about the controlled class of containment problems. We hope to understand in what specific conditions or situations monocular 3D grounding provides more reliable memory than simpler 2D approaches. Claims will be limited to the evaluated scenes and observed placement events.</w:t>
      </w:r>
    </w:p>
    <w:p w14:paraId="2B5332D3" w14:textId="18B8EF81" w:rsidR="00892266" w:rsidRPr="00892266" w:rsidRDefault="00892266">
      <w:pPr>
        <w:pStyle w:val="BodyText"/>
      </w:pPr>
      <w:r>
        <w:t>In more detail we are going to record matched trials on the same scenes for different memories. We will conduct 30 independent trials per motion condition for each memory, distributed across the scenes as described in Section 2.2. The same recordings will be used for all memories. Randomness during the trials will be controlled by using and documenting seeds for all runs to support reproducibility. All runs will be extensively logged and compared against simulation ground truth. A potential source of error is variability in the outputs of the AI models used. This possibility will be evaluated more closely and tested for each model using a fixed subset of pilot inputs. Model versions, query prompts, generation settings and hardware will be recorded. Pilot tests will check relation persistence, state resets and container association. Pilot and test data will remain separate, and test results will not be used to tune settings. Input files will be checked for ground-truth leakage. Failures will be reviewed jointly and classified as perception, containment inference, container association or geometric reconstruction errors.</w:t>
      </w:r>
    </w:p>
    <w:p w14:paraId="0786276A" w14:textId="77777777" w:rsidR="002007FF" w:rsidRPr="000B16E0" w:rsidRDefault="00B06652">
      <w:pPr>
        <w:pStyle w:val="Heading2"/>
        <w:rPr>
          <w:rFonts w:ascii="Aptos" w:hAnsi="Aptos"/>
          <w:lang w:val="en-US"/>
        </w:rPr>
        <w:keepNext w:val="true"/>
      </w:pPr>
      <w:r w:rsidRPr="000B16E0">
        <w:rPr>
          <w:rFonts w:ascii="Aptos" w:hAnsi="Aptos"/>
          <w:lang w:val="en-US"/>
        </w:rPr>
        <w:t>Use of AI Tools</w:t>
      </w:r>
    </w:p>
    <w:p w14:paraId="06F8A679" w14:textId="6D7F12BD" w:rsidR="00522166" w:rsidRPr="000B16E0" w:rsidRDefault="00522166" w:rsidP="007241C8">
      <w:pPr>
        <w:pStyle w:val="BodyText"/>
      </w:pPr>
      <w:r>
        <w:t>We are planning to use AI tools to assist us in coding tasks for the project as well as providing structure and feedback for our writing. They may further be used to identify and pre-select suitable papers. Scientific claims and bibliographic details will be checked against the original publications. Suggested code and analysis procedures will be reviewed and tested before use. Both authors will remain responsible for the research design, interpretation of results and intellectual content of the submitted work.</w:t>
      </w:r>
    </w:p>
    <w:p w14:paraId="1579F0AC" w14:textId="0E3B69B6" w:rsidR="00495ADA" w:rsidRPr="00216380" w:rsidRDefault="00B06652" w:rsidP="00216380">
      <w:pPr>
        <w:pStyle w:val="Heading1"/>
        <w:rPr>
          <w:sz w:val="28"/>
          <w:lang w:val="en-US"/>
        </w:rPr>
        <w:keepNext w:val="true"/>
      </w:pPr>
      <w:r w:rsidRPr="000B16E0">
        <w:rPr>
          <w:sz w:val="28"/>
          <w:lang w:val="en-US"/>
        </w:rPr>
        <w:t>Project Planning and Feasibility</w:t>
      </w:r>
    </w:p>
    <w:p w14:paraId="0212B55A" w14:textId="77777777" w:rsidR="00C006E4" w:rsidRPr="000B16E0" w:rsidRDefault="00625AAB" w:rsidP="00C006E4">
      <w:pPr>
        <w:pStyle w:val="Heading2"/>
        <w:rPr>
          <w:lang w:val="en-US"/>
        </w:rPr>
        <w:keepNext w:val="true"/>
      </w:pPr>
      <w:r w:rsidRPr="000B16E0">
        <w:rPr>
          <w:lang w:val="en-US"/>
        </w:rPr>
        <w:t xml:space="preserve">Work Tasks and </w:t>
      </w:r>
      <w:r w:rsidR="00C006E4" w:rsidRPr="000B16E0">
        <w:rPr>
          <w:lang w:val="en-US"/>
        </w:rPr>
        <w:t>Milestones</w:t>
      </w:r>
    </w:p>
    <w:p w14:paraId="09FEA4C5" w14:textId="4F3970DE" w:rsidR="00216380" w:rsidRDefault="00216380" w:rsidP="00216380">
      <w:pPr>
        <w:pStyle w:val="ListParagraph"/>
        <w:numPr>
          <w:ilvl w:val="0"/>
          <w:numId w:val="41"/>
        </w:numPr>
      </w:pPr>
      <w:r>
        <w:t>We plan to carry out the project in sequential milestones for implementation and evaluation. First, a suitable simulation environment will be selected and a minimal setup will be established that first hides an object and records a parent–child relation between the object and its container. This should provide a basic setup to test our memory systems’ capabilities to find the correct container.</w:t>
      </w:r>
    </w:p>
    <w:p w14:paraId="3C94A366" w14:textId="77777777" w:rsidR="00216380" w:rsidRDefault="00216380" w:rsidP="00216380">
      <w:pPr>
        <w:pStyle w:val="ListParagraph"/>
        <w:numPr>
          <w:ilvl w:val="0"/>
          <w:numId w:val="41"/>
        </w:numPr>
      </w:pPr>
      <w:r>
        <w:t>As a next step the perception pipeline will be added, which will acquire an RGB stream of the scene, track objects in the scene and log relevant frames.</w:t>
      </w:r>
    </w:p>
    <w:p w14:paraId="385E98E9" w14:textId="76706FE2" w:rsidR="00216380" w:rsidRDefault="00216380" w:rsidP="00216380">
      <w:pPr>
        <w:pStyle w:val="ListParagraph"/>
        <w:numPr>
          <w:ilvl w:val="0"/>
          <w:numId w:val="41"/>
        </w:numPr>
      </w:pPr>
      <w:r>
        <w:t>Based on this system the current-only and keyframe baselines will be implemented. The current-only system is a VLM able to select from all identified containers currently visible. The keyframe memory will instead provide the same VLM with a series of frames depicting the process of objects being hidden and subsequent motion. Query settings will be consistent with Section 2.2.</w:t>
      </w:r>
    </w:p>
    <w:p w14:paraId="35F672D1" w14:textId="77777777" w:rsidR="0065268A" w:rsidRDefault="00216380">
      <w:pPr>
        <w:pStyle w:val="ListParagraph"/>
        <w:numPr>
          <w:ilvl w:val="0"/>
          <w:numId w:val="41"/>
        </w:numPr>
      </w:pPr>
      <w:r>
        <w:t>A persistent 2D memory system will be built. The system actively aims to keep track of hidden objects and parent relations between objects and containers.</w:t>
      </w:r>
    </w:p>
    <w:p w14:paraId="544F7C68" w14:textId="611CA64E" w:rsidR="00BB5304" w:rsidRDefault="0065268A">
      <w:pPr>
        <w:pStyle w:val="ListParagraph"/>
        <w:numPr>
          <w:ilvl w:val="0"/>
          <w:numId w:val="41"/>
        </w:numPr>
      </w:pPr>
      <w:r>
        <w:t>A persistent spatially grounded 3D memory system will be built, with the same aim as the 2D system but potentially higher accuracy. The relation-update rules will remain the same.</w:t>
      </w:r>
    </w:p>
    <w:p w14:paraId="6776ACB3" w14:textId="77777777" w:rsidR="0065268A" w:rsidRDefault="0065268A">
      <w:pPr>
        <w:pStyle w:val="ListParagraph"/>
        <w:numPr>
          <w:ilvl w:val="0"/>
          <w:numId w:val="41"/>
        </w:numPr>
      </w:pPr>
      <w:r>
        <w:t>Once all required conditions are functional, pilot experiments will be used to verify the evaluation pipeline and logging. The final settings, trial count and analysis procedure will then be fixed.</w:t>
      </w:r>
    </w:p>
    <w:p w14:paraId="585D9E52" w14:textId="5E546A16" w:rsidR="0065268A" w:rsidRDefault="0065268A">
      <w:pPr>
        <w:pStyle w:val="ListParagraph"/>
        <w:numPr>
          <w:ilvl w:val="0"/>
          <w:numId w:val="41"/>
        </w:numPr>
      </w:pPr>
      <w:r>
        <w:t>For the final experiments more recordings with random object and target placements as well as varied scene configurations will be created to assess robustness across the tested settings, following the trial allocation in Section 2.2.</w:t>
      </w:r>
    </w:p>
    <w:p w14:paraId="67A73C18" w14:textId="5D5162B4" w:rsidR="0065268A" w:rsidRDefault="0065268A">
      <w:pPr>
        <w:pStyle w:val="ListParagraph"/>
        <w:numPr>
          <w:ilvl w:val="0"/>
          <w:numId w:val="41"/>
        </w:numPr>
      </w:pPr>
      <w:r>
        <w:t>After conducting the final experiment all results will be analysed and prepared for the final report.</w:t>
      </w:r>
    </w:p>
    <w:p w14:paraId="1D157144" w14:textId="6C6B0709" w:rsidR="0065268A" w:rsidRDefault="0065268A">
      <w:pPr>
        <w:pStyle w:val="ListParagraph"/>
        <w:numPr>
          <w:ilvl w:val="0"/>
          <w:numId w:val="41"/>
        </w:numPr>
      </w:pPr>
      <w:r>
        <w:t>The final report will be drafted.</w:t>
      </w:r>
    </w:p>
    <w:p w14:paraId="0D46CAD8" w14:textId="65A49E59" w:rsidR="0065268A" w:rsidRDefault="0065268A" w:rsidP="0065268A">
      <w:pPr>
        <w:pStyle w:val="ListParagraph"/>
        <w:numPr>
          <w:ilvl w:val="0"/>
          <w:numId w:val="41"/>
        </w:numPr>
      </w:pPr>
      <w:r>
        <w:t>After revision and feedback we will finalize the report.</w:t>
      </w:r>
    </w:p>
    <w:p w14:paraId="0864733B" w14:textId="408BE209" w:rsidR="00BB5304" w:rsidRPr="000B16E0" w:rsidRDefault="00BB5304" w:rsidP="00BB5304">
      <w:pPr>
        <w:pStyle w:val="Heading2"/>
        <w:rPr>
          <w:lang w:val="en-US"/>
        </w:rPr>
        <w:keepNext w:val="true"/>
      </w:pPr>
      <w:r w:rsidRPr="000B16E0">
        <w:rPr>
          <w:lang w:val="en-US"/>
        </w:rPr>
        <w:t>Allocation of Responsibilities</w:t>
      </w:r>
    </w:p>
    <w:p w14:paraId="33D0ABF6" w14:textId="1975D6E8" w:rsidR="00F73541" w:rsidRPr="000B16E0" w:rsidRDefault="0065268A" w:rsidP="007241C8">
      <w:pPr>
        <w:pStyle w:val="BodyText"/>
      </w:pPr>
      <w:r>
        <w:t>As this project is done collaboratively, both of us will equally contribute to the writing as well as the experiment setups and evaluation. We may split tasks, especially in the developing process between us effectively so some of the milestones may be reached in parallel. A sensible split would be between the simulation environment and the memory system for the beginning. In later stages, once the simulation environment is created, both will contribute to the memory systems. Reporting and documentation should be done equally at all times throughout the project.</w:t>
      </w:r>
    </w:p>
    <w:p w14:paraId="6761C6FE" w14:textId="77777777" w:rsidR="00F73541" w:rsidRPr="000B16E0" w:rsidRDefault="00112002" w:rsidP="00F73541">
      <w:pPr>
        <w:pStyle w:val="Heading2"/>
        <w:rPr>
          <w:lang w:val="en-US"/>
        </w:rPr>
        <w:keepNext w:val="true"/>
      </w:pPr>
      <w:r w:rsidRPr="000B16E0">
        <w:rPr>
          <w:lang w:val="en-US"/>
        </w:rPr>
        <w:t>Implementational Risks and Mitigation Strategies</w:t>
      </w:r>
    </w:p>
    <w:p w14:paraId="257FE5AF" w14:textId="1608768B" w:rsidR="00EF72D1" w:rsidRPr="000B16E0" w:rsidRDefault="00EF72D1" w:rsidP="007241C8">
      <w:pPr>
        <w:pStyle w:val="BodyText"/>
      </w:pPr>
      <w:r>
        <w:t>Technical challenges may include insufficient quality of VGGT’s estimates of the 3D environment. In such a case we will fall back on simulation-provided geometry as a separate oracle reference baseline. This will effectively separate failures caused by spatial reconstruction from failures of the memory system. Reconstruction and alignment will first be checked in pilot experiments. If VGGT cannot be evaluated reliably, RQ2 will remain unanswered and the scope will be revised with the mentor; oracle results will not substitute for VGGT evidence.</w:t>
      </w:r>
    </w:p>
    <w:p w14:paraId="257FE5AF" w14:textId="1608768B" w:rsidR="00EF72D1" w:rsidRPr="000B16E0" w:rsidRDefault="00EF72D1" w:rsidP="007241C8">
      <w:pPr>
        <w:pStyle w:val="BodyText"/>
      </w:pPr>
      <w:r>
        <w:t>For running the experiments we expect to have continued access to KTH’s GPU cluster. If we do not have access, we may need to reduce the number of trials during evaluation and cache model outputs where possible. Any reduction will be decided before testing and documented. The strength of our findings will depend on the number of different scenes and trials we are able to evaluate. All findings will be reported according to course requirements, with narrower claims restricted to the actually evaluated settings.</w:t>
      </w:r>
    </w:p>
    <w:p w14:paraId="257FE5AF" w14:textId="1608768B" w:rsidR="00EF72D1" w:rsidRPr="000B16E0" w:rsidRDefault="00EF72D1" w:rsidP="007241C8">
      <w:pPr>
        <w:pStyle w:val="BodyText"/>
      </w:pPr>
      <w:r>
        <w:t>A third risk is that perception or container association errors may prevent the memory systems from retaining correct containment relations. We will start with clearly observable placement events, test the pipeline on pilot recordings, and inspect failures before fixing the protocol. If the RGB pipeline remains unreliable, separate oracle-perception diagnostics will help identify the source of error, but will not replace the RGB evaluation. The final claims will be restricted to the settings and evidence actually evaluated.</w:t>
      </w:r>
    </w:p>
    <w:p w14:paraId="369B397A" w14:textId="77777777" w:rsidR="002007FF" w:rsidRPr="000B16E0" w:rsidRDefault="00B06652">
      <w:pPr>
        <w:pStyle w:val="Unnumberedheading1"/>
        <w:rPr>
          <w:rFonts w:ascii="Aptos" w:hAnsi="Aptos"/>
          <w:sz w:val="28"/>
          <w:lang w:val="en-US"/>
        </w:rPr>
        <w:keepNext w:val="true"/>
      </w:pPr>
      <w:r w:rsidRPr="000B16E0">
        <w:rPr>
          <w:rFonts w:ascii="Aptos" w:hAnsi="Aptos"/>
          <w:sz w:val="28"/>
          <w:lang w:val="en-US"/>
        </w:rPr>
        <w:t>References</w:t>
      </w:r>
    </w:p>
    <w:p w14:paraId="102D2211" w14:textId="77777777" w:rsidR="002007FF" w:rsidRPr="000B16E0" w:rsidRDefault="00B06652" w:rsidP="007241C8">
      <w:pPr>
        <w:pStyle w:val="Bibliography"/>
      </w:pPr>
      <w:r>
        <w:t>[1] K. Kawaharazuka, J. Oh, J. Yamada, I. Posner, and Y. Zhu, “Vision-Language-Action Models for Robotics: A Review Towards Real-World Applications,” arXiv:2510.07077, 2025.</w:t>
      </w:r>
    </w:p>
    <w:p w14:paraId="2E80A425" w14:textId="77777777" w:rsidR="00AB1A7D" w:rsidRDefault="00000000">
      <w:pPr>
        <w:pStyle w:val="Bibliography"/>
      </w:pPr>
      <w:r>
        <w:lastRenderedPageBreak/>
        <w:t>[2] J. Wang, M. Chen, N. Karaev, A. Vedaldi, C. Rupprecht, and D. Novotny, “VGGT: Visual Geometry Grounded Transformer,” in Proceedings of the IEEE/CVF Conference on Computer Vision and Pattern Recognition, 2025, pp. 5294–5306.</w:t>
      </w:r>
    </w:p>
    <w:p w14:paraId="1825DB3D" w14:textId="77777777" w:rsidR="00AB1A7D" w:rsidRDefault="00000000">
      <w:pPr>
        <w:pStyle w:val="Bibliography"/>
      </w:pPr>
      <w:r>
        <w:t>[3] D. Qu, H. Song, Q. Chen, Y. Yao, X. Ye, Y. Ding, Z. Wang, J. Gu, B. Zhao, D. Wang, and X. Li, “SpatialVLA: Exploring Spatial Representations for Visual-Language-Action Model,” in Robotics: Science and Systems, 2025.</w:t>
      </w:r>
    </w:p>
    <w:p w14:paraId="7F5864AF" w14:textId="77777777" w:rsidR="00AB1A7D" w:rsidRDefault="00000000">
      <w:pPr>
        <w:pStyle w:val="Bibliography"/>
      </w:pPr>
      <w:r>
        <w:t>[4] B. Yu, S. Lian, X. Lin, Z. Shen, Y. Wei, H. Liu, C. Wu, H. Yuan, B. Wang, C. Huang, and K. Chen, “3D-Mix for VLA: A Plug-and-Play Module for Integrating VGGT-based 3D Information into Vision-Language-Action Models,” arXiv:2603.24393, 2026.</w:t>
      </w:r>
    </w:p>
    <w:p w14:paraId="7D1B903F" w14:textId="77777777" w:rsidR="00AB1A7D" w:rsidRDefault="00000000">
      <w:pPr>
        <w:pStyle w:val="Bibliography"/>
      </w:pPr>
      <w:r>
        <w:t>[5] P. Li, W. Guo, H. Zhang, T. Cai, X. He, Y. Guo, and H. Xiong, “Spatial Memory for Out-of-Vision Manipulation in Vision-Language-Action,” arXiv:2605.22283, 2026.</w:t>
      </w:r>
    </w:p>
    <w:p w14:paraId="2579B8B3" w14:textId="77777777" w:rsidR="00AB1A7D" w:rsidRDefault="00000000">
      <w:pPr>
        <w:pStyle w:val="Bibliography"/>
      </w:pPr>
      <w:r>
        <w:t>[6] D. Maggio, N. Gorlo, K. Hauser, and L. Carlone, “FOUND-IT: Foundation-model-first Task-driven 3D Scene Graphs with Granularity on Demand,” arXiv:2605.25371, 2026.</w:t>
      </w:r>
    </w:p>
    <w:p w14:paraId="49AF6F96" w14:textId="77777777" w:rsidR="00AB1A7D" w:rsidRDefault="00000000">
      <w:pPr>
        <w:pStyle w:val="Bibliography"/>
      </w:pPr>
      <w:r>
        <w:t>[7] A. Gelencsér-Horváth, G. Dinya, D. B. Erős, P. Halász, I. M. Muqsit, and K. Karacs, “SceneVGGT: VGGT-based Online 3D Semantic SLAM for Indoor Scene Understanding and Navigation,” arXiv:2602.15899, 2026.</w:t>
      </w:r>
    </w:p>
    <w:p w14:paraId="6A58AF0C" w14:textId="77777777" w:rsidR="00AB1A7D" w:rsidRDefault="00000000">
      <w:pPr>
        <w:pStyle w:val="Bibliography"/>
      </w:pPr>
      <w:r>
        <w:t>[8] Y. Fan, X. Ma, R. Su, J. Guo, R. Wu, X. Chen, and Q. Li, “Embodied VideoAgent: Persistent Memory from Egocentric Videos and Embodied Sensors Enables Dynamic Scene Understanding,” in Proceedings of the IEEE/CVF International Conference on Computer Vision, 2025.</w:t>
      </w:r>
    </w:p>
    <w:p w14:paraId="67404C3A" w14:textId="77777777" w:rsidR="00AB1A7D" w:rsidRDefault="00000000">
      <w:pPr>
        <w:pStyle w:val="Bibliography"/>
      </w:pPr>
      <w:r>
        <w:t>[9] E. Bartoli, B. He, D. Rotondi, S. Koch, F. Tombari, K. O. Arras, P. Jensfelt, Y. Cai, and I. Leite, “GESTO: Human-Centric Spatio-Temporal Memory for Reasoning in Dynamic Scenes,” arXiv:2608.10886, 2026.</w:t>
      </w:r>
    </w:p>
    <w:sectPr w:rsidR="002007FF" w:rsidRPr="000B16E0" w:rsidSect="00207CFC">
      <w:headerReference w:type="default" r:id="rId7"/>
      <w:footerReference w:type="default" r:id="rId8"/>
      <w:headerReference w:type="first" r:id="rId9"/>
      <w:footerReference w:type="first" r:id="rId10"/>
      <w:pgSz w:w="11906" w:h="16838" w:code="9"/>
      <w:pgMar w:top="1440" w:right="1440" w:bottom="1440" w:left="1440" w:header="652"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A36F4" w14:textId="77777777" w:rsidR="0006400E" w:rsidRDefault="0006400E" w:rsidP="00AB37AC">
      <w:r>
        <w:separator/>
      </w:r>
    </w:p>
  </w:endnote>
  <w:endnote w:type="continuationSeparator" w:id="0">
    <w:p w14:paraId="66A49B4F" w14:textId="77777777" w:rsidR="0006400E" w:rsidRDefault="0006400E" w:rsidP="00AB3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072"/>
      <w:gridCol w:w="3018"/>
    </w:tblGrid>
    <w:tr w:rsidR="00BF3808" w14:paraId="1FF8B5A6" w14:textId="77777777" w:rsidTr="00B7689D">
      <w:tc>
        <w:tcPr>
          <w:tcW w:w="6072" w:type="dxa"/>
        </w:tcPr>
        <w:p w14:paraId="5A9FD71F" w14:textId="77777777" w:rsidR="00BF3808" w:rsidRDefault="00BF3808" w:rsidP="00BF3808">
          <w:pPr>
            <w:pStyle w:val="Footer"/>
          </w:pPr>
        </w:p>
      </w:tc>
      <w:tc>
        <w:tcPr>
          <w:tcW w:w="3018" w:type="dxa"/>
          <w:vAlign w:val="bottom"/>
        </w:tcPr>
        <w:p w14:paraId="410CB7EC" w14:textId="77777777" w:rsidR="00BF3808" w:rsidRPr="009E4316" w:rsidRDefault="00BF3808" w:rsidP="00BF3808">
          <w:pPr>
            <w:pStyle w:val="Footer"/>
            <w:jc w:val="right"/>
            <w:rPr>
              <w:rStyle w:val="PageNumber"/>
            </w:rPr>
          </w:pPr>
          <w:r w:rsidRPr="009E4316">
            <w:rPr>
              <w:rStyle w:val="PageNumber"/>
            </w:rPr>
            <w:fldChar w:fldCharType="begin"/>
          </w:r>
          <w:r w:rsidRPr="009E4316">
            <w:rPr>
              <w:rStyle w:val="PageNumber"/>
            </w:rPr>
            <w:instrText xml:space="preserve"> PAGE </w:instrText>
          </w:r>
          <w:r w:rsidRPr="009E4316">
            <w:rPr>
              <w:rStyle w:val="PageNumber"/>
            </w:rPr>
            <w:fldChar w:fldCharType="separate"/>
          </w:r>
          <w:r w:rsidR="00F25341">
            <w:rPr>
              <w:rStyle w:val="PageNumber"/>
            </w:rPr>
            <w:t>2</w:t>
          </w:r>
          <w:r w:rsidRPr="009E4316">
            <w:rPr>
              <w:rStyle w:val="PageNumber"/>
            </w:rPr>
            <w:fldChar w:fldCharType="end"/>
          </w:r>
          <w:r w:rsidRPr="009E4316">
            <w:rPr>
              <w:rStyle w:val="PageNumber"/>
            </w:rPr>
            <w:t xml:space="preserve"> (</w:t>
          </w:r>
          <w:r w:rsidRPr="009E4316">
            <w:rPr>
              <w:rStyle w:val="PageNumber"/>
            </w:rPr>
            <w:fldChar w:fldCharType="begin"/>
          </w:r>
          <w:r w:rsidRPr="009E4316">
            <w:rPr>
              <w:rStyle w:val="PageNumber"/>
            </w:rPr>
            <w:instrText xml:space="preserve"> NUMPAGES </w:instrText>
          </w:r>
          <w:r w:rsidRPr="009E4316">
            <w:rPr>
              <w:rStyle w:val="PageNumber"/>
            </w:rPr>
            <w:fldChar w:fldCharType="separate"/>
          </w:r>
          <w:r w:rsidR="00F25341">
            <w:rPr>
              <w:rStyle w:val="PageNumber"/>
            </w:rPr>
            <w:t>2</w:t>
          </w:r>
          <w:r w:rsidRPr="009E4316">
            <w:rPr>
              <w:rStyle w:val="PageNumber"/>
            </w:rPr>
            <w:fldChar w:fldCharType="end"/>
          </w:r>
          <w:r w:rsidRPr="009E4316">
            <w:rPr>
              <w:rStyle w:val="PageNumber"/>
            </w:rPr>
            <w:t>)</w:t>
          </w:r>
        </w:p>
      </w:tc>
    </w:tr>
  </w:tbl>
  <w:p w14:paraId="235D5DC6" w14:textId="77777777" w:rsidR="00BF3808" w:rsidRPr="00DB69BA" w:rsidRDefault="00BF3808" w:rsidP="00DB69BA">
    <w:pP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072"/>
      <w:gridCol w:w="1134"/>
    </w:tblGrid>
    <w:tr w:rsidR="00BF3808" w14:paraId="291AE8A9" w14:textId="77777777" w:rsidTr="009E4316">
      <w:tc>
        <w:tcPr>
          <w:tcW w:w="6072" w:type="dxa"/>
        </w:tcPr>
        <w:p w14:paraId="6507F242" w14:textId="77777777" w:rsidR="00BF3808" w:rsidRDefault="00BF3808" w:rsidP="005E6435">
          <w:pPr>
            <w:pStyle w:val="FooterBold"/>
          </w:pPr>
        </w:p>
        <w:p w14:paraId="7CE5AEEE" w14:textId="77777777" w:rsidR="00BF3808" w:rsidRDefault="00BF3808" w:rsidP="009E4316">
          <w:pPr>
            <w:pStyle w:val="Footer"/>
          </w:pPr>
        </w:p>
      </w:tc>
      <w:tc>
        <w:tcPr>
          <w:tcW w:w="1134" w:type="dxa"/>
          <w:vAlign w:val="bottom"/>
        </w:tcPr>
        <w:p w14:paraId="1274E251" w14:textId="77777777" w:rsidR="00BF3808" w:rsidRPr="009E4316" w:rsidRDefault="00BF3808" w:rsidP="009E4316">
          <w:pPr>
            <w:pStyle w:val="Footer"/>
            <w:jc w:val="right"/>
            <w:rPr>
              <w:rStyle w:val="PageNumber"/>
            </w:rPr>
          </w:pPr>
          <w:r w:rsidRPr="009E4316">
            <w:rPr>
              <w:rStyle w:val="PageNumber"/>
            </w:rPr>
            <w:fldChar w:fldCharType="begin"/>
          </w:r>
          <w:r w:rsidRPr="009E4316">
            <w:rPr>
              <w:rStyle w:val="PageNumber"/>
            </w:rPr>
            <w:instrText xml:space="preserve"> PAGE </w:instrText>
          </w:r>
          <w:r w:rsidRPr="009E4316">
            <w:rPr>
              <w:rStyle w:val="PageNumber"/>
            </w:rPr>
            <w:fldChar w:fldCharType="separate"/>
          </w:r>
          <w:r w:rsidR="00863FD9">
            <w:rPr>
              <w:rStyle w:val="PageNumber"/>
            </w:rPr>
            <w:t>1</w:t>
          </w:r>
          <w:r w:rsidRPr="009E4316">
            <w:rPr>
              <w:rStyle w:val="PageNumber"/>
            </w:rPr>
            <w:fldChar w:fldCharType="end"/>
          </w:r>
          <w:r w:rsidRPr="009E4316">
            <w:rPr>
              <w:rStyle w:val="PageNumber"/>
            </w:rPr>
            <w:t xml:space="preserve"> (</w:t>
          </w:r>
          <w:r w:rsidRPr="009E4316">
            <w:rPr>
              <w:rStyle w:val="PageNumber"/>
            </w:rPr>
            <w:fldChar w:fldCharType="begin"/>
          </w:r>
          <w:r w:rsidRPr="009E4316">
            <w:rPr>
              <w:rStyle w:val="PageNumber"/>
            </w:rPr>
            <w:instrText xml:space="preserve"> NUMPAGES </w:instrText>
          </w:r>
          <w:r w:rsidRPr="009E4316">
            <w:rPr>
              <w:rStyle w:val="PageNumber"/>
            </w:rPr>
            <w:fldChar w:fldCharType="separate"/>
          </w:r>
          <w:r w:rsidR="00863FD9">
            <w:rPr>
              <w:rStyle w:val="PageNumber"/>
            </w:rPr>
            <w:t>1</w:t>
          </w:r>
          <w:r w:rsidRPr="009E4316">
            <w:rPr>
              <w:rStyle w:val="PageNumber"/>
            </w:rPr>
            <w:fldChar w:fldCharType="end"/>
          </w:r>
          <w:r w:rsidRPr="009E4316">
            <w:rPr>
              <w:rStyle w:val="PageNumber"/>
            </w:rPr>
            <w:t>)</w:t>
          </w:r>
        </w:p>
      </w:tc>
    </w:tr>
  </w:tbl>
  <w:p w14:paraId="085C6DD2" w14:textId="77777777" w:rsidR="00BF3808" w:rsidRPr="009E4316" w:rsidRDefault="00BF3808" w:rsidP="009E4316">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2ACD" w14:textId="77777777" w:rsidR="0006400E" w:rsidRDefault="0006400E" w:rsidP="00AB37AC">
      <w:r>
        <w:separator/>
      </w:r>
    </w:p>
  </w:footnote>
  <w:footnote w:type="continuationSeparator" w:id="0">
    <w:p w14:paraId="189EC212" w14:textId="77777777" w:rsidR="0006400E" w:rsidRDefault="0006400E" w:rsidP="00AB3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Borders>
        <w:top w:val="nil"/>
        <w:left w:val="nil"/>
        <w:bottom w:val="nil"/>
        <w:right w:val="nil"/>
        <w:insideH w:val="nil"/>
        <w:insideV w:val="nil"/>
      </w:tblBorders>
      <w:tblLayout w:type="fixed"/>
      <w:tblLook w:val="04A0" w:firstRow="1" w:lastRow="0" w:firstColumn="1" w:lastColumn="0" w:noHBand="0" w:noVBand="1"/>
    </w:tblPr>
    <w:tblGrid>
      <w:gridCol w:w="2790"/>
      <w:gridCol w:w="3510"/>
      <w:gridCol w:w="2700"/>
    </w:tblGrid>
    <w:tr w:rsidR="00D650B6" w14:paraId="2C8A8F9F" w14:textId="77777777">
      <w:tc>
        <w:tcPr>
          <w:tcW w:w="2790" w:type="dxa"/>
          <w:tcMar>
            <w:top w:w="0" w:type="dxa"/>
            <w:left w:w="0" w:type="dxa"/>
            <w:bottom w:w="0" w:type="dxa"/>
            <w:right w:w="0" w:type="dxa"/>
          </w:tcMar>
          <w:vAlign w:val="center"/>
        </w:tcPr>
        <w:p w14:paraId="6246A768" w14:textId="77777777" w:rsidR="00D650B6" w:rsidRDefault="00D650B6" w:rsidP="00D650B6">
          <w:r>
            <w:rPr>
              <w:rFonts w:ascii="Arial" w:hAnsi="Arial"/>
              <w:sz w:val="17"/>
            </w:rPr>
            <w:t>II2202, Autumn 2026</w:t>
          </w:r>
        </w:p>
      </w:tc>
      <w:tc>
        <w:tcPr>
          <w:tcW w:w="3510" w:type="dxa"/>
          <w:tcMar>
            <w:top w:w="0" w:type="dxa"/>
            <w:left w:w="0" w:type="dxa"/>
            <w:bottom w:w="0" w:type="dxa"/>
            <w:right w:w="0" w:type="dxa"/>
          </w:tcMar>
          <w:vAlign w:val="center"/>
        </w:tcPr>
        <w:p w14:paraId="4B913C43" w14:textId="77777777" w:rsidR="00D650B6" w:rsidRDefault="00D650B6" w:rsidP="00D650B6">
          <w:pPr>
            <w:jc w:val="center"/>
          </w:pPr>
          <w:r>
            <w:rPr>
              <w:rFonts w:ascii="Arial" w:hAnsi="Arial"/>
              <w:sz w:val="17"/>
            </w:rPr>
            <w:t>Research plan</w:t>
          </w:r>
        </w:p>
      </w:tc>
      <w:tc>
        <w:tcPr>
          <w:tcW w:w="2700" w:type="dxa"/>
          <w:tcMar>
            <w:top w:w="0" w:type="dxa"/>
            <w:left w:w="0" w:type="dxa"/>
            <w:bottom w:w="0" w:type="dxa"/>
            <w:right w:w="0" w:type="dxa"/>
          </w:tcMar>
          <w:vAlign w:val="center"/>
        </w:tcPr>
        <w:p w14:paraId="1DC1BD5E" w14:textId="77777777" w:rsidR="00D650B6" w:rsidRDefault="00D650B6" w:rsidP="00D650B6">
          <w:pPr>
            <w:jc w:val="right"/>
          </w:pPr>
          <w:r>
            <w:rPr>
              <w:rFonts w:ascii="Arial" w:hAnsi="Arial"/>
              <w:sz w:val="17"/>
            </w:rPr>
            <w:t>2026-09-30</w:t>
          </w:r>
        </w:p>
      </w:tc>
    </w:tr>
  </w:tbl>
  <w:p w14:paraId="5AB4A3BF" w14:textId="77777777" w:rsidR="00D650B6" w:rsidRDefault="00D650B6" w:rsidP="00D650B6"/>
  <w:p w14:paraId="5EFAC02F" w14:textId="77777777" w:rsidR="002007FF" w:rsidRPr="00D650B6" w:rsidRDefault="002007FF" w:rsidP="00D650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68C9" w14:textId="451CAEA3" w:rsidR="00BF3808" w:rsidRPr="007F45B4" w:rsidRDefault="00BF3808" w:rsidP="00207CFC">
    <w:pPr>
      <w:pStyle w:val="Header"/>
      <w:tabs>
        <w:tab w:val="clear" w:pos="4395"/>
        <w:tab w:val="clear" w:pos="9072"/>
        <w:tab w:val="center" w:pos="4253"/>
        <w:tab w:val="right" w:pos="9120"/>
        <w:tab w:val="right" w:pos="9214"/>
      </w:tabs>
    </w:pPr>
    <w:r>
      <w:rPr>
        <w:lang w:val="sv-SE"/>
      </w:rPr>
      <w:t>II2202, Autumn 2026</w:t>
      <w:tab/>
      <w:t>Research plan</w:t>
      <w:tab/>
      <w:t>2026-09-30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5F679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59A7A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FCA313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7B0F5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1DC7A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3EAD06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A869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986C58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907CF2"/>
    <w:lvl w:ilvl="0">
      <w:start w:val="1"/>
      <w:numFmt w:val="decimal"/>
      <w:pStyle w:val="ListNumber"/>
      <w:lvlText w:val="%1."/>
      <w:lvlJc w:val="left"/>
      <w:pPr>
        <w:tabs>
          <w:tab w:val="num" w:pos="360"/>
        </w:tabs>
        <w:ind w:left="360" w:hanging="360"/>
      </w:pPr>
    </w:lvl>
  </w:abstractNum>
  <w:abstractNum w:abstractNumId="9" w15:restartNumberingAfterBreak="0">
    <w:nsid w:val="09CD1CD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8272A27"/>
    <w:multiLevelType w:val="hybridMultilevel"/>
    <w:tmpl w:val="5ED69CEA"/>
    <w:lvl w:ilvl="0" w:tplc="A140B1CE">
      <w:start w:val="1"/>
      <w:numFmt w:val="bullet"/>
      <w:lvlText w:val=""/>
      <w:lvlJc w:val="left"/>
      <w:pPr>
        <w:ind w:left="720" w:hanging="360"/>
      </w:pPr>
      <w:rPr>
        <w:rFonts w:ascii="Symbol" w:hAnsi="Symbol" w:hint="default"/>
      </w:rPr>
    </w:lvl>
    <w:lvl w:ilvl="1" w:tplc="E2BCFF9C">
      <w:start w:val="1"/>
      <w:numFmt w:val="bullet"/>
      <w:lvlText w:val="o"/>
      <w:lvlJc w:val="left"/>
      <w:pPr>
        <w:ind w:left="1440" w:hanging="360"/>
      </w:pPr>
      <w:rPr>
        <w:rFonts w:ascii="Courier New" w:hAnsi="Courier New" w:cs="Courier New" w:hint="default"/>
      </w:rPr>
    </w:lvl>
    <w:lvl w:ilvl="2" w:tplc="B888BFAC">
      <w:start w:val="1"/>
      <w:numFmt w:val="bullet"/>
      <w:pStyle w:val="ListBullet3"/>
      <w:lvlText w:val=""/>
      <w:lvlJc w:val="left"/>
      <w:pPr>
        <w:ind w:left="2160" w:hanging="360"/>
      </w:pPr>
      <w:rPr>
        <w:rFonts w:ascii="Wingdings" w:hAnsi="Wingdings" w:hint="default"/>
      </w:rPr>
    </w:lvl>
    <w:lvl w:ilvl="3" w:tplc="AF0AB32C" w:tentative="1">
      <w:start w:val="1"/>
      <w:numFmt w:val="bullet"/>
      <w:lvlText w:val=""/>
      <w:lvlJc w:val="left"/>
      <w:pPr>
        <w:ind w:left="2880" w:hanging="360"/>
      </w:pPr>
      <w:rPr>
        <w:rFonts w:ascii="Symbol" w:hAnsi="Symbol" w:hint="default"/>
      </w:rPr>
    </w:lvl>
    <w:lvl w:ilvl="4" w:tplc="45F08090" w:tentative="1">
      <w:start w:val="1"/>
      <w:numFmt w:val="bullet"/>
      <w:lvlText w:val="o"/>
      <w:lvlJc w:val="left"/>
      <w:pPr>
        <w:ind w:left="3600" w:hanging="360"/>
      </w:pPr>
      <w:rPr>
        <w:rFonts w:ascii="Courier New" w:hAnsi="Courier New" w:cs="Courier New" w:hint="default"/>
      </w:rPr>
    </w:lvl>
    <w:lvl w:ilvl="5" w:tplc="BD12D7DA" w:tentative="1">
      <w:start w:val="1"/>
      <w:numFmt w:val="bullet"/>
      <w:lvlText w:val=""/>
      <w:lvlJc w:val="left"/>
      <w:pPr>
        <w:ind w:left="4320" w:hanging="360"/>
      </w:pPr>
      <w:rPr>
        <w:rFonts w:ascii="Wingdings" w:hAnsi="Wingdings" w:hint="default"/>
      </w:rPr>
    </w:lvl>
    <w:lvl w:ilvl="6" w:tplc="6B9E02D8" w:tentative="1">
      <w:start w:val="1"/>
      <w:numFmt w:val="bullet"/>
      <w:lvlText w:val=""/>
      <w:lvlJc w:val="left"/>
      <w:pPr>
        <w:ind w:left="5040" w:hanging="360"/>
      </w:pPr>
      <w:rPr>
        <w:rFonts w:ascii="Symbol" w:hAnsi="Symbol" w:hint="default"/>
      </w:rPr>
    </w:lvl>
    <w:lvl w:ilvl="7" w:tplc="6820028A" w:tentative="1">
      <w:start w:val="1"/>
      <w:numFmt w:val="bullet"/>
      <w:lvlText w:val="o"/>
      <w:lvlJc w:val="left"/>
      <w:pPr>
        <w:ind w:left="5760" w:hanging="360"/>
      </w:pPr>
      <w:rPr>
        <w:rFonts w:ascii="Courier New" w:hAnsi="Courier New" w:cs="Courier New" w:hint="default"/>
      </w:rPr>
    </w:lvl>
    <w:lvl w:ilvl="8" w:tplc="AFCE20BA" w:tentative="1">
      <w:start w:val="1"/>
      <w:numFmt w:val="bullet"/>
      <w:lvlText w:val=""/>
      <w:lvlJc w:val="left"/>
      <w:pPr>
        <w:ind w:left="6480" w:hanging="360"/>
      </w:pPr>
      <w:rPr>
        <w:rFonts w:ascii="Wingdings" w:hAnsi="Wingdings" w:hint="default"/>
      </w:rPr>
    </w:lvl>
  </w:abstractNum>
  <w:abstractNum w:abstractNumId="11" w15:restartNumberingAfterBreak="0">
    <w:nsid w:val="2D610BF1"/>
    <w:multiLevelType w:val="multilevel"/>
    <w:tmpl w:val="9A4E4CEC"/>
    <w:lvl w:ilvl="0">
      <w:start w:val="1"/>
      <w:numFmt w:val="decimal"/>
      <w:pStyle w:val="KTHNumreradlistaNumreradlista"/>
      <w:lvlText w:val="%1."/>
      <w:lvlJc w:val="left"/>
      <w:pPr>
        <w:ind w:left="360" w:hanging="3"/>
      </w:pPr>
      <w:rPr>
        <w:rFonts w:hint="default"/>
      </w:rPr>
    </w:lvl>
    <w:lvl w:ilvl="1">
      <w:start w:val="1"/>
      <w:numFmt w:val="lowerLetter"/>
      <w:pStyle w:val="KTHNumreradlista2Numreradlista2"/>
      <w:lvlText w:val="%2."/>
      <w:lvlJc w:val="left"/>
      <w:pPr>
        <w:ind w:left="1077" w:firstLine="0"/>
      </w:pPr>
      <w:rPr>
        <w:rFonts w:hint="default"/>
      </w:rPr>
    </w:lvl>
    <w:lvl w:ilvl="2">
      <w:start w:val="1"/>
      <w:numFmt w:val="lowerRoman"/>
      <w:pStyle w:val="KTHNumreradlista3Numreradlista3"/>
      <w:lvlText w:val="%3."/>
      <w:lvlJc w:val="left"/>
      <w:pPr>
        <w:ind w:left="197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485177B"/>
    <w:multiLevelType w:val="multilevel"/>
    <w:tmpl w:val="32C40BC8"/>
    <w:lvl w:ilvl="0">
      <w:start w:val="1"/>
      <w:numFmt w:val="bullet"/>
      <w:pStyle w:val="KTHPunktlistaPunktlista"/>
      <w:lvlText w:val=""/>
      <w:lvlJc w:val="left"/>
      <w:pPr>
        <w:ind w:left="360" w:hanging="3"/>
      </w:pPr>
      <w:rPr>
        <w:rFonts w:ascii="Symbol" w:hAnsi="Symbol" w:hint="default"/>
        <w:color w:val="auto"/>
      </w:rPr>
    </w:lvl>
    <w:lvl w:ilvl="1">
      <w:start w:val="1"/>
      <w:numFmt w:val="bullet"/>
      <w:pStyle w:val="KTHPunktlista2Punktlista2"/>
      <w:lvlText w:val="o"/>
      <w:lvlJc w:val="left"/>
      <w:pPr>
        <w:tabs>
          <w:tab w:val="num" w:pos="1077"/>
        </w:tabs>
        <w:ind w:left="1077" w:firstLine="0"/>
      </w:pPr>
      <w:rPr>
        <w:rFonts w:ascii="Courier New" w:hAnsi="Courier New" w:hint="default"/>
        <w:color w:val="auto"/>
      </w:rPr>
    </w:lvl>
    <w:lvl w:ilvl="2">
      <w:start w:val="1"/>
      <w:numFmt w:val="bullet"/>
      <w:pStyle w:val="KTHPunktlista3Punktlista3"/>
      <w:lvlText w:val=""/>
      <w:lvlJc w:val="left"/>
      <w:pPr>
        <w:ind w:left="1979" w:firstLine="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9A40E0F"/>
    <w:multiLevelType w:val="multilevel"/>
    <w:tmpl w:val="4F0615FE"/>
    <w:lvl w:ilvl="0">
      <w:start w:val="1"/>
      <w:numFmt w:val="decimal"/>
      <w:pStyle w:val="KTHnRubrik1"/>
      <w:lvlText w:val="%1"/>
      <w:lvlJc w:val="left"/>
      <w:pPr>
        <w:ind w:left="432" w:hanging="432"/>
      </w:pPr>
      <w:rPr>
        <w:rFonts w:hint="default"/>
      </w:rPr>
    </w:lvl>
    <w:lvl w:ilvl="1">
      <w:start w:val="1"/>
      <w:numFmt w:val="decimal"/>
      <w:pStyle w:val="KTHnRubrik2"/>
      <w:lvlText w:val="%1.%2"/>
      <w:lvlJc w:val="left"/>
      <w:pPr>
        <w:ind w:left="576" w:hanging="576"/>
      </w:pPr>
      <w:rPr>
        <w:rFonts w:hint="default"/>
      </w:rPr>
    </w:lvl>
    <w:lvl w:ilvl="2">
      <w:start w:val="1"/>
      <w:numFmt w:val="decimal"/>
      <w:pStyle w:val="KTHnRubrik3"/>
      <w:lvlText w:val="%1.%2.%3"/>
      <w:lvlJc w:val="left"/>
      <w:pPr>
        <w:ind w:left="720" w:hanging="720"/>
      </w:pPr>
      <w:rPr>
        <w:rFonts w:hint="default"/>
      </w:rPr>
    </w:lvl>
    <w:lvl w:ilvl="3">
      <w:start w:val="1"/>
      <w:numFmt w:val="decimal"/>
      <w:pStyle w:val="KTHnRubrik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6AD57CD"/>
    <w:multiLevelType w:val="hybridMultilevel"/>
    <w:tmpl w:val="528646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4D14AE"/>
    <w:multiLevelType w:val="hybridMultilevel"/>
    <w:tmpl w:val="2DA8DC40"/>
    <w:lvl w:ilvl="0" w:tplc="E8F49202">
      <w:start w:val="1"/>
      <w:numFmt w:val="bullet"/>
      <w:pStyle w:val="ListBullet"/>
      <w:lvlText w:val="o"/>
      <w:lvlJc w:val="left"/>
      <w:pPr>
        <w:ind w:left="1800" w:hanging="360"/>
      </w:pPr>
      <w:rPr>
        <w:rFonts w:ascii="Courier New" w:hAnsi="Courier New"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num w:numId="1" w16cid:durableId="1543713898">
    <w:abstractNumId w:val="11"/>
  </w:num>
  <w:num w:numId="2" w16cid:durableId="522747671">
    <w:abstractNumId w:val="3"/>
  </w:num>
  <w:num w:numId="3" w16cid:durableId="413624906">
    <w:abstractNumId w:val="2"/>
  </w:num>
  <w:num w:numId="4" w16cid:durableId="1822963165">
    <w:abstractNumId w:val="12"/>
  </w:num>
  <w:num w:numId="5" w16cid:durableId="1548759051">
    <w:abstractNumId w:val="7"/>
  </w:num>
  <w:num w:numId="6" w16cid:durableId="1960985291">
    <w:abstractNumId w:val="6"/>
  </w:num>
  <w:num w:numId="7" w16cid:durableId="1661731739">
    <w:abstractNumId w:val="8"/>
  </w:num>
  <w:num w:numId="8" w16cid:durableId="1815290150">
    <w:abstractNumId w:val="10"/>
  </w:num>
  <w:num w:numId="9" w16cid:durableId="10445265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2743061">
    <w:abstractNumId w:val="15"/>
  </w:num>
  <w:num w:numId="11" w16cid:durableId="1227952103">
    <w:abstractNumId w:val="13"/>
  </w:num>
  <w:num w:numId="12" w16cid:durableId="506217570">
    <w:abstractNumId w:val="11"/>
  </w:num>
  <w:num w:numId="13" w16cid:durableId="1342509632">
    <w:abstractNumId w:val="11"/>
  </w:num>
  <w:num w:numId="14" w16cid:durableId="371930188">
    <w:abstractNumId w:val="11"/>
  </w:num>
  <w:num w:numId="15" w16cid:durableId="1245803631">
    <w:abstractNumId w:val="12"/>
  </w:num>
  <w:num w:numId="16" w16cid:durableId="2079472982">
    <w:abstractNumId w:val="12"/>
  </w:num>
  <w:num w:numId="17" w16cid:durableId="1620263036">
    <w:abstractNumId w:val="12"/>
  </w:num>
  <w:num w:numId="18" w16cid:durableId="828211084">
    <w:abstractNumId w:val="13"/>
  </w:num>
  <w:num w:numId="19" w16cid:durableId="819229788">
    <w:abstractNumId w:val="13"/>
  </w:num>
  <w:num w:numId="20" w16cid:durableId="1536233785">
    <w:abstractNumId w:val="13"/>
  </w:num>
  <w:num w:numId="21" w16cid:durableId="304313022">
    <w:abstractNumId w:val="13"/>
  </w:num>
  <w:num w:numId="22" w16cid:durableId="1253970802">
    <w:abstractNumId w:val="13"/>
  </w:num>
  <w:num w:numId="23" w16cid:durableId="113717592">
    <w:abstractNumId w:val="13"/>
  </w:num>
  <w:num w:numId="24" w16cid:durableId="775978575">
    <w:abstractNumId w:val="13"/>
  </w:num>
  <w:num w:numId="25" w16cid:durableId="2128963377">
    <w:abstractNumId w:val="13"/>
  </w:num>
  <w:num w:numId="26" w16cid:durableId="375012730">
    <w:abstractNumId w:val="13"/>
  </w:num>
  <w:num w:numId="27" w16cid:durableId="736903971">
    <w:abstractNumId w:val="11"/>
  </w:num>
  <w:num w:numId="28" w16cid:durableId="1323194243">
    <w:abstractNumId w:val="11"/>
  </w:num>
  <w:num w:numId="29" w16cid:durableId="1170832949">
    <w:abstractNumId w:val="11"/>
  </w:num>
  <w:num w:numId="30" w16cid:durableId="141509981">
    <w:abstractNumId w:val="12"/>
  </w:num>
  <w:num w:numId="31" w16cid:durableId="1151605801">
    <w:abstractNumId w:val="12"/>
  </w:num>
  <w:num w:numId="32" w16cid:durableId="1783451099">
    <w:abstractNumId w:val="12"/>
  </w:num>
  <w:num w:numId="33" w16cid:durableId="1358307519">
    <w:abstractNumId w:val="7"/>
  </w:num>
  <w:num w:numId="34" w16cid:durableId="2017148400">
    <w:abstractNumId w:val="15"/>
  </w:num>
  <w:num w:numId="35" w16cid:durableId="2035299137">
    <w:abstractNumId w:val="10"/>
  </w:num>
  <w:num w:numId="36" w16cid:durableId="16392540">
    <w:abstractNumId w:val="5"/>
  </w:num>
  <w:num w:numId="37" w16cid:durableId="1342050399">
    <w:abstractNumId w:val="4"/>
  </w:num>
  <w:num w:numId="38" w16cid:durableId="485586360">
    <w:abstractNumId w:val="1"/>
  </w:num>
  <w:num w:numId="39" w16cid:durableId="2091538835">
    <w:abstractNumId w:val="0"/>
  </w:num>
  <w:num w:numId="40" w16cid:durableId="805241127">
    <w:abstractNumId w:val="9"/>
  </w:num>
  <w:num w:numId="41" w16cid:durableId="1636059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attachedTemplate r:id="rId1"/>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Q3NzQzNjQwtjSyNDRT0lEKTi0uzszPAykwqgUARieeySwAAAA="/>
  </w:docVars>
  <w:rsids>
    <w:rsidRoot w:val="000C5EC9"/>
    <w:rsid w:val="000007DB"/>
    <w:rsid w:val="0000308E"/>
    <w:rsid w:val="00003CD4"/>
    <w:rsid w:val="00011EE1"/>
    <w:rsid w:val="0001648E"/>
    <w:rsid w:val="000175EE"/>
    <w:rsid w:val="00021530"/>
    <w:rsid w:val="0002554C"/>
    <w:rsid w:val="00030E3C"/>
    <w:rsid w:val="00031E3E"/>
    <w:rsid w:val="000366A8"/>
    <w:rsid w:val="00037A26"/>
    <w:rsid w:val="00047265"/>
    <w:rsid w:val="0005035F"/>
    <w:rsid w:val="00050960"/>
    <w:rsid w:val="0005193B"/>
    <w:rsid w:val="000527B2"/>
    <w:rsid w:val="00062943"/>
    <w:rsid w:val="0006340A"/>
    <w:rsid w:val="00063A48"/>
    <w:rsid w:val="00063E84"/>
    <w:rsid w:val="0006400E"/>
    <w:rsid w:val="0006483A"/>
    <w:rsid w:val="00075E4B"/>
    <w:rsid w:val="00081C2C"/>
    <w:rsid w:val="0008674A"/>
    <w:rsid w:val="000916C5"/>
    <w:rsid w:val="000975F4"/>
    <w:rsid w:val="000A5E64"/>
    <w:rsid w:val="000A6336"/>
    <w:rsid w:val="000B16E0"/>
    <w:rsid w:val="000B17B8"/>
    <w:rsid w:val="000B6451"/>
    <w:rsid w:val="000C1DB3"/>
    <w:rsid w:val="000C3A1A"/>
    <w:rsid w:val="000C47A9"/>
    <w:rsid w:val="000C5EC9"/>
    <w:rsid w:val="000D3291"/>
    <w:rsid w:val="000D613E"/>
    <w:rsid w:val="000F0D78"/>
    <w:rsid w:val="000F2D59"/>
    <w:rsid w:val="000F322C"/>
    <w:rsid w:val="0010003A"/>
    <w:rsid w:val="001112F7"/>
    <w:rsid w:val="00112002"/>
    <w:rsid w:val="001175AC"/>
    <w:rsid w:val="001228BB"/>
    <w:rsid w:val="001271C6"/>
    <w:rsid w:val="00127465"/>
    <w:rsid w:val="001436BE"/>
    <w:rsid w:val="00146D7A"/>
    <w:rsid w:val="001523AC"/>
    <w:rsid w:val="0015254D"/>
    <w:rsid w:val="001621F9"/>
    <w:rsid w:val="00163BDD"/>
    <w:rsid w:val="00171B6B"/>
    <w:rsid w:val="0018620A"/>
    <w:rsid w:val="0018642A"/>
    <w:rsid w:val="0018782D"/>
    <w:rsid w:val="00190D97"/>
    <w:rsid w:val="001A5DEA"/>
    <w:rsid w:val="001B1E04"/>
    <w:rsid w:val="001C6DDB"/>
    <w:rsid w:val="001C7244"/>
    <w:rsid w:val="001C76F6"/>
    <w:rsid w:val="001D4756"/>
    <w:rsid w:val="001F122D"/>
    <w:rsid w:val="001F222B"/>
    <w:rsid w:val="001F285D"/>
    <w:rsid w:val="002007FF"/>
    <w:rsid w:val="00207CA0"/>
    <w:rsid w:val="00207CFC"/>
    <w:rsid w:val="002134DF"/>
    <w:rsid w:val="00216380"/>
    <w:rsid w:val="00236907"/>
    <w:rsid w:val="002611F2"/>
    <w:rsid w:val="002722A1"/>
    <w:rsid w:val="00291141"/>
    <w:rsid w:val="00292A99"/>
    <w:rsid w:val="002957F4"/>
    <w:rsid w:val="00296081"/>
    <w:rsid w:val="00297E1F"/>
    <w:rsid w:val="002A5C41"/>
    <w:rsid w:val="002B5D22"/>
    <w:rsid w:val="002C2F60"/>
    <w:rsid w:val="002C4531"/>
    <w:rsid w:val="002C4928"/>
    <w:rsid w:val="002D0539"/>
    <w:rsid w:val="002E0163"/>
    <w:rsid w:val="002E09B1"/>
    <w:rsid w:val="002E47D4"/>
    <w:rsid w:val="002E5C89"/>
    <w:rsid w:val="00304235"/>
    <w:rsid w:val="00310604"/>
    <w:rsid w:val="00313604"/>
    <w:rsid w:val="00313901"/>
    <w:rsid w:val="00317A15"/>
    <w:rsid w:val="00323311"/>
    <w:rsid w:val="00327996"/>
    <w:rsid w:val="00327E5F"/>
    <w:rsid w:val="003324B3"/>
    <w:rsid w:val="00337370"/>
    <w:rsid w:val="003520A5"/>
    <w:rsid w:val="003553AC"/>
    <w:rsid w:val="0035574C"/>
    <w:rsid w:val="00361229"/>
    <w:rsid w:val="0037024D"/>
    <w:rsid w:val="00382D90"/>
    <w:rsid w:val="003929D5"/>
    <w:rsid w:val="003A221F"/>
    <w:rsid w:val="003A2EB7"/>
    <w:rsid w:val="003C1A1A"/>
    <w:rsid w:val="003C2A7E"/>
    <w:rsid w:val="003D424E"/>
    <w:rsid w:val="003D49B3"/>
    <w:rsid w:val="003D5E50"/>
    <w:rsid w:val="003E35C7"/>
    <w:rsid w:val="003F200D"/>
    <w:rsid w:val="00406C15"/>
    <w:rsid w:val="0042136D"/>
    <w:rsid w:val="00421430"/>
    <w:rsid w:val="00427992"/>
    <w:rsid w:val="00433A3B"/>
    <w:rsid w:val="00434C1B"/>
    <w:rsid w:val="0043535D"/>
    <w:rsid w:val="00441CDF"/>
    <w:rsid w:val="004473D3"/>
    <w:rsid w:val="004528C7"/>
    <w:rsid w:val="00462B07"/>
    <w:rsid w:val="00463D17"/>
    <w:rsid w:val="004674CB"/>
    <w:rsid w:val="00481CE0"/>
    <w:rsid w:val="00495ADA"/>
    <w:rsid w:val="004A3440"/>
    <w:rsid w:val="004A6D28"/>
    <w:rsid w:val="004A7797"/>
    <w:rsid w:val="004C0971"/>
    <w:rsid w:val="004C2703"/>
    <w:rsid w:val="004C5491"/>
    <w:rsid w:val="004C5905"/>
    <w:rsid w:val="004C7EEF"/>
    <w:rsid w:val="004D11BA"/>
    <w:rsid w:val="004D1293"/>
    <w:rsid w:val="004D7177"/>
    <w:rsid w:val="004E2C7E"/>
    <w:rsid w:val="004F0507"/>
    <w:rsid w:val="004F5B3D"/>
    <w:rsid w:val="005149D1"/>
    <w:rsid w:val="00516DE4"/>
    <w:rsid w:val="00522166"/>
    <w:rsid w:val="00523FF5"/>
    <w:rsid w:val="005256C0"/>
    <w:rsid w:val="005271C2"/>
    <w:rsid w:val="00537E72"/>
    <w:rsid w:val="00547E65"/>
    <w:rsid w:val="005738FA"/>
    <w:rsid w:val="0057500D"/>
    <w:rsid w:val="00575DCE"/>
    <w:rsid w:val="00580286"/>
    <w:rsid w:val="00582251"/>
    <w:rsid w:val="00587FC6"/>
    <w:rsid w:val="005B3655"/>
    <w:rsid w:val="005B4F92"/>
    <w:rsid w:val="005C081B"/>
    <w:rsid w:val="005C35D6"/>
    <w:rsid w:val="005C6908"/>
    <w:rsid w:val="005D0BA5"/>
    <w:rsid w:val="005E6435"/>
    <w:rsid w:val="005E6880"/>
    <w:rsid w:val="005E79FE"/>
    <w:rsid w:val="005F2B5C"/>
    <w:rsid w:val="00611DEC"/>
    <w:rsid w:val="00613893"/>
    <w:rsid w:val="00621076"/>
    <w:rsid w:val="00625AAB"/>
    <w:rsid w:val="0063648F"/>
    <w:rsid w:val="00642D23"/>
    <w:rsid w:val="006516D2"/>
    <w:rsid w:val="0065268A"/>
    <w:rsid w:val="006574CC"/>
    <w:rsid w:val="006630FF"/>
    <w:rsid w:val="00666F90"/>
    <w:rsid w:val="00690AAE"/>
    <w:rsid w:val="00691AD5"/>
    <w:rsid w:val="006933D7"/>
    <w:rsid w:val="00693814"/>
    <w:rsid w:val="006A1D21"/>
    <w:rsid w:val="006A2F2C"/>
    <w:rsid w:val="006A342F"/>
    <w:rsid w:val="006B73C1"/>
    <w:rsid w:val="006C422D"/>
    <w:rsid w:val="006D0805"/>
    <w:rsid w:val="006D6901"/>
    <w:rsid w:val="006E155A"/>
    <w:rsid w:val="006F0798"/>
    <w:rsid w:val="006F18BC"/>
    <w:rsid w:val="007014ED"/>
    <w:rsid w:val="0071537B"/>
    <w:rsid w:val="007211FA"/>
    <w:rsid w:val="00723709"/>
    <w:rsid w:val="00723FC2"/>
    <w:rsid w:val="007241C8"/>
    <w:rsid w:val="00730785"/>
    <w:rsid w:val="00734494"/>
    <w:rsid w:val="007404D8"/>
    <w:rsid w:val="0074284F"/>
    <w:rsid w:val="0075206E"/>
    <w:rsid w:val="007528E6"/>
    <w:rsid w:val="007558F2"/>
    <w:rsid w:val="00763578"/>
    <w:rsid w:val="00764011"/>
    <w:rsid w:val="00765274"/>
    <w:rsid w:val="00774CA1"/>
    <w:rsid w:val="007835A7"/>
    <w:rsid w:val="0078577D"/>
    <w:rsid w:val="00787367"/>
    <w:rsid w:val="00792464"/>
    <w:rsid w:val="00793297"/>
    <w:rsid w:val="00796FF6"/>
    <w:rsid w:val="00797351"/>
    <w:rsid w:val="007A0188"/>
    <w:rsid w:val="007A544C"/>
    <w:rsid w:val="007A74AE"/>
    <w:rsid w:val="007B506F"/>
    <w:rsid w:val="007C21A1"/>
    <w:rsid w:val="007C2E8A"/>
    <w:rsid w:val="007C51A0"/>
    <w:rsid w:val="007C5979"/>
    <w:rsid w:val="007D579E"/>
    <w:rsid w:val="007E0100"/>
    <w:rsid w:val="007E70C3"/>
    <w:rsid w:val="007F0887"/>
    <w:rsid w:val="007F2911"/>
    <w:rsid w:val="007F3C19"/>
    <w:rsid w:val="007F45B4"/>
    <w:rsid w:val="007F5E86"/>
    <w:rsid w:val="007F6DE1"/>
    <w:rsid w:val="008043A9"/>
    <w:rsid w:val="00807AD4"/>
    <w:rsid w:val="008118A7"/>
    <w:rsid w:val="00811973"/>
    <w:rsid w:val="008226F8"/>
    <w:rsid w:val="0082385D"/>
    <w:rsid w:val="00825507"/>
    <w:rsid w:val="00825F00"/>
    <w:rsid w:val="0084517D"/>
    <w:rsid w:val="00846615"/>
    <w:rsid w:val="008549F5"/>
    <w:rsid w:val="0085746A"/>
    <w:rsid w:val="00860143"/>
    <w:rsid w:val="00860C41"/>
    <w:rsid w:val="00863257"/>
    <w:rsid w:val="00863FD9"/>
    <w:rsid w:val="00867D57"/>
    <w:rsid w:val="008729EF"/>
    <w:rsid w:val="008755D2"/>
    <w:rsid w:val="008822FA"/>
    <w:rsid w:val="008874A4"/>
    <w:rsid w:val="00890610"/>
    <w:rsid w:val="0089130B"/>
    <w:rsid w:val="00892266"/>
    <w:rsid w:val="008B1EDB"/>
    <w:rsid w:val="008B3624"/>
    <w:rsid w:val="008B5D33"/>
    <w:rsid w:val="008B765D"/>
    <w:rsid w:val="008C5C6F"/>
    <w:rsid w:val="008C61BC"/>
    <w:rsid w:val="008D074D"/>
    <w:rsid w:val="008D0CE8"/>
    <w:rsid w:val="008D1C5A"/>
    <w:rsid w:val="008E4593"/>
    <w:rsid w:val="008E53CB"/>
    <w:rsid w:val="008E5F3D"/>
    <w:rsid w:val="008E763F"/>
    <w:rsid w:val="0090154E"/>
    <w:rsid w:val="00902580"/>
    <w:rsid w:val="009073AC"/>
    <w:rsid w:val="00911FD3"/>
    <w:rsid w:val="00912FF5"/>
    <w:rsid w:val="00915B8F"/>
    <w:rsid w:val="0091699C"/>
    <w:rsid w:val="009208B4"/>
    <w:rsid w:val="00922FFA"/>
    <w:rsid w:val="00925C45"/>
    <w:rsid w:val="009361E7"/>
    <w:rsid w:val="0094336D"/>
    <w:rsid w:val="00943DD4"/>
    <w:rsid w:val="00944C03"/>
    <w:rsid w:val="00945155"/>
    <w:rsid w:val="0094656C"/>
    <w:rsid w:val="00947295"/>
    <w:rsid w:val="00953775"/>
    <w:rsid w:val="009640E9"/>
    <w:rsid w:val="00964F32"/>
    <w:rsid w:val="00967687"/>
    <w:rsid w:val="009712A3"/>
    <w:rsid w:val="00980520"/>
    <w:rsid w:val="00983F1B"/>
    <w:rsid w:val="00992B29"/>
    <w:rsid w:val="009A1688"/>
    <w:rsid w:val="009A3428"/>
    <w:rsid w:val="009A59C3"/>
    <w:rsid w:val="009B7B7E"/>
    <w:rsid w:val="009C3AA5"/>
    <w:rsid w:val="009C7EEF"/>
    <w:rsid w:val="009D109C"/>
    <w:rsid w:val="009D128A"/>
    <w:rsid w:val="009D7CAB"/>
    <w:rsid w:val="009E398E"/>
    <w:rsid w:val="009E4316"/>
    <w:rsid w:val="00A03ADF"/>
    <w:rsid w:val="00A044B2"/>
    <w:rsid w:val="00A137E7"/>
    <w:rsid w:val="00A13EF9"/>
    <w:rsid w:val="00A15512"/>
    <w:rsid w:val="00A15DDD"/>
    <w:rsid w:val="00A20EF0"/>
    <w:rsid w:val="00A2181B"/>
    <w:rsid w:val="00A225F4"/>
    <w:rsid w:val="00A343CC"/>
    <w:rsid w:val="00A37248"/>
    <w:rsid w:val="00A435CC"/>
    <w:rsid w:val="00A44CFE"/>
    <w:rsid w:val="00A55343"/>
    <w:rsid w:val="00A55A03"/>
    <w:rsid w:val="00A56B35"/>
    <w:rsid w:val="00A61B2E"/>
    <w:rsid w:val="00A6349B"/>
    <w:rsid w:val="00A6363B"/>
    <w:rsid w:val="00A70447"/>
    <w:rsid w:val="00A77340"/>
    <w:rsid w:val="00A85176"/>
    <w:rsid w:val="00A863A8"/>
    <w:rsid w:val="00A87E44"/>
    <w:rsid w:val="00A901D3"/>
    <w:rsid w:val="00A97CCA"/>
    <w:rsid w:val="00AA0727"/>
    <w:rsid w:val="00AA0A9D"/>
    <w:rsid w:val="00AA3928"/>
    <w:rsid w:val="00AB1A7D"/>
    <w:rsid w:val="00AB37AC"/>
    <w:rsid w:val="00AB501B"/>
    <w:rsid w:val="00AC41FD"/>
    <w:rsid w:val="00AC71BB"/>
    <w:rsid w:val="00AD7A37"/>
    <w:rsid w:val="00AE1F1D"/>
    <w:rsid w:val="00AE6609"/>
    <w:rsid w:val="00AF20F3"/>
    <w:rsid w:val="00AF2166"/>
    <w:rsid w:val="00AF7102"/>
    <w:rsid w:val="00B01E23"/>
    <w:rsid w:val="00B05B22"/>
    <w:rsid w:val="00B06652"/>
    <w:rsid w:val="00B14578"/>
    <w:rsid w:val="00B16440"/>
    <w:rsid w:val="00B2478F"/>
    <w:rsid w:val="00B32A85"/>
    <w:rsid w:val="00B36708"/>
    <w:rsid w:val="00B3756D"/>
    <w:rsid w:val="00B411DA"/>
    <w:rsid w:val="00B468DE"/>
    <w:rsid w:val="00B46EA8"/>
    <w:rsid w:val="00B5121A"/>
    <w:rsid w:val="00B52351"/>
    <w:rsid w:val="00B54582"/>
    <w:rsid w:val="00B7689D"/>
    <w:rsid w:val="00B76907"/>
    <w:rsid w:val="00B87871"/>
    <w:rsid w:val="00B90528"/>
    <w:rsid w:val="00B93075"/>
    <w:rsid w:val="00BA4B99"/>
    <w:rsid w:val="00BB5304"/>
    <w:rsid w:val="00BB5CA5"/>
    <w:rsid w:val="00BC1F3B"/>
    <w:rsid w:val="00BD10EE"/>
    <w:rsid w:val="00BD2DA6"/>
    <w:rsid w:val="00BD3CD4"/>
    <w:rsid w:val="00BD5821"/>
    <w:rsid w:val="00BD6F98"/>
    <w:rsid w:val="00BE4911"/>
    <w:rsid w:val="00BE6CB3"/>
    <w:rsid w:val="00BF036C"/>
    <w:rsid w:val="00BF3808"/>
    <w:rsid w:val="00C006E4"/>
    <w:rsid w:val="00C06690"/>
    <w:rsid w:val="00C07F44"/>
    <w:rsid w:val="00C11683"/>
    <w:rsid w:val="00C14309"/>
    <w:rsid w:val="00C15FB6"/>
    <w:rsid w:val="00C234E5"/>
    <w:rsid w:val="00C41C6F"/>
    <w:rsid w:val="00C44B59"/>
    <w:rsid w:val="00C4719D"/>
    <w:rsid w:val="00C60BEB"/>
    <w:rsid w:val="00C65034"/>
    <w:rsid w:val="00C722BC"/>
    <w:rsid w:val="00C742AA"/>
    <w:rsid w:val="00C753DA"/>
    <w:rsid w:val="00C80F0F"/>
    <w:rsid w:val="00C95E45"/>
    <w:rsid w:val="00CB3E0C"/>
    <w:rsid w:val="00CB5FFD"/>
    <w:rsid w:val="00CC03CB"/>
    <w:rsid w:val="00CD5CB3"/>
    <w:rsid w:val="00CE1B4B"/>
    <w:rsid w:val="00CE3110"/>
    <w:rsid w:val="00CE36AA"/>
    <w:rsid w:val="00CF12BE"/>
    <w:rsid w:val="00CF7571"/>
    <w:rsid w:val="00D01182"/>
    <w:rsid w:val="00D014B3"/>
    <w:rsid w:val="00D04D51"/>
    <w:rsid w:val="00D2245B"/>
    <w:rsid w:val="00D350D7"/>
    <w:rsid w:val="00D5040E"/>
    <w:rsid w:val="00D63CAA"/>
    <w:rsid w:val="00D650B6"/>
    <w:rsid w:val="00D65974"/>
    <w:rsid w:val="00D66BB5"/>
    <w:rsid w:val="00D721E2"/>
    <w:rsid w:val="00D740B0"/>
    <w:rsid w:val="00D75906"/>
    <w:rsid w:val="00D75BD0"/>
    <w:rsid w:val="00D84D2C"/>
    <w:rsid w:val="00D923E3"/>
    <w:rsid w:val="00D953F9"/>
    <w:rsid w:val="00D95F4F"/>
    <w:rsid w:val="00D97ACF"/>
    <w:rsid w:val="00DA02A9"/>
    <w:rsid w:val="00DB69BA"/>
    <w:rsid w:val="00DD07EA"/>
    <w:rsid w:val="00DD441F"/>
    <w:rsid w:val="00DD5D75"/>
    <w:rsid w:val="00DF52AA"/>
    <w:rsid w:val="00E003CD"/>
    <w:rsid w:val="00E02795"/>
    <w:rsid w:val="00E075D4"/>
    <w:rsid w:val="00E111FE"/>
    <w:rsid w:val="00E22D69"/>
    <w:rsid w:val="00E238CA"/>
    <w:rsid w:val="00E32241"/>
    <w:rsid w:val="00E40AD9"/>
    <w:rsid w:val="00E42BAD"/>
    <w:rsid w:val="00E43159"/>
    <w:rsid w:val="00E435F0"/>
    <w:rsid w:val="00E44E79"/>
    <w:rsid w:val="00E46387"/>
    <w:rsid w:val="00E52E61"/>
    <w:rsid w:val="00E57842"/>
    <w:rsid w:val="00E603B5"/>
    <w:rsid w:val="00E6069D"/>
    <w:rsid w:val="00E613CF"/>
    <w:rsid w:val="00E66612"/>
    <w:rsid w:val="00E85380"/>
    <w:rsid w:val="00E928AB"/>
    <w:rsid w:val="00EA0FD5"/>
    <w:rsid w:val="00EA1ADA"/>
    <w:rsid w:val="00EA2EAC"/>
    <w:rsid w:val="00EB07F4"/>
    <w:rsid w:val="00EB7DBF"/>
    <w:rsid w:val="00EC07D8"/>
    <w:rsid w:val="00EC3507"/>
    <w:rsid w:val="00EC4171"/>
    <w:rsid w:val="00ED00B9"/>
    <w:rsid w:val="00ED3D86"/>
    <w:rsid w:val="00ED3FEE"/>
    <w:rsid w:val="00ED77B6"/>
    <w:rsid w:val="00EE058D"/>
    <w:rsid w:val="00EE6C4B"/>
    <w:rsid w:val="00EF0CD7"/>
    <w:rsid w:val="00EF1D64"/>
    <w:rsid w:val="00EF25C6"/>
    <w:rsid w:val="00EF4010"/>
    <w:rsid w:val="00EF414C"/>
    <w:rsid w:val="00EF561C"/>
    <w:rsid w:val="00EF72D1"/>
    <w:rsid w:val="00F02BB8"/>
    <w:rsid w:val="00F1031C"/>
    <w:rsid w:val="00F10588"/>
    <w:rsid w:val="00F11596"/>
    <w:rsid w:val="00F22A58"/>
    <w:rsid w:val="00F25341"/>
    <w:rsid w:val="00F27D89"/>
    <w:rsid w:val="00F31292"/>
    <w:rsid w:val="00F335F6"/>
    <w:rsid w:val="00F36B64"/>
    <w:rsid w:val="00F37FF6"/>
    <w:rsid w:val="00F44B3C"/>
    <w:rsid w:val="00F46FC7"/>
    <w:rsid w:val="00F47F46"/>
    <w:rsid w:val="00F57388"/>
    <w:rsid w:val="00F726A8"/>
    <w:rsid w:val="00F73541"/>
    <w:rsid w:val="00F76F9B"/>
    <w:rsid w:val="00F80747"/>
    <w:rsid w:val="00F91ACA"/>
    <w:rsid w:val="00F93D00"/>
    <w:rsid w:val="00FA0C24"/>
    <w:rsid w:val="00FA2711"/>
    <w:rsid w:val="00FA3F06"/>
    <w:rsid w:val="00FA55D4"/>
    <w:rsid w:val="00FB3E1A"/>
    <w:rsid w:val="00FC3861"/>
    <w:rsid w:val="00FC5FBC"/>
    <w:rsid w:val="00FD1168"/>
    <w:rsid w:val="00FD1531"/>
    <w:rsid w:val="00FD1938"/>
    <w:rsid w:val="00FD1F73"/>
    <w:rsid w:val="00FD274B"/>
    <w:rsid w:val="00FD29D4"/>
    <w:rsid w:val="00FE05D8"/>
    <w:rsid w:val="00FE461D"/>
    <w:rsid w:val="00FE532D"/>
    <w:rsid w:val="00FF337B"/>
    <w:rsid w:val="00FF62FE"/>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891068"/>
  <w15:docId w15:val="{131DD05E-90CA-4E5A-917C-BAA5F998F2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sv-S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3" w:qFormat="1"/>
    <w:lsdException w:name="heading 4" w:uiPriority="3"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8"/>
    <w:lsdException w:name="index heading" w:semiHidden="1" w:unhideWhenUsed="1"/>
    <w:lsdException w:name="caption" w:semiHidden="1" w:uiPriority="35" w:unhideWhenUsed="1" w:qFormat="1"/>
    <w:lsdException w:name="table of figures" w:semiHidden="1" w:unhideWhenUsed="1"/>
    <w:lsdException w:name="envelope address" w:uiPriority="7"/>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uiPriority="8"/>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4" w:semiHidden="1" w:unhideWhenUsed="1"/>
    <w:lsdException w:name="List Bullet 5" w:semiHidden="1" w:unhideWhenUsed="1"/>
    <w:lsdException w:name="List Number 2" w:semiHidden="1"/>
    <w:lsdException w:name="List Number 3" w:semiHidden="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4"/>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70" w:unhideWhenUsed="1"/>
    <w:lsdException w:name="TOC Heading" w:uiPriority="3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4B3"/>
    <w:rPr>
      <w:rFonts w:ascii="Times New Roman" w:eastAsia="Times" w:hAnsi="Times New Roman" w:cs="Times New Roman"/>
      <w:sz w:val="24"/>
      <w:lang w:val="en-GB" w:eastAsia="zh-CN"/>
    </w:rPr>
  </w:style>
  <w:style w:type="paragraph" w:styleId="Heading1">
    <w:name w:val="heading 1"/>
    <w:aliases w:val="KTH Rubrik 1"/>
    <w:basedOn w:val="Normal"/>
    <w:next w:val="BodyText"/>
    <w:link w:val="Heading1Char"/>
    <w:qFormat/>
    <w:rsid w:val="0063648F"/>
    <w:pPr>
      <w:keepNext/>
      <w:keepLines/>
      <w:numPr>
        <w:numId w:val="40"/>
      </w:numPr>
      <w:spacing w:before="240" w:after="240" w:line="280" w:lineRule="atLeast"/>
      <w:outlineLvl w:val="0"/>
    </w:pPr>
    <w:rPr>
      <w:rFonts w:asciiTheme="majorHAnsi" w:eastAsiaTheme="majorEastAsia" w:hAnsiTheme="majorHAnsi" w:cstheme="majorBidi"/>
      <w:b/>
      <w:bCs/>
      <w:szCs w:val="28"/>
    </w:rPr>
  </w:style>
  <w:style w:type="paragraph" w:styleId="Heading2">
    <w:name w:val="heading 2"/>
    <w:aliases w:val="KTH Rubrik 2"/>
    <w:basedOn w:val="Normal"/>
    <w:next w:val="BodyText"/>
    <w:link w:val="Heading2Char"/>
    <w:qFormat/>
    <w:rsid w:val="003F200D"/>
    <w:pPr>
      <w:keepNext/>
      <w:keepLines/>
      <w:numPr>
        <w:ilvl w:val="1"/>
        <w:numId w:val="40"/>
      </w:numPr>
      <w:spacing w:before="240" w:after="80" w:line="260" w:lineRule="atLeast"/>
      <w:outlineLvl w:val="1"/>
    </w:pPr>
    <w:rPr>
      <w:rFonts w:asciiTheme="majorHAnsi" w:eastAsiaTheme="majorEastAsia" w:hAnsiTheme="majorHAnsi" w:cstheme="majorBidi"/>
      <w:b/>
      <w:bCs/>
      <w:szCs w:val="26"/>
    </w:rPr>
  </w:style>
  <w:style w:type="paragraph" w:styleId="Heading3">
    <w:name w:val="heading 3"/>
    <w:aliases w:val="KTH Rubrik 3"/>
    <w:basedOn w:val="Normal"/>
    <w:next w:val="BodyText"/>
    <w:link w:val="Heading3Char"/>
    <w:uiPriority w:val="3"/>
    <w:qFormat/>
    <w:rsid w:val="003F200D"/>
    <w:pPr>
      <w:keepNext/>
      <w:keepLines/>
      <w:numPr>
        <w:ilvl w:val="2"/>
        <w:numId w:val="40"/>
      </w:numPr>
      <w:spacing w:before="240" w:after="60" w:line="260" w:lineRule="atLeast"/>
      <w:outlineLvl w:val="2"/>
    </w:pPr>
    <w:rPr>
      <w:rFonts w:asciiTheme="majorHAnsi" w:eastAsiaTheme="majorEastAsia" w:hAnsiTheme="majorHAnsi" w:cstheme="majorBidi"/>
      <w:bCs/>
    </w:rPr>
  </w:style>
  <w:style w:type="paragraph" w:styleId="Heading4">
    <w:name w:val="heading 4"/>
    <w:aliases w:val="KTH Rubrik 4"/>
    <w:basedOn w:val="Normal"/>
    <w:next w:val="BodyText"/>
    <w:link w:val="Heading4Char"/>
    <w:uiPriority w:val="3"/>
    <w:qFormat/>
    <w:rsid w:val="003F200D"/>
    <w:pPr>
      <w:keepNext/>
      <w:keepLines/>
      <w:numPr>
        <w:ilvl w:val="3"/>
        <w:numId w:val="40"/>
      </w:numPr>
      <w:spacing w:before="240" w:after="40" w:line="260" w:lineRule="atLeast"/>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qFormat/>
    <w:rsid w:val="003F200D"/>
    <w:pPr>
      <w:keepNext/>
      <w:keepLines/>
      <w:numPr>
        <w:ilvl w:val="4"/>
        <w:numId w:val="4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3F200D"/>
    <w:pPr>
      <w:keepNext/>
      <w:keepLines/>
      <w:numPr>
        <w:ilvl w:val="5"/>
        <w:numId w:val="4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rsid w:val="003F200D"/>
    <w:pPr>
      <w:keepNext/>
      <w:keepLines/>
      <w:numPr>
        <w:ilvl w:val="6"/>
        <w:numId w:val="4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3F200D"/>
    <w:pPr>
      <w:keepNext/>
      <w:keepLines/>
      <w:numPr>
        <w:ilvl w:val="7"/>
        <w:numId w:val="40"/>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rsid w:val="003F200D"/>
    <w:pPr>
      <w:keepNext/>
      <w:keepLines/>
      <w:numPr>
        <w:ilvl w:val="8"/>
        <w:numId w:val="40"/>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KTH Brödtext"/>
    <w:basedOn w:val="Normal"/>
    <w:link w:val="BodyTextChar"/>
    <w:qFormat/>
    <w:rsid w:val="0063648F"/>
    <w:pPr>
      <w:spacing w:after="240" w:line="360" w:lineRule="auto"/>
      <w:jc w:val="both"/>
    </w:pPr>
    <w:rPr>
      <w:rFonts w:ascii="Georgia" w:hAnsi="Georgia"/>
    </w:rPr>
  </w:style>
  <w:style w:type="character" w:customStyle="1" w:styleId="BodyTextChar">
    <w:name w:val="Body Text Char"/>
    <w:aliases w:val="KTH Brödtext Char"/>
    <w:basedOn w:val="DefaultParagraphFont"/>
    <w:link w:val="BodyText"/>
    <w:rsid w:val="0063648F"/>
    <w:rPr>
      <w:rFonts w:ascii="Georgia" w:eastAsia="Times" w:hAnsi="Georgia" w:cs="Times New Roman"/>
      <w:sz w:val="24"/>
      <w:lang w:val="en-GB" w:eastAsia="zh-CN"/>
    </w:rPr>
  </w:style>
  <w:style w:type="paragraph" w:styleId="BodyText2">
    <w:name w:val="Body Text 2"/>
    <w:aliases w:val="KTH Brödtext 2"/>
    <w:basedOn w:val="BodyText"/>
    <w:link w:val="BodyText2Char"/>
    <w:uiPriority w:val="4"/>
    <w:rsid w:val="003F200D"/>
    <w:pPr>
      <w:ind w:firstLine="357"/>
    </w:pPr>
  </w:style>
  <w:style w:type="character" w:customStyle="1" w:styleId="BodyText2Char">
    <w:name w:val="Body Text 2 Char"/>
    <w:aliases w:val="KTH Brödtext 2 Char"/>
    <w:basedOn w:val="DefaultParagraphFont"/>
    <w:link w:val="BodyText2"/>
    <w:uiPriority w:val="4"/>
    <w:rsid w:val="003F200D"/>
    <w:rPr>
      <w:lang w:val="en-GB"/>
    </w:rPr>
  </w:style>
  <w:style w:type="character" w:customStyle="1" w:styleId="Heading1Char">
    <w:name w:val="Heading 1 Char"/>
    <w:aliases w:val="KTH Rubrik 1 Char"/>
    <w:basedOn w:val="DefaultParagraphFont"/>
    <w:link w:val="Heading1"/>
    <w:rsid w:val="0063648F"/>
    <w:rPr>
      <w:rFonts w:asciiTheme="majorHAnsi" w:eastAsiaTheme="majorEastAsia" w:hAnsiTheme="majorHAnsi" w:cstheme="majorBidi"/>
      <w:b/>
      <w:bCs/>
      <w:sz w:val="24"/>
      <w:szCs w:val="28"/>
      <w:lang w:val="en-GB" w:eastAsia="zh-CN"/>
    </w:rPr>
  </w:style>
  <w:style w:type="character" w:customStyle="1" w:styleId="Heading2Char">
    <w:name w:val="Heading 2 Char"/>
    <w:aliases w:val="KTH Rubrik 2 Char"/>
    <w:basedOn w:val="DefaultParagraphFont"/>
    <w:link w:val="Heading2"/>
    <w:rsid w:val="003F200D"/>
    <w:rPr>
      <w:rFonts w:asciiTheme="majorHAnsi" w:eastAsiaTheme="majorEastAsia" w:hAnsiTheme="majorHAnsi" w:cstheme="majorBidi"/>
      <w:b/>
      <w:bCs/>
      <w:sz w:val="24"/>
      <w:szCs w:val="26"/>
      <w:lang w:val="en-GB" w:eastAsia="zh-CN"/>
    </w:rPr>
  </w:style>
  <w:style w:type="character" w:customStyle="1" w:styleId="Heading3Char">
    <w:name w:val="Heading 3 Char"/>
    <w:aliases w:val="KTH Rubrik 3 Char"/>
    <w:basedOn w:val="DefaultParagraphFont"/>
    <w:link w:val="Heading3"/>
    <w:uiPriority w:val="3"/>
    <w:rsid w:val="003F200D"/>
    <w:rPr>
      <w:rFonts w:asciiTheme="majorHAnsi" w:eastAsiaTheme="majorEastAsia" w:hAnsiTheme="majorHAnsi" w:cstheme="majorBidi"/>
      <w:bCs/>
      <w:sz w:val="24"/>
      <w:lang w:val="en-GB" w:eastAsia="zh-CN"/>
    </w:rPr>
  </w:style>
  <w:style w:type="character" w:customStyle="1" w:styleId="Heading4Char">
    <w:name w:val="Heading 4 Char"/>
    <w:aliases w:val="KTH Rubrik 4 Char"/>
    <w:basedOn w:val="DefaultParagraphFont"/>
    <w:link w:val="Heading4"/>
    <w:uiPriority w:val="3"/>
    <w:rsid w:val="003F200D"/>
    <w:rPr>
      <w:rFonts w:asciiTheme="majorHAnsi" w:eastAsiaTheme="majorEastAsia" w:hAnsiTheme="majorHAnsi" w:cstheme="majorBidi"/>
      <w:bCs/>
      <w:i/>
      <w:iCs/>
      <w:sz w:val="24"/>
      <w:lang w:val="en-GB" w:eastAsia="zh-CN"/>
    </w:rPr>
  </w:style>
  <w:style w:type="paragraph" w:styleId="Title">
    <w:name w:val="Title"/>
    <w:aliases w:val="KTH Rubrik"/>
    <w:basedOn w:val="Normal"/>
    <w:next w:val="Subtitle"/>
    <w:link w:val="TitleChar"/>
    <w:uiPriority w:val="1"/>
    <w:rsid w:val="003F200D"/>
    <w:pPr>
      <w:spacing w:after="480" w:line="600" w:lineRule="atLeast"/>
    </w:pPr>
    <w:rPr>
      <w:rFonts w:asciiTheme="majorHAnsi" w:eastAsiaTheme="majorEastAsia" w:hAnsiTheme="majorHAnsi" w:cstheme="majorBidi"/>
      <w:b/>
      <w:spacing w:val="5"/>
      <w:kern w:val="28"/>
      <w:sz w:val="56"/>
      <w:szCs w:val="52"/>
    </w:rPr>
  </w:style>
  <w:style w:type="character" w:customStyle="1" w:styleId="TitleChar">
    <w:name w:val="Title Char"/>
    <w:aliases w:val="KTH Rubrik Char"/>
    <w:basedOn w:val="DefaultParagraphFont"/>
    <w:link w:val="Title"/>
    <w:uiPriority w:val="1"/>
    <w:rsid w:val="003F200D"/>
    <w:rPr>
      <w:rFonts w:asciiTheme="majorHAnsi" w:eastAsiaTheme="majorEastAsia" w:hAnsiTheme="majorHAnsi" w:cstheme="majorBidi"/>
      <w:b/>
      <w:spacing w:val="5"/>
      <w:kern w:val="28"/>
      <w:sz w:val="56"/>
      <w:szCs w:val="52"/>
    </w:rPr>
  </w:style>
  <w:style w:type="paragraph" w:customStyle="1" w:styleId="KTHTitel">
    <w:name w:val="KTH Titel"/>
    <w:basedOn w:val="Unnumberedheading1"/>
    <w:next w:val="BodyText"/>
    <w:uiPriority w:val="2"/>
    <w:qFormat/>
    <w:rsid w:val="00F25341"/>
  </w:style>
  <w:style w:type="paragraph" w:styleId="Subtitle">
    <w:name w:val="Subtitle"/>
    <w:aliases w:val="KTH Underrubrik"/>
    <w:basedOn w:val="Normal"/>
    <w:next w:val="BodyText"/>
    <w:link w:val="SubtitleChar"/>
    <w:uiPriority w:val="1"/>
    <w:rsid w:val="003F200D"/>
    <w:pPr>
      <w:numPr>
        <w:ilvl w:val="1"/>
      </w:numPr>
      <w:spacing w:after="480" w:line="380" w:lineRule="atLeast"/>
    </w:pPr>
    <w:rPr>
      <w:rFonts w:asciiTheme="majorHAnsi" w:eastAsiaTheme="majorEastAsia" w:hAnsiTheme="majorHAnsi" w:cstheme="majorBidi"/>
      <w:iCs/>
      <w:spacing w:val="15"/>
      <w:sz w:val="32"/>
      <w:szCs w:val="24"/>
    </w:rPr>
  </w:style>
  <w:style w:type="character" w:customStyle="1" w:styleId="SubtitleChar">
    <w:name w:val="Subtitle Char"/>
    <w:aliases w:val="KTH Underrubrik Char"/>
    <w:basedOn w:val="DefaultParagraphFont"/>
    <w:link w:val="Subtitle"/>
    <w:uiPriority w:val="1"/>
    <w:rsid w:val="003F200D"/>
    <w:rPr>
      <w:rFonts w:asciiTheme="majorHAnsi" w:eastAsiaTheme="majorEastAsia" w:hAnsiTheme="majorHAnsi" w:cstheme="majorBidi"/>
      <w:iCs/>
      <w:spacing w:val="15"/>
      <w:sz w:val="32"/>
      <w:szCs w:val="24"/>
    </w:rPr>
  </w:style>
  <w:style w:type="paragraph" w:customStyle="1" w:styleId="KTHPunktlistaPunktlista">
    <w:name w:val="KTH Punktlista  (Punktlista)"/>
    <w:basedOn w:val="Normal"/>
    <w:uiPriority w:val="5"/>
    <w:qFormat/>
    <w:rsid w:val="003F200D"/>
    <w:pPr>
      <w:numPr>
        <w:numId w:val="32"/>
      </w:numPr>
      <w:spacing w:before="120" w:after="120" w:line="260" w:lineRule="atLeast"/>
    </w:pPr>
  </w:style>
  <w:style w:type="paragraph" w:customStyle="1" w:styleId="KTHPunktlista2Punktlista2">
    <w:name w:val="KTH Punktlista 2  (Punktlista 2)"/>
    <w:basedOn w:val="Normal"/>
    <w:uiPriority w:val="5"/>
    <w:rsid w:val="003F200D"/>
    <w:pPr>
      <w:numPr>
        <w:ilvl w:val="1"/>
        <w:numId w:val="32"/>
      </w:numPr>
      <w:spacing w:before="80" w:after="80" w:line="260" w:lineRule="atLeast"/>
    </w:pPr>
  </w:style>
  <w:style w:type="paragraph" w:customStyle="1" w:styleId="KTHPunktlista3Punktlista3">
    <w:name w:val="KTH Punktlista 3  (Punktlista 3)"/>
    <w:basedOn w:val="Normal"/>
    <w:uiPriority w:val="5"/>
    <w:rsid w:val="003F200D"/>
    <w:pPr>
      <w:numPr>
        <w:ilvl w:val="2"/>
        <w:numId w:val="32"/>
      </w:numPr>
      <w:spacing w:before="40" w:after="40" w:line="260" w:lineRule="atLeast"/>
    </w:pPr>
  </w:style>
  <w:style w:type="paragraph" w:styleId="ListBullet">
    <w:name w:val="List Bullet"/>
    <w:aliases w:val="KTH Punktlista"/>
    <w:basedOn w:val="Normal"/>
    <w:uiPriority w:val="99"/>
    <w:semiHidden/>
    <w:rsid w:val="003F200D"/>
    <w:pPr>
      <w:numPr>
        <w:numId w:val="34"/>
      </w:numPr>
      <w:contextualSpacing/>
    </w:pPr>
  </w:style>
  <w:style w:type="paragraph" w:styleId="ListBullet2">
    <w:name w:val="List Bullet 2"/>
    <w:aliases w:val="KTH Punktlista 2"/>
    <w:basedOn w:val="Normal"/>
    <w:rsid w:val="003F200D"/>
    <w:pPr>
      <w:numPr>
        <w:numId w:val="33"/>
      </w:numPr>
      <w:contextualSpacing/>
    </w:pPr>
  </w:style>
  <w:style w:type="paragraph" w:styleId="ListBullet3">
    <w:name w:val="List Bullet 3"/>
    <w:aliases w:val="KTH Punktlista 3"/>
    <w:basedOn w:val="ListBullet"/>
    <w:uiPriority w:val="99"/>
    <w:semiHidden/>
    <w:rsid w:val="003F200D"/>
    <w:pPr>
      <w:numPr>
        <w:ilvl w:val="2"/>
        <w:numId w:val="35"/>
      </w:numPr>
    </w:pPr>
  </w:style>
  <w:style w:type="paragraph" w:customStyle="1" w:styleId="KTHNumreradlistaNumreradlista">
    <w:name w:val="KTH Numrerad lista  (Numrerad lista)"/>
    <w:basedOn w:val="Normal"/>
    <w:uiPriority w:val="5"/>
    <w:qFormat/>
    <w:rsid w:val="003F200D"/>
    <w:pPr>
      <w:numPr>
        <w:numId w:val="29"/>
      </w:numPr>
      <w:spacing w:before="120" w:after="120" w:line="260" w:lineRule="atLeast"/>
    </w:pPr>
  </w:style>
  <w:style w:type="paragraph" w:customStyle="1" w:styleId="KTHNumreradlista2Numreradlista2">
    <w:name w:val="KTH Numrerad lista 2  (Numrerad lista 2)"/>
    <w:basedOn w:val="Normal"/>
    <w:uiPriority w:val="5"/>
    <w:rsid w:val="003F200D"/>
    <w:pPr>
      <w:numPr>
        <w:ilvl w:val="1"/>
        <w:numId w:val="29"/>
      </w:numPr>
      <w:spacing w:before="80" w:after="80" w:line="260" w:lineRule="atLeast"/>
    </w:pPr>
  </w:style>
  <w:style w:type="paragraph" w:customStyle="1" w:styleId="KTHNumreradlista3Numreradlista3">
    <w:name w:val="KTH Numrerad lista 3  (Numrerad lista 3)"/>
    <w:basedOn w:val="Normal"/>
    <w:uiPriority w:val="5"/>
    <w:rsid w:val="003F200D"/>
    <w:pPr>
      <w:numPr>
        <w:ilvl w:val="2"/>
        <w:numId w:val="29"/>
      </w:numPr>
      <w:spacing w:before="40" w:after="40" w:line="260" w:lineRule="atLeast"/>
    </w:pPr>
  </w:style>
  <w:style w:type="paragraph" w:customStyle="1" w:styleId="KTHnRubrik1">
    <w:name w:val="KTH nRubrik 1"/>
    <w:basedOn w:val="Heading1"/>
    <w:next w:val="BodyText"/>
    <w:uiPriority w:val="6"/>
    <w:qFormat/>
    <w:rsid w:val="003F200D"/>
    <w:pPr>
      <w:numPr>
        <w:numId w:val="26"/>
      </w:numPr>
    </w:pPr>
  </w:style>
  <w:style w:type="paragraph" w:customStyle="1" w:styleId="KTHnRubrik2">
    <w:name w:val="KTH nRubrik 2"/>
    <w:basedOn w:val="Heading2"/>
    <w:next w:val="BodyText"/>
    <w:uiPriority w:val="6"/>
    <w:qFormat/>
    <w:rsid w:val="003F200D"/>
    <w:pPr>
      <w:numPr>
        <w:numId w:val="26"/>
      </w:numPr>
    </w:pPr>
  </w:style>
  <w:style w:type="paragraph" w:customStyle="1" w:styleId="KTHnRubrik3">
    <w:name w:val="KTH nRubrik 3"/>
    <w:basedOn w:val="Heading3"/>
    <w:next w:val="BodyText"/>
    <w:uiPriority w:val="6"/>
    <w:qFormat/>
    <w:rsid w:val="003F200D"/>
    <w:pPr>
      <w:numPr>
        <w:numId w:val="26"/>
      </w:numPr>
    </w:pPr>
  </w:style>
  <w:style w:type="paragraph" w:customStyle="1" w:styleId="KTHnRubrik4">
    <w:name w:val="KTH nRubrik 4"/>
    <w:basedOn w:val="Heading4"/>
    <w:next w:val="BodyText"/>
    <w:uiPriority w:val="6"/>
    <w:qFormat/>
    <w:rsid w:val="003F200D"/>
    <w:pPr>
      <w:numPr>
        <w:numId w:val="26"/>
      </w:numPr>
    </w:pPr>
  </w:style>
  <w:style w:type="character" w:customStyle="1" w:styleId="Heading5Char">
    <w:name w:val="Heading 5 Char"/>
    <w:basedOn w:val="DefaultParagraphFont"/>
    <w:link w:val="Heading5"/>
    <w:uiPriority w:val="9"/>
    <w:semiHidden/>
    <w:rsid w:val="003F200D"/>
    <w:rPr>
      <w:rFonts w:asciiTheme="majorHAnsi" w:eastAsiaTheme="majorEastAsia" w:hAnsiTheme="majorHAnsi" w:cstheme="majorBidi"/>
      <w:color w:val="243F60" w:themeColor="accent1" w:themeShade="7F"/>
      <w:sz w:val="24"/>
      <w:lang w:val="en-GB" w:eastAsia="zh-CN"/>
    </w:rPr>
  </w:style>
  <w:style w:type="character" w:customStyle="1" w:styleId="Heading6Char">
    <w:name w:val="Heading 6 Char"/>
    <w:basedOn w:val="DefaultParagraphFont"/>
    <w:link w:val="Heading6"/>
    <w:uiPriority w:val="9"/>
    <w:semiHidden/>
    <w:rsid w:val="003F200D"/>
    <w:rPr>
      <w:rFonts w:asciiTheme="majorHAnsi" w:eastAsiaTheme="majorEastAsia" w:hAnsiTheme="majorHAnsi" w:cstheme="majorBidi"/>
      <w:i/>
      <w:iCs/>
      <w:color w:val="243F60" w:themeColor="accent1" w:themeShade="7F"/>
      <w:sz w:val="24"/>
      <w:lang w:val="en-GB" w:eastAsia="zh-CN"/>
    </w:rPr>
  </w:style>
  <w:style w:type="character" w:customStyle="1" w:styleId="Heading7Char">
    <w:name w:val="Heading 7 Char"/>
    <w:basedOn w:val="DefaultParagraphFont"/>
    <w:link w:val="Heading7"/>
    <w:uiPriority w:val="9"/>
    <w:semiHidden/>
    <w:rsid w:val="003F200D"/>
    <w:rPr>
      <w:rFonts w:asciiTheme="majorHAnsi" w:eastAsiaTheme="majorEastAsia" w:hAnsiTheme="majorHAnsi" w:cstheme="majorBidi"/>
      <w:i/>
      <w:iCs/>
      <w:color w:val="404040" w:themeColor="text1" w:themeTint="BF"/>
      <w:sz w:val="24"/>
      <w:lang w:val="en-GB" w:eastAsia="zh-CN"/>
    </w:rPr>
  </w:style>
  <w:style w:type="character" w:customStyle="1" w:styleId="Heading8Char">
    <w:name w:val="Heading 8 Char"/>
    <w:basedOn w:val="DefaultParagraphFont"/>
    <w:link w:val="Heading8"/>
    <w:uiPriority w:val="9"/>
    <w:semiHidden/>
    <w:rsid w:val="003F200D"/>
    <w:rPr>
      <w:rFonts w:asciiTheme="majorHAnsi" w:eastAsiaTheme="majorEastAsia" w:hAnsiTheme="majorHAnsi" w:cstheme="majorBidi"/>
      <w:color w:val="404040" w:themeColor="text1" w:themeTint="BF"/>
      <w:sz w:val="24"/>
      <w:lang w:val="en-GB" w:eastAsia="zh-CN"/>
    </w:rPr>
  </w:style>
  <w:style w:type="character" w:customStyle="1" w:styleId="Heading9Char">
    <w:name w:val="Heading 9 Char"/>
    <w:basedOn w:val="DefaultParagraphFont"/>
    <w:link w:val="Heading9"/>
    <w:uiPriority w:val="9"/>
    <w:semiHidden/>
    <w:rsid w:val="003F200D"/>
    <w:rPr>
      <w:rFonts w:asciiTheme="majorHAnsi" w:eastAsiaTheme="majorEastAsia" w:hAnsiTheme="majorHAnsi" w:cstheme="majorBidi"/>
      <w:i/>
      <w:iCs/>
      <w:color w:val="404040" w:themeColor="text1" w:themeTint="BF"/>
      <w:sz w:val="24"/>
      <w:lang w:val="en-GB" w:eastAsia="zh-CN"/>
    </w:rPr>
  </w:style>
  <w:style w:type="paragraph" w:styleId="TOCHeading">
    <w:name w:val="TOC Heading"/>
    <w:basedOn w:val="KTHTitel"/>
    <w:next w:val="Normal"/>
    <w:uiPriority w:val="38"/>
    <w:rsid w:val="003F200D"/>
  </w:style>
  <w:style w:type="paragraph" w:styleId="Header">
    <w:name w:val="header"/>
    <w:basedOn w:val="Normal"/>
    <w:link w:val="HeaderChar"/>
    <w:rsid w:val="00207CFC"/>
    <w:pPr>
      <w:tabs>
        <w:tab w:val="center" w:pos="4395"/>
        <w:tab w:val="right" w:pos="9072"/>
      </w:tabs>
      <w:spacing w:after="20"/>
    </w:pPr>
    <w:rPr>
      <w:rFonts w:asciiTheme="majorHAnsi" w:hAnsiTheme="majorHAnsi"/>
      <w:noProof/>
      <w:sz w:val="15"/>
      <w:lang w:val="en-US"/>
    </w:rPr>
  </w:style>
  <w:style w:type="character" w:customStyle="1" w:styleId="HeaderChar">
    <w:name w:val="Header Char"/>
    <w:basedOn w:val="DefaultParagraphFont"/>
    <w:link w:val="Header"/>
    <w:rsid w:val="00207CFC"/>
    <w:rPr>
      <w:rFonts w:asciiTheme="majorHAnsi" w:eastAsia="Times" w:hAnsiTheme="majorHAnsi" w:cs="Times New Roman"/>
      <w:noProof/>
      <w:sz w:val="15"/>
      <w:lang w:val="en-US" w:eastAsia="zh-CN"/>
    </w:rPr>
  </w:style>
  <w:style w:type="character" w:styleId="PageNumber">
    <w:name w:val="page number"/>
    <w:basedOn w:val="DefaultParagraphFont"/>
    <w:uiPriority w:val="8"/>
    <w:rsid w:val="003F200D"/>
    <w:rPr>
      <w:rFonts w:asciiTheme="majorHAnsi" w:hAnsiTheme="majorHAnsi"/>
      <w:noProof/>
      <w:sz w:val="15"/>
    </w:rPr>
  </w:style>
  <w:style w:type="paragraph" w:styleId="Footer">
    <w:name w:val="footer"/>
    <w:basedOn w:val="Normal"/>
    <w:link w:val="FooterChar"/>
    <w:uiPriority w:val="8"/>
    <w:rsid w:val="003F200D"/>
    <w:pPr>
      <w:tabs>
        <w:tab w:val="center" w:pos="4536"/>
        <w:tab w:val="right" w:pos="9072"/>
      </w:tabs>
      <w:spacing w:line="210" w:lineRule="atLeast"/>
    </w:pPr>
    <w:rPr>
      <w:rFonts w:asciiTheme="majorHAnsi" w:hAnsiTheme="majorHAnsi"/>
      <w:noProof/>
      <w:sz w:val="15"/>
    </w:rPr>
  </w:style>
  <w:style w:type="character" w:customStyle="1" w:styleId="FooterChar">
    <w:name w:val="Footer Char"/>
    <w:basedOn w:val="DefaultParagraphFont"/>
    <w:link w:val="Footer"/>
    <w:uiPriority w:val="8"/>
    <w:rsid w:val="003F200D"/>
    <w:rPr>
      <w:rFonts w:asciiTheme="majorHAnsi" w:hAnsiTheme="majorHAnsi"/>
      <w:noProof/>
      <w:sz w:val="15"/>
      <w:lang w:val="en-GB"/>
    </w:rPr>
  </w:style>
  <w:style w:type="paragraph" w:styleId="BalloonText">
    <w:name w:val="Balloon Text"/>
    <w:basedOn w:val="Normal"/>
    <w:link w:val="BalloonTextChar"/>
    <w:uiPriority w:val="99"/>
    <w:semiHidden/>
    <w:unhideWhenUsed/>
    <w:rsid w:val="00313901"/>
    <w:rPr>
      <w:rFonts w:ascii="Tahoma" w:hAnsi="Tahoma" w:cs="Tahoma"/>
      <w:sz w:val="16"/>
      <w:szCs w:val="16"/>
    </w:rPr>
  </w:style>
  <w:style w:type="character" w:customStyle="1" w:styleId="BalloonTextChar">
    <w:name w:val="Balloon Text Char"/>
    <w:basedOn w:val="DefaultParagraphFont"/>
    <w:link w:val="BalloonText"/>
    <w:uiPriority w:val="99"/>
    <w:semiHidden/>
    <w:rsid w:val="00313901"/>
    <w:rPr>
      <w:rFonts w:ascii="Tahoma" w:hAnsi="Tahoma" w:cs="Tahoma"/>
      <w:sz w:val="16"/>
      <w:szCs w:val="16"/>
    </w:rPr>
  </w:style>
  <w:style w:type="table" w:styleId="TableGrid">
    <w:name w:val="Table Grid"/>
    <w:basedOn w:val="TableNormal"/>
    <w:uiPriority w:val="59"/>
    <w:rsid w:val="006E15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D424E"/>
    <w:rPr>
      <w:color w:val="808080"/>
    </w:rPr>
  </w:style>
  <w:style w:type="paragraph" w:customStyle="1" w:styleId="HeaderBold">
    <w:name w:val="HeaderBold"/>
    <w:basedOn w:val="Header"/>
    <w:uiPriority w:val="8"/>
    <w:rsid w:val="003F200D"/>
    <w:pPr>
      <w:spacing w:before="20"/>
    </w:pPr>
    <w:rPr>
      <w:b/>
    </w:rPr>
  </w:style>
  <w:style w:type="paragraph" w:customStyle="1" w:styleId="FooterBold">
    <w:name w:val="FooterBold"/>
    <w:basedOn w:val="Footer"/>
    <w:uiPriority w:val="8"/>
    <w:rsid w:val="003F200D"/>
    <w:pPr>
      <w:spacing w:line="200" w:lineRule="atLeast"/>
    </w:pPr>
    <w:rPr>
      <w:b/>
    </w:rPr>
  </w:style>
  <w:style w:type="paragraph" w:styleId="EnvelopeAddress">
    <w:name w:val="envelope address"/>
    <w:basedOn w:val="Normal"/>
    <w:uiPriority w:val="7"/>
    <w:rsid w:val="003F200D"/>
    <w:rPr>
      <w:rFonts w:ascii="Arial" w:eastAsia="Georgia" w:hAnsi="Arial" w:cs="Arial"/>
      <w:noProof/>
    </w:rPr>
  </w:style>
  <w:style w:type="paragraph" w:styleId="TOC1">
    <w:name w:val="toc 1"/>
    <w:basedOn w:val="Normal"/>
    <w:next w:val="Normal"/>
    <w:uiPriority w:val="39"/>
    <w:rsid w:val="003F200D"/>
    <w:pPr>
      <w:spacing w:after="100"/>
    </w:pPr>
  </w:style>
  <w:style w:type="paragraph" w:styleId="TOC2">
    <w:name w:val="toc 2"/>
    <w:basedOn w:val="Normal"/>
    <w:next w:val="Normal"/>
    <w:uiPriority w:val="39"/>
    <w:rsid w:val="003F200D"/>
    <w:pPr>
      <w:spacing w:after="100"/>
      <w:ind w:left="200"/>
    </w:pPr>
  </w:style>
  <w:style w:type="paragraph" w:styleId="TOC3">
    <w:name w:val="toc 3"/>
    <w:basedOn w:val="Normal"/>
    <w:next w:val="Normal"/>
    <w:uiPriority w:val="39"/>
    <w:rsid w:val="003F200D"/>
    <w:pPr>
      <w:spacing w:after="100"/>
      <w:ind w:left="400"/>
    </w:pPr>
  </w:style>
  <w:style w:type="paragraph" w:styleId="ListNumber">
    <w:name w:val="List Number"/>
    <w:basedOn w:val="Normal"/>
    <w:uiPriority w:val="99"/>
    <w:semiHidden/>
    <w:rsid w:val="00CE36AA"/>
    <w:pPr>
      <w:numPr>
        <w:numId w:val="7"/>
      </w:numPr>
      <w:contextualSpacing/>
    </w:pPr>
  </w:style>
  <w:style w:type="paragraph" w:styleId="ListNumber2">
    <w:name w:val="List Number 2"/>
    <w:basedOn w:val="Normal"/>
    <w:uiPriority w:val="99"/>
    <w:semiHidden/>
    <w:rsid w:val="00CE36AA"/>
    <w:pPr>
      <w:numPr>
        <w:numId w:val="2"/>
      </w:numPr>
      <w:contextualSpacing/>
    </w:pPr>
  </w:style>
  <w:style w:type="paragraph" w:styleId="ListNumber3">
    <w:name w:val="List Number 3"/>
    <w:basedOn w:val="Normal"/>
    <w:uiPriority w:val="99"/>
    <w:semiHidden/>
    <w:rsid w:val="00CE36AA"/>
    <w:pPr>
      <w:numPr>
        <w:numId w:val="3"/>
      </w:numPr>
      <w:contextualSpacing/>
    </w:pPr>
  </w:style>
  <w:style w:type="paragraph" w:customStyle="1" w:styleId="Descriptionofthisitem">
    <w:name w:val="Description of this item"/>
    <w:basedOn w:val="Normal"/>
    <w:rsid w:val="00CE36AA"/>
    <w:pPr>
      <w:ind w:left="1200"/>
    </w:pPr>
  </w:style>
  <w:style w:type="character" w:styleId="CommentReference">
    <w:name w:val="annotation reference"/>
    <w:semiHidden/>
    <w:rsid w:val="00CE36AA"/>
    <w:rPr>
      <w:sz w:val="16"/>
      <w:szCs w:val="16"/>
    </w:rPr>
  </w:style>
  <w:style w:type="paragraph" w:styleId="Bibliography">
    <w:name w:val="Bibliography"/>
    <w:basedOn w:val="Normal"/>
    <w:next w:val="Normal"/>
    <w:autoRedefine/>
    <w:uiPriority w:val="70"/>
    <w:rsid w:val="007241C8"/>
    <w:pPr>
      <w:tabs>
        <w:tab w:val="left" w:pos="384"/>
      </w:tabs>
      <w:spacing w:after="120"/>
      <w:ind w:left="389" w:hanging="389"/>
    </w:pPr>
    <w:rPr>
      <w:rFonts w:ascii="Aptos" w:hAnsi="Aptos"/>
      <w:sz w:val="22"/>
      <w:szCs w:val="18"/>
    </w:rPr>
  </w:style>
  <w:style w:type="character" w:styleId="Hyperlink">
    <w:name w:val="Hyperlink"/>
    <w:basedOn w:val="DefaultParagraphFont"/>
    <w:uiPriority w:val="99"/>
    <w:unhideWhenUsed/>
    <w:rsid w:val="001B1E04"/>
    <w:rPr>
      <w:color w:val="0000FF" w:themeColor="hyperlink"/>
      <w:u w:val="single"/>
    </w:rPr>
  </w:style>
  <w:style w:type="paragraph" w:customStyle="1" w:styleId="Sectiondescription">
    <w:name w:val="Section description"/>
    <w:basedOn w:val="BodyText"/>
    <w:qFormat/>
    <w:rsid w:val="00D014B3"/>
    <w:pPr>
      <w:spacing w:line="240" w:lineRule="auto"/>
    </w:pPr>
    <w:rPr>
      <w:iCs/>
      <w:color w:val="24A0DB"/>
      <w:szCs w:val="24"/>
    </w:rPr>
  </w:style>
  <w:style w:type="paragraph" w:styleId="CommentText">
    <w:name w:val="annotation text"/>
    <w:basedOn w:val="Normal"/>
    <w:link w:val="CommentTextChar"/>
    <w:uiPriority w:val="99"/>
    <w:semiHidden/>
    <w:unhideWhenUsed/>
    <w:rsid w:val="00FD29D4"/>
    <w:rPr>
      <w:sz w:val="20"/>
    </w:rPr>
  </w:style>
  <w:style w:type="character" w:customStyle="1" w:styleId="CommentTextChar">
    <w:name w:val="Comment Text Char"/>
    <w:basedOn w:val="DefaultParagraphFont"/>
    <w:link w:val="CommentText"/>
    <w:uiPriority w:val="99"/>
    <w:semiHidden/>
    <w:rsid w:val="00FD29D4"/>
    <w:rPr>
      <w:rFonts w:ascii="Times New Roman" w:eastAsia="Times" w:hAnsi="Times New Roman" w:cs="Times New Roman"/>
      <w:lang w:val="en-GB" w:eastAsia="zh-CN"/>
    </w:rPr>
  </w:style>
  <w:style w:type="paragraph" w:styleId="CommentSubject">
    <w:name w:val="annotation subject"/>
    <w:basedOn w:val="CommentText"/>
    <w:next w:val="CommentText"/>
    <w:link w:val="CommentSubjectChar"/>
    <w:uiPriority w:val="99"/>
    <w:semiHidden/>
    <w:unhideWhenUsed/>
    <w:rsid w:val="00FD29D4"/>
    <w:rPr>
      <w:b/>
      <w:bCs/>
    </w:rPr>
  </w:style>
  <w:style w:type="character" w:customStyle="1" w:styleId="CommentSubjectChar">
    <w:name w:val="Comment Subject Char"/>
    <w:basedOn w:val="CommentTextChar"/>
    <w:link w:val="CommentSubject"/>
    <w:uiPriority w:val="99"/>
    <w:semiHidden/>
    <w:rsid w:val="00FD29D4"/>
    <w:rPr>
      <w:rFonts w:ascii="Times New Roman" w:eastAsia="Times" w:hAnsi="Times New Roman" w:cs="Times New Roman"/>
      <w:b/>
      <w:bCs/>
      <w:lang w:val="en-GB" w:eastAsia="zh-CN"/>
    </w:rPr>
  </w:style>
  <w:style w:type="paragraph" w:customStyle="1" w:styleId="Unnumberedheading1">
    <w:name w:val="Unnumbered heading 1"/>
    <w:basedOn w:val="Heading1"/>
    <w:qFormat/>
    <w:rsid w:val="00F25341"/>
    <w:pPr>
      <w:numPr>
        <w:numId w:val="0"/>
      </w:numPr>
    </w:pPr>
  </w:style>
  <w:style w:type="character" w:styleId="UnresolvedMention">
    <w:name w:val="Unresolved Mention"/>
    <w:basedOn w:val="DefaultParagraphFont"/>
    <w:uiPriority w:val="99"/>
    <w:semiHidden/>
    <w:unhideWhenUsed/>
    <w:rsid w:val="00A225F4"/>
    <w:rPr>
      <w:color w:val="605E5C"/>
      <w:shd w:val="clear" w:color="auto" w:fill="E1DFDD"/>
    </w:rPr>
  </w:style>
  <w:style w:type="paragraph" w:customStyle="1" w:styleId="TemplateGuidance">
    <w:name w:val="Template Guidance"/>
    <w:basedOn w:val="BodyText"/>
    <w:pPr>
      <w:spacing w:before="40" w:after="120" w:line="240" w:lineRule="auto"/>
    </w:pPr>
    <w:rPr>
      <w:rFonts w:ascii="Arial" w:hAnsi="Arial"/>
      <w:i/>
      <w:color w:val="595959"/>
      <w:sz w:val="18"/>
    </w:rPr>
  </w:style>
  <w:style w:type="paragraph" w:styleId="Revision">
    <w:name w:val="Revision"/>
    <w:hidden/>
    <w:uiPriority w:val="99"/>
    <w:semiHidden/>
    <w:rsid w:val="00AA0A9D"/>
    <w:rPr>
      <w:rFonts w:ascii="Times New Roman" w:eastAsia="Times" w:hAnsi="Times New Roman" w:cs="Times New Roman"/>
      <w:sz w:val="24"/>
      <w:lang w:val="en-GB" w:eastAsia="zh-CN"/>
    </w:rPr>
  </w:style>
  <w:style w:type="paragraph" w:styleId="ListParagraph">
    <w:name w:val="List Paragraph"/>
    <w:basedOn w:val="Normal"/>
    <w:uiPriority w:val="34"/>
    <w:semiHidden/>
    <w:qFormat/>
    <w:rsid w:val="00216380"/>
    <w:pPr>
      <w:ind w:left="720"/>
      <w:contextualSpacing/>
    </w:pPr>
  </w:style>
  <w:style w:type="paragraph" w:styleId="NormalWeb">
    <w:name w:val="Normal (Web)"/>
    <w:basedOn w:val="Normal"/>
    <w:uiPriority w:val="99"/>
    <w:semiHidden/>
    <w:unhideWhenUsed/>
    <w:rsid w:val="00462B07"/>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5802">
      <w:bodyDiv w:val="1"/>
      <w:marLeft w:val="0"/>
      <w:marRight w:val="0"/>
      <w:marTop w:val="0"/>
      <w:marBottom w:val="0"/>
      <w:divBdr>
        <w:top w:val="none" w:sz="0" w:space="0" w:color="auto"/>
        <w:left w:val="none" w:sz="0" w:space="0" w:color="auto"/>
        <w:bottom w:val="none" w:sz="0" w:space="0" w:color="auto"/>
        <w:right w:val="none" w:sz="0" w:space="0" w:color="auto"/>
      </w:divBdr>
    </w:div>
    <w:div w:id="143476124">
      <w:bodyDiv w:val="1"/>
      <w:marLeft w:val="0"/>
      <w:marRight w:val="0"/>
      <w:marTop w:val="0"/>
      <w:marBottom w:val="0"/>
      <w:divBdr>
        <w:top w:val="none" w:sz="0" w:space="0" w:color="auto"/>
        <w:left w:val="none" w:sz="0" w:space="0" w:color="auto"/>
        <w:bottom w:val="none" w:sz="0" w:space="0" w:color="auto"/>
        <w:right w:val="none" w:sz="0" w:space="0" w:color="auto"/>
      </w:divBdr>
    </w:div>
    <w:div w:id="337927959">
      <w:bodyDiv w:val="1"/>
      <w:marLeft w:val="0"/>
      <w:marRight w:val="0"/>
      <w:marTop w:val="0"/>
      <w:marBottom w:val="0"/>
      <w:divBdr>
        <w:top w:val="none" w:sz="0" w:space="0" w:color="auto"/>
        <w:left w:val="none" w:sz="0" w:space="0" w:color="auto"/>
        <w:bottom w:val="none" w:sz="0" w:space="0" w:color="auto"/>
        <w:right w:val="none" w:sz="0" w:space="0" w:color="auto"/>
      </w:divBdr>
    </w:div>
    <w:div w:id="721364192">
      <w:bodyDiv w:val="1"/>
      <w:marLeft w:val="0"/>
      <w:marRight w:val="0"/>
      <w:marTop w:val="0"/>
      <w:marBottom w:val="0"/>
      <w:divBdr>
        <w:top w:val="none" w:sz="0" w:space="0" w:color="auto"/>
        <w:left w:val="none" w:sz="0" w:space="0" w:color="auto"/>
        <w:bottom w:val="none" w:sz="0" w:space="0" w:color="auto"/>
        <w:right w:val="none" w:sz="0" w:space="0" w:color="auto"/>
      </w:divBdr>
    </w:div>
    <w:div w:id="134994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II2202\2018\Report_Template-2016.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TH_Word">
      <a:majorFont>
        <a:latin typeface="Arial"/>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Report_Template-2016.dotx</Template>
  <TotalTime>0</TotalTime>
  <Pages>9</Pages>
  <Words>2796</Words>
  <Characters>15939</Characters>
  <Application>Microsoft Office Word</Application>
  <DocSecurity>0</DocSecurity>
  <Lines>132</Lines>
  <Paragraphs>37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II2202 Research Plan Template</vt:lpstr>
      <vt:lpstr/>
    </vt:vector>
  </TitlesOfParts>
  <Manager/>
  <Company/>
  <LinksUpToDate>false</LinksUpToDate>
  <CharactersWithSpaces>18698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Actor-Agnostic Persistent Object Memory for Hidden-Object Localization</dc:title>
  <dc:subject>Research Methodology and Scientific Writing</dc:subject>
  <dc:creator>Haonan Yin; Joris Köster</dc:creator>
  <cp:keywords/>
  <dc:description/>
  <cp:lastModifiedBy>Haonan Yin; Joris Köster</cp:lastModifiedBy>
  <cp:revision>2</cp:revision>
  <dcterms:created xsi:type="dcterms:W3CDTF">2026-09-30T19:14:00Z</dcterms:created>
  <dcterms:modified xsi:type="dcterms:W3CDTF">2026-09-30T19:14:00Z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id="mCrflgBL"/&gt;&lt;style id="http://people.kth.se/~maguire/ExampleStyle-with-access.csl" hasBibliography="1" bibliographyStyleHasBeenSet="1"/&gt;&lt;prefs&gt;&lt;pref name="fieldType" value="Field"/&gt;&lt;pref name="sto</vt:lpwstr>
  </property>
  <property fmtid="{D5CDD505-2E9C-101B-9397-08002B2CF9AE}" pid="3" name="ZOTERO_PREF_2">
    <vt:lpwstr>reReferences" value="true"/&gt;&lt;/prefs&gt;&lt;/data&gt;</vt:lpwstr>
  </property>
</Properties>
</file>