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云端电池故障诊断专利撰写模板</w:t>
      </w:r>
    </w:p>
    <w:p>
      <w:pPr>
        <w:pStyle w:val="Subtitle"/>
      </w:pPr>
      <w:r>
        <w:t>使用说明与技术构思  先确定技术问题与核心改进，再填写权利要求和说明书。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适用范围：基于车辆运行数据的电池故障检测、风险预警，以及车端与云端协同诊断。默认采用“诊断方法＋装置＋电子设备”的组织方式，车云协同内容按实际方案选用。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本文件是带填写提示的撰写底稿，供复制文字、批注或打印填写；不包含专利请求书。示例句式不代表你的方案已经具备新颖性、创造性或验证效果。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140"/>
        <w:gridCol w:w="7886"/>
      </w:tblGrid>
      <w:tr>
        <w:trPr>
          <w:cantSplit/>
          <w:tblHeader/>
        </w:trPr>
        <w:tc>
          <w:tcPr>
            <w:tcW w:type="dxa" w:w="214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基本信息</w:t>
            </w:r>
          </w:p>
        </w:tc>
        <w:tc>
          <w:tcPr>
            <w:tcW w:type="dxa" w:w="788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发明名称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一种基于【核心技术机制】的电池【故障类型】检测方法、装置及电子设备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申请人 / 发明人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【申请人名称】 / 【发明人姓名】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交底联系人 / 版本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【姓名及联系方式】 / 【日期、版本号】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适用对象与工况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【电池类型、系统结构、车辆范围、充放电或静置工况】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pStyle w:val="Heading2"/>
      </w:pPr>
      <w:r>
        <w:t>先用一句话写清楚发明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在【具体工况或故障阶段】下，现有【方法】由于【技术原因】会出现【漏检、误报或延迟等问题】；本方案通过【区别于现有方法的处理机制】，实现【可验证的技术效果】。</w:t>
      </w:r>
    </w:p>
    <w:p>
      <w:pPr>
        <w:pStyle w:val="Heading2"/>
      </w:pPr>
      <w:r>
        <w:t>把关键内容分成三个层次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140"/>
        <w:gridCol w:w="7886"/>
      </w:tblGrid>
      <w:tr>
        <w:trPr>
          <w:cantSplit/>
          <w:tblHeader/>
        </w:trPr>
        <w:tc>
          <w:tcPr>
            <w:tcW w:type="dxa" w:w="214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层次</w:t>
            </w:r>
          </w:p>
        </w:tc>
        <w:tc>
          <w:tcPr>
            <w:tcW w:type="dxa" w:w="788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待填写内容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核心技术特征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【删除后就不能解决上述问题的步骤或关系】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进一步改进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【工况匹配、质量筛选、风险分级、持续性判断等】</w:t>
            </w:r>
          </w:p>
        </w:tc>
      </w:tr>
      <w:tr>
        <w:trPr>
          <w:cantSplit/>
        </w:trPr>
        <w:tc>
          <w:tcPr>
            <w:tcW w:type="dxa" w:w="21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具体实施选择</w:t>
            </w:r>
          </w:p>
        </w:tc>
        <w:tc>
          <w:tcPr>
            <w:tcW w:type="dxa" w:w="78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【特征、模型、窗口、阈值、硬件和更新周期】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建议填写顺序：第5—7页实施方案与证据 → 第2—3页权利要求 → 第4页说明书概述 → 第8页附图与摘要 → 第9页检查。</w:t>
      </w:r>
    </w:p>
    <w:p>
      <w:r>
        <w:br w:type="page"/>
      </w:r>
    </w:p>
    <w:p>
      <w:pPr>
        <w:pStyle w:val="Heading1"/>
      </w:pPr>
      <w:r>
        <w:t>权利要求书 一</w:t>
      </w:r>
    </w:p>
    <w:p>
      <w:pPr>
        <w:pStyle w:val="Subtitle"/>
      </w:pPr>
      <w:r>
        <w:t>算法方法主线  第1项写核心机制，第2—5项逐层细化。</w:t>
      </w:r>
    </w:p>
    <w:p>
      <w:pPr>
        <w:pStyle w:val="Heading2"/>
      </w:pPr>
      <w:r>
        <w:t>1  独立权利要求 方法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1. 一种电池【故障类型】检测方法，其特征在于，包括：</w:t>
        <w:br/>
        <w:t>获取【检测对象】在【目标工况】下的【运行数据】；</w:t>
        <w:br/>
        <w:t>根据【必要的数据处理规则】，确定【待检测数据或特征】以及【参考数据或参考状态】；</w:t>
        <w:br/>
        <w:t>基于【核心计算规则及两者之间的关系】，得到【异常表征量或检测结果】；</w:t>
        <w:br/>
        <w:t>在【核心判定条件】满足的情况下，确定所述检测对象存在【故障或风险】，并生成【检测或预警信息】。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将占位语替换为真正的技术步骤。“利用模型分析并提高准确率”不足以说明关键机制；参考数据、工况筛选或预警步骤不适用时可删除。必要的多窗口确认等应写入第1项。</w:t>
      </w:r>
    </w:p>
    <w:p>
      <w:pPr>
        <w:pStyle w:val="Heading2"/>
      </w:pPr>
      <w:r>
        <w:t>2  数据质量或工况处理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2. 根据权利要求1所述的检测方法，其特征在于，所述【数据处理规则】包括：根据【有效性标志、时间对齐条件或工况条件】，对所述运行数据进行【筛选、对齐或处理】，得到【处理后的数据】。</w:t>
      </w:r>
    </w:p>
    <w:p>
      <w:pPr>
        <w:pStyle w:val="Heading2"/>
      </w:pPr>
      <w:r>
        <w:t>3  参考状态构建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3. 根据权利要求1所述的检测方法，其特征在于，所述【参考数据或参考状态】通过以下方式确定：从【历史数据或匹配样本】中选取满足【匹配条件】的数据，并依据【计算规则】构建所述参考状态。</w:t>
      </w:r>
    </w:p>
    <w:p>
      <w:pPr>
        <w:pStyle w:val="Heading2"/>
      </w:pPr>
      <w:r>
        <w:t>4  核心计算的具体实现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4. 根据权利要求3所述的检测方法，其特征在于，基于所述【待检测数据或特征】与所述参考状态，按照【公式、统计检验、模型结构或处理步骤】计算所述异常表征量；其中，【关键变量之间的关系】。</w:t>
      </w:r>
    </w:p>
    <w:p>
      <w:pPr>
        <w:pStyle w:val="Heading2"/>
      </w:pPr>
      <w:r>
        <w:t>5  持续性确认或风险分级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5. 根据权利要求4所述的检测方法，其特征在于，根据所述异常表征量在【多个时间窗口】中的【持续性规则】确定【异常状态】；并按照【分级条件】生成对应于【不同风险等级】的预警信息。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第2—5项为可选分支。引用关系必须对应真实依赖；第5项若使用第2项才定义的术语，应重组引用链。不要为了凑数量保留无实际作用的限定。</w:t>
      </w:r>
    </w:p>
    <w:p>
      <w:r>
        <w:br w:type="page"/>
      </w:r>
    </w:p>
    <w:p>
      <w:pPr>
        <w:pStyle w:val="Heading1"/>
      </w:pPr>
      <w:r>
        <w:t>权利要求书 二</w:t>
      </w:r>
    </w:p>
    <w:p>
      <w:pPr>
        <w:pStyle w:val="Subtitle"/>
      </w:pPr>
      <w:r>
        <w:t>扩展条款  设备条款与方法保持对应；车云主线可另行替换。</w:t>
      </w:r>
    </w:p>
    <w:p>
      <w:pPr>
        <w:pStyle w:val="Heading2"/>
      </w:pPr>
      <w:r>
        <w:t>6 7  云端参数更新与应用 可选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6. 根据权利要求4所述的检测方法，其特征在于，基于【经过确认的样本及标签】，按照【评价指标和选择规则】更新所述【检测参数】，并在【更新条件】满足时生成【参数配置】。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7. 根据权利要求6所述的检测方法，其特征在于，将所述参数配置发送至【车端检测单元】，以使所述车端检测单元在【生效条件】满足时，根据所述参数配置对【后续运行数据】执行所述检测。</w:t>
      </w:r>
    </w:p>
    <w:p>
      <w:pPr>
        <w:pStyle w:val="Heading2"/>
      </w:pPr>
      <w:r>
        <w:t>8  装置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8. 一种电池【故障类型】检测装置，其特征在于，包括：</w:t>
        <w:br/>
        <w:t>数据获取模块，用于【对应方法的数据获取操作】；</w:t>
        <w:br/>
        <w:t>数据处理模块，用于【对应方法的处理与参考状态构建操作】；</w:t>
        <w:br/>
        <w:t>异常检测模块，用于【对应方法的核心计算操作】；</w:t>
        <w:br/>
        <w:t>结果生成模块，用于【对应方法的判定与结果生成操作】。</w:t>
      </w:r>
    </w:p>
    <w:p>
      <w:pPr>
        <w:pStyle w:val="Heading2"/>
      </w:pPr>
      <w:r>
        <w:t>9 10  电子设备与存储介质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9. 一种电子设备，包括存储器和处理器，所述存储器存储有计算机程序，其特征在于，所述处理器执行所述计算机程序时，实现权利要求1至7中任一项所述的检测方法。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10. 一种计算机可读存储介质，其上存储有计算机程序，其特征在于，所述计算机程序被处理器执行时，实现权利要求1至7中任一项所述的检测方法。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删减或重排条款后，同步修改引用编号。装置条款应完整对应实际核心步骤，模块名称可按实现调整。</w:t>
      </w:r>
    </w:p>
    <w:p>
      <w:pPr>
        <w:pStyle w:val="Heading2"/>
      </w:pPr>
      <w:r>
        <w:t>若核心创新是车云协同 替换主线的写法</w:t>
      </w:r>
    </w:p>
    <w:p>
      <w:pPr>
        <w:widowControl/>
        <w:spacing w:after="160" w:line="280" w:lineRule="exact"/>
      </w:pPr>
      <w:r>
        <w:rPr>
          <w:rFonts w:ascii="宋体" w:hAnsi="宋体" w:eastAsia="宋体"/>
          <w:b w:val="0"/>
          <w:color w:val="526271"/>
          <w:sz w:val="18"/>
        </w:rPr>
        <w:t>一种应用于【云端或车端】的电池【故障类型】检测方法，包括：获取【来源、触发条件和数据内容】；按照【本端核心处理机制】生成【参数或结果】；向【接收端】发送所述【参数或结果】，以使接收端执行【明确的后续检测操作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此句为替换框架，不是直接追加的第11项。分别从车端、云端组织时，每项都应写清本端动作，并由说明书支持；具体条款组合按实际发明构思确定。</w:t>
      </w:r>
    </w:p>
    <w:p>
      <w:r>
        <w:br w:type="page"/>
      </w:r>
    </w:p>
    <w:p>
      <w:pPr>
        <w:pStyle w:val="Heading1"/>
      </w:pPr>
      <w:r>
        <w:t>说明书 问题与方案</w:t>
      </w:r>
    </w:p>
    <w:p>
      <w:pPr>
        <w:pStyle w:val="Subtitle"/>
      </w:pPr>
      <w:r>
        <w:t>技术领域、背景技术、发明内容  以下段落编号仅供组织初稿。</w:t>
      </w:r>
    </w:p>
    <w:p>
      <w:pPr>
        <w:pStyle w:val="Heading2"/>
      </w:pPr>
      <w:r>
        <w:t>发明名称与技术领域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【与权利要求及摘要一致的发明名称】</w:t>
        <w:br/>
        <w:t>[0001] 本发明涉及【具体技术领域】，尤其涉及一种基于【核心技术机制】的电池【故障类型】检测方法、装置及电子设备。</w:t>
      </w:r>
    </w:p>
    <w:p>
      <w:pPr>
        <w:pStyle w:val="Heading2"/>
      </w:pPr>
      <w:r>
        <w:t>背景技术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[0002] 在【使用场景】中，电池可能因【已知故障原因】出现【可观测异常】，导致【具体技术影响】。现有技术通常通过【现有检测流程】识别该异常。</w:t>
        <w:br/>
        <w:t>[0003] 然而，在【明确的边界工况或早期阶段】下，由于【现有方法的技术限制】，上述方法存在【具体不足】。例如，【一项真实场景或可核实案例】。因此，需要解决【收敛后的技术问题】。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背景技术描述与你的改进直接相关的不足；有引用时记录公开文献和具体位置。避免泛称“所有现有方法均无法检测”。</w:t>
      </w:r>
    </w:p>
    <w:p>
      <w:pPr>
        <w:pStyle w:val="Heading2"/>
      </w:pPr>
      <w:r>
        <w:t>发明内容 技术问题与技术方案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[0004] 本发明提供一种电池【故障类型】检测方法，以解决【与背景技术一致的问题】。</w:t>
        <w:br/>
        <w:t>[0005] 所述方法包括：【用连贯文字概述独立权利要求的步骤、输入输出及关键关系】。</w:t>
        <w:br/>
        <w:t>[0006] 在一种可选实现方式中，【对应从属权利要求的进一步技术特征】。</w:t>
        <w:br/>
        <w:t>[0007] 本发明还提供【装置、电子设备和存储介质等实际保留的对象】，用于实现上述检测方法。</w:t>
      </w:r>
    </w:p>
    <w:p>
      <w:pPr>
        <w:pStyle w:val="Heading2"/>
      </w:pPr>
      <w:r>
        <w:t>发明内容 有益效果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[0008] 通过【技术措施A】，使【中间数据或判断机制发生的变化】，从而【技术效果A】；通过【技术措施B】，降低【具体干扰或计算负担】，从而【技术效果B】。上述效果可通过【对照方法及指标】进行验证。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3342"/>
        <w:gridCol w:w="3342"/>
        <w:gridCol w:w="3342"/>
      </w:tblGrid>
      <w:tr>
        <w:trPr>
          <w:cantSplit/>
          <w:tblHeader/>
        </w:trPr>
        <w:tc>
          <w:tcPr>
            <w:tcW w:type="dxa" w:w="3342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问题</w:t>
            </w:r>
          </w:p>
        </w:tc>
        <w:tc>
          <w:tcPr>
            <w:tcW w:type="dxa" w:w="3342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对应措施</w:t>
            </w:r>
          </w:p>
        </w:tc>
        <w:tc>
          <w:tcPr>
            <w:tcW w:type="dxa" w:w="3342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验证指标</w:t>
            </w:r>
          </w:p>
        </w:tc>
      </w:tr>
      <w:tr>
        <w:trPr>
          <w:cantSplit/>
        </w:trPr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【如工况差异引起误判】</w:t>
            </w:r>
          </w:p>
        </w:tc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【实际工况匹配机制】</w:t>
            </w:r>
          </w:p>
        </w:tc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【误报率及统计口径】</w:t>
            </w:r>
          </w:p>
        </w:tc>
      </w:tr>
      <w:tr>
        <w:trPr>
          <w:cantSplit/>
        </w:trPr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【你的第二项问题】</w:t>
            </w:r>
          </w:p>
        </w:tc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【实际技术措施】</w:t>
            </w:r>
          </w:p>
        </w:tc>
        <w:tc>
          <w:tcPr>
            <w:tcW w:type="dxa" w:w="3342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【指标及对照方法】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效果与措施一一对应。没有实际验证时不填写虚构百分比，也不将“可能改善”写成“已证明改善”。</w:t>
      </w:r>
    </w:p>
    <w:p>
      <w:r>
        <w:br w:type="page"/>
      </w:r>
    </w:p>
    <w:p>
      <w:pPr>
        <w:pStyle w:val="Heading1"/>
      </w:pPr>
      <w:r>
        <w:t>说明书 具体实施方式 一</w:t>
      </w:r>
    </w:p>
    <w:p>
      <w:pPr>
        <w:pStyle w:val="Subtitle"/>
      </w:pPr>
      <w:r>
        <w:t>把方法写到能够复现  数据、基准、计算与判定形成完整流程。</w:t>
      </w:r>
    </w:p>
    <w:p>
      <w:pPr>
        <w:pStyle w:val="Heading2"/>
      </w:pPr>
      <w:r>
        <w:t>系统与输入定义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[0009] 本实施例应用于【系统部署位置】，包括【采集单元、计算单元及通信关系】。数据由【传感器或平台】获取，采样周期为【数值及单位】，时间戳采用【时区、精度和同步方式】。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360"/>
        <w:gridCol w:w="3500"/>
        <w:gridCol w:w="4166"/>
      </w:tblGrid>
      <w:tr>
        <w:trPr>
          <w:cantSplit/>
          <w:tblHeader/>
        </w:trPr>
        <w:tc>
          <w:tcPr>
            <w:tcW w:type="dxa" w:w="236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数据项 / 符号</w:t>
            </w:r>
          </w:p>
        </w:tc>
        <w:tc>
          <w:tcPr>
            <w:tcW w:type="dxa" w:w="350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定义及单位</w:t>
            </w:r>
          </w:p>
        </w:tc>
        <w:tc>
          <w:tcPr>
            <w:tcW w:type="dxa" w:w="416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采样与有效条件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【如绝缘电阻 R】</w:t>
            </w:r>
          </w:p>
        </w:tc>
        <w:tc>
          <w:tcPr>
            <w:tcW w:type="dxa" w:w="35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【物理意义；Ω或kΩ】</w:t>
            </w:r>
          </w:p>
        </w:tc>
        <w:tc>
          <w:tcPr>
            <w:tcW w:type="dxa" w:w="416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【周期、范围、无效编码】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【如电流 I】</w:t>
            </w:r>
          </w:p>
        </w:tc>
        <w:tc>
          <w:tcPr>
            <w:tcW w:type="dxa" w:w="35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【A；充放电正负号约定】</w:t>
            </w:r>
          </w:p>
        </w:tc>
        <w:tc>
          <w:tcPr>
            <w:tcW w:type="dxa" w:w="416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【工况筛选与有效条件】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【温度、SOC等】</w:t>
            </w:r>
          </w:p>
        </w:tc>
        <w:tc>
          <w:tcPr>
            <w:tcW w:type="dxa" w:w="35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【定义及单位】</w:t>
            </w:r>
          </w:p>
        </w:tc>
        <w:tc>
          <w:tcPr>
            <w:tcW w:type="dxa" w:w="416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【缺失、错位处理规则】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pStyle w:val="Heading2"/>
      </w:pPr>
      <w:r>
        <w:t>S101 S102 筛选数据与构建参考状态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[0010] S101，获取【时间范围】内的运行数据，依据【规则】处理重复、缺失和无效值，并筛选【目标工况】。当有效数据量小于【要求】时，执行【暂缓判断或其他处理】。</w:t>
        <w:br/>
        <w:t>[0011] S102，根据【窗口长度及滑动方式】构建待检测数据；从【参考范围】选择满足【匹配规则】的数据，以【计算方式】构建参考状态。参考数据与当前窗口的时间关系为【明确关系】。</w:t>
      </w:r>
    </w:p>
    <w:p>
      <w:pPr>
        <w:pStyle w:val="Heading2"/>
      </w:pPr>
      <w:r>
        <w:t>S103 计算异常表征量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[0012] S103，按照【公式或完整算法步骤】计算异常表征量【符号】。其中，【逐一解释变量、维度、单位和参数来源】。当出现【分母为零、样本不足等情况】时，采用【处理规则】。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绝对变化率 ΔR/Δt 的单位为 Ω/s；相对变化量 (R当前－R参考)/R参考 为无量纲。二者不可混用阈值。若用统计检验，明确样本顺序、单/双侧方向及重复值处理。</w:t>
      </w:r>
    </w:p>
    <w:p>
      <w:pPr>
        <w:pStyle w:val="Heading2"/>
      </w:pPr>
      <w:r>
        <w:t>S104 S105 判定与输出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[0013] S104，若【异常表征量满足的条件】，则判定当前窗口【状态】；结合【持续性、幅度或等级规则】确定最终结果。阈值相等时按【规则】处理，多条件同时满足时按【优先级】处理。</w:t>
        <w:br/>
        <w:t>[0014] S105，输出【对象标识、时间、风险等级、关联证据等字段】，并触发【报警或后续处理】；通过【恢复与解除条件】结束该异常状态。</w:t>
      </w:r>
    </w:p>
    <w:p>
      <w:r>
        <w:br w:type="page"/>
      </w:r>
    </w:p>
    <w:p>
      <w:pPr>
        <w:pStyle w:val="Heading1"/>
      </w:pPr>
      <w:r>
        <w:t>说明书 具体实施方式 二</w:t>
      </w:r>
    </w:p>
    <w:p>
      <w:pPr>
        <w:pStyle w:val="Subtitle"/>
      </w:pPr>
      <w:r>
        <w:t>车云协同与模型实现  仅保留与实际方案有关的内容。</w:t>
      </w:r>
    </w:p>
    <w:p>
      <w:pPr>
        <w:pStyle w:val="Heading2"/>
      </w:pPr>
      <w:r>
        <w:t>数据流、参数流与执行主体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300"/>
        <w:gridCol w:w="7726"/>
      </w:tblGrid>
      <w:tr>
        <w:trPr>
          <w:cantSplit/>
          <w:tblHeader/>
        </w:trPr>
        <w:tc>
          <w:tcPr>
            <w:tcW w:type="dxa" w:w="230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环节</w:t>
            </w:r>
          </w:p>
        </w:tc>
        <w:tc>
          <w:tcPr>
            <w:tcW w:type="dxa" w:w="772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待补充的实现细节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车端采集 / 提取</w:t>
            </w:r>
          </w:p>
        </w:tc>
        <w:tc>
          <w:tcPr>
            <w:tcW w:type="dxa" w:w="77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【信号频率、缓存长度、特征公式和计算周期】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数据上传</w:t>
            </w:r>
          </w:p>
        </w:tc>
        <w:tc>
          <w:tcPr>
            <w:tcW w:type="dxa" w:w="77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【周期或事件触发；字段、时间戳、缺失标志】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云端分析</w:t>
            </w:r>
          </w:p>
        </w:tc>
        <w:tc>
          <w:tcPr>
            <w:tcW w:type="dxa" w:w="77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【输入、计算规则、样本范围、输出参数或结果】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参数下发 / 应用</w:t>
            </w:r>
          </w:p>
        </w:tc>
        <w:tc>
          <w:tcPr>
            <w:tcW w:type="dxa" w:w="77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【版本、适用对象、生效条件、更新失败处理】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实时检测 / 反馈</w:t>
            </w:r>
          </w:p>
        </w:tc>
        <w:tc>
          <w:tcPr>
            <w:tcW w:type="dxa" w:w="77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【本地检测周期、参数来源、故障确认回传方式】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pStyle w:val="Heading2"/>
      </w:pPr>
      <w:r>
        <w:t>S201 S203 样本、训练和在线应用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[0015] S201，基于【维修确认、检测结论等依据】形成样本标签。以【事件时间】为基准回溯提取【历史区间】的训练数据；在线检测时仅使用【当前时刻及之前可获得的数据】。</w:t>
        <w:br/>
        <w:t>[0016] S202，将【时序特征、静态属性等实际输入】通过【具体处理或编码方式】转换为【维度】的特征表示，经【模型结构及融合规则】生成【输出】。训练采用【目标函数、样本划分、停止条件】。</w:t>
        <w:br/>
        <w:t>[0017] S203，根据【验证指标及参数选取规则】确定【模型或检测参数】，在【触发条件】满足时向【目标车端】下发；车端执行【校验和生效规则】，并按【检测规则】使用更新结果。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若模型只输出风险分数，另写“风险分数如何转换为阈值或报警结果”。数据库负责存储，计算模块负责分析，避免把存储结构直接写成未说明的计算主体。</w:t>
      </w:r>
    </w:p>
    <w:p>
      <w:pPr>
        <w:pStyle w:val="Heading2"/>
      </w:pPr>
      <w:r>
        <w:t>替代实施例与边界处理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[0018] 在另一实施例中，将【可替代特征或计算方式】替换为【具体替代方式】，并相应调整【输入形状、处理步骤或阈值】；保留【核心技术关系】。</w:t>
        <w:br/>
        <w:t>[0019] 当【断网、参数过期、样本不足或工况不匹配】发生时，执行【实际处理流程】，并输出【状态信息】。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无需使用机器学习时，删除训练段落，展开确定性的参数计算公式。只有名称、没有输入输出和实现关系的模型替换列表，不足以说明替代方案。</w:t>
      </w:r>
    </w:p>
    <w:p>
      <w:r>
        <w:br w:type="page"/>
      </w:r>
    </w:p>
    <w:p>
      <w:pPr>
        <w:pStyle w:val="Heading1"/>
      </w:pPr>
      <w:r>
        <w:t>实施例与效果验证</w:t>
      </w:r>
    </w:p>
    <w:p>
      <w:pPr>
        <w:pStyle w:val="Subtitle"/>
      </w:pPr>
      <w:r>
        <w:t>记录真实数据与对照条件  以下表格均为待填项，不含预设结果。</w:t>
      </w:r>
    </w:p>
    <w:p>
      <w:pPr>
        <w:pStyle w:val="Heading2"/>
      </w:pPr>
      <w:r>
        <w:t>实施例记录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[0020] 选取【对象范围】在【起止时间】内的运行数据，共【车辆或电池数量】个对象、【故障事件数】次经【依据】确认的故障。采用【划分方式】区分开发数据与验证数据，确保【避免未来信息进入检测的措施】。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240"/>
        <w:gridCol w:w="7786"/>
      </w:tblGrid>
      <w:tr>
        <w:trPr>
          <w:cantSplit/>
          <w:tblHeader/>
        </w:trPr>
        <w:tc>
          <w:tcPr>
            <w:tcW w:type="dxa" w:w="224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</w:t>
            </w:r>
          </w:p>
        </w:tc>
        <w:tc>
          <w:tcPr>
            <w:tcW w:type="dxa" w:w="778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本方案配置</w:t>
            </w:r>
          </w:p>
        </w:tc>
        <w:tc>
          <w:tcPr>
            <w:tcW w:type="dxa" w:w="77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【窗口、特征、阈值、模型版本及参数来源】</w:t>
            </w:r>
          </w:p>
        </w:tc>
      </w:tr>
      <w:tr>
        <w:trPr>
          <w:cantSplit/>
        </w:trPr>
        <w:tc>
          <w:tcPr>
            <w:tcW w:type="dxa" w:w="22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对照方案</w:t>
            </w:r>
          </w:p>
        </w:tc>
        <w:tc>
          <w:tcPr>
            <w:tcW w:type="dxa" w:w="77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【现行策略及其实际参数；保持相同测试范围】</w:t>
            </w:r>
          </w:p>
        </w:tc>
      </w:tr>
      <w:tr>
        <w:trPr>
          <w:cantSplit/>
        </w:trPr>
        <w:tc>
          <w:tcPr>
            <w:tcW w:type="dxa" w:w="22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关键时间点</w:t>
            </w:r>
          </w:p>
        </w:tc>
        <w:tc>
          <w:tcPr>
            <w:tcW w:type="dxa" w:w="77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【本方案首次报警、原策略报警、故障确认时间】</w:t>
            </w:r>
          </w:p>
        </w:tc>
      </w:tr>
      <w:tr>
        <w:trPr>
          <w:cantSplit/>
        </w:trPr>
        <w:tc>
          <w:tcPr>
            <w:tcW w:type="dxa" w:w="224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典型案例</w:t>
            </w:r>
          </w:p>
        </w:tc>
        <w:tc>
          <w:tcPr>
            <w:tcW w:type="dxa" w:w="778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【正常扰动、缓慢变化、突发异常、边界工况】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pStyle w:val="Heading2"/>
      </w:pPr>
      <w:r>
        <w:t>对比结果表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1800"/>
        <w:gridCol w:w="4420"/>
        <w:gridCol w:w="1900"/>
        <w:gridCol w:w="1906"/>
      </w:tblGrid>
      <w:tr>
        <w:trPr>
          <w:cantSplit/>
          <w:tblHeader/>
        </w:trPr>
        <w:tc>
          <w:tcPr>
            <w:tcW w:type="dxa" w:w="180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指标</w:t>
            </w:r>
          </w:p>
        </w:tc>
        <w:tc>
          <w:tcPr>
            <w:tcW w:type="dxa" w:w="442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统计口径</w:t>
            </w:r>
          </w:p>
        </w:tc>
        <w:tc>
          <w:tcPr>
            <w:tcW w:type="dxa" w:w="190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对照方案</w:t>
            </w:r>
          </w:p>
        </w:tc>
        <w:tc>
          <w:tcPr>
            <w:tcW w:type="dxa" w:w="190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故障检出率</w:t>
            </w:r>
          </w:p>
        </w:tc>
        <w:tc>
          <w:tcPr>
            <w:tcW w:type="dxa" w:w="442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检出故障事件数 / 已确认故障事件数</w:t>
            </w:r>
          </w:p>
        </w:tc>
        <w:tc>
          <w:tcPr>
            <w:tcW w:type="dxa" w:w="1900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  <w:tc>
          <w:tcPr>
            <w:tcW w:type="dxa" w:w="1906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误报水平</w:t>
            </w:r>
          </w:p>
        </w:tc>
        <w:tc>
          <w:tcPr>
            <w:tcW w:type="dxa" w:w="442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【如误报事件 / 千车日；说明合并规则】</w:t>
            </w:r>
          </w:p>
        </w:tc>
        <w:tc>
          <w:tcPr>
            <w:tcW w:type="dxa" w:w="1900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  <w:tc>
          <w:tcPr>
            <w:tcW w:type="dxa" w:w="1906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提前预警时间</w:t>
            </w:r>
          </w:p>
        </w:tc>
        <w:tc>
          <w:tcPr>
            <w:tcW w:type="dxa" w:w="442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【相对哪个时间点；给出中位数及范围】</w:t>
            </w:r>
          </w:p>
        </w:tc>
        <w:tc>
          <w:tcPr>
            <w:tcW w:type="dxa" w:w="1900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  <w:tc>
          <w:tcPr>
            <w:tcW w:type="dxa" w:w="1906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检测延迟 / 耗时</w:t>
            </w:r>
          </w:p>
        </w:tc>
        <w:tc>
          <w:tcPr>
            <w:tcW w:type="dxa" w:w="442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【数据到达到结果生成的时间及硬件】</w:t>
            </w:r>
          </w:p>
        </w:tc>
        <w:tc>
          <w:tcPr>
            <w:tcW w:type="dxa" w:w="1900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  <w:tc>
          <w:tcPr>
            <w:tcW w:type="dxa" w:w="1906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上传量（可选）</w:t>
            </w:r>
          </w:p>
        </w:tc>
        <w:tc>
          <w:tcPr>
            <w:tcW w:type="dxa" w:w="442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【每车每日字节量；相同采样条件】</w:t>
            </w:r>
          </w:p>
        </w:tc>
        <w:tc>
          <w:tcPr>
            <w:tcW w:type="dxa" w:w="1900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  <w:tc>
          <w:tcPr>
            <w:tcW w:type="dxa" w:w="1906"/>
            <w:vAlign w:val="center"/>
          </w:tcPr>
          <w:p>
            <w:pPr>
              <w:spacing w:after="0" w:line="290" w:lineRule="exact"/>
              <w:jc w:val="center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【待填】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[0021] 在上述条件下，本方案的【指标】为【真实结果】，相较【对照结果】表现为【客观差异】。进一步移除【关键步骤】后，【指标变化】表明该步骤对【效果】的作用。对于【未覆盖条件】，尚需【补充验证内容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若尚无实测结果，将本页作为验证计划保留在交底材料中；正式说明书中不把计划写成已完成实验。仿真结果应明确仿真条件及其与实车验证的区别。</w:t>
      </w:r>
    </w:p>
    <w:p>
      <w:r>
        <w:br w:type="page"/>
      </w:r>
    </w:p>
    <w:p>
      <w:pPr>
        <w:pStyle w:val="Heading1"/>
      </w:pPr>
      <w:r>
        <w:t>附图说明与说明书摘要</w:t>
      </w:r>
    </w:p>
    <w:p>
      <w:pPr>
        <w:pStyle w:val="Subtitle"/>
      </w:pPr>
      <w:r>
        <w:t>附图突出处理关系；摘要压缩问题、方案和用途。</w:t>
      </w:r>
    </w:p>
    <w:p>
      <w:pPr>
        <w:pStyle w:val="Heading2"/>
      </w:pPr>
      <w:r>
        <w:t>附图说明 按实际附图删减并编号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[0022] 图1为本发明实施例提供的【系统结构】示意图。</w:t>
        <w:br/>
        <w:t>[0023] 图2为本发明实施例提供的【检测方法】流程图。</w:t>
        <w:br/>
        <w:t>[0024] 图3为本发明实施例提供的【核心步骤或车云交互】示意图。</w:t>
        <w:br/>
        <w:t>[0025] 图4为本发明实施例提供的【实际效果对比】示意图。</w:t>
      </w:r>
    </w:p>
    <w:p>
      <w:pPr>
        <w:pStyle w:val="Heading2"/>
      </w:pPr>
      <w:r>
        <w:t>图2结构草图 替换节点文字后绘制正式附图</w:t>
      </w:r>
    </w:p>
    <w:p>
      <w:pPr>
        <w:keepNext/>
        <w:spacing w:after="60"/>
        <w:jc w:val="center"/>
      </w:pPr>
      <w:r>
        <w:rPr>
          <w:rFonts w:ascii="宋体" w:hAnsi="宋体" w:eastAsia="宋体"/>
          <w:b w:val="0"/>
          <w:color w:val="183348"/>
          <w:sz w:val="21"/>
        </w:rPr>
        <w:t>S101  获取及处理【运行数据】</w:t>
      </w:r>
    </w:p>
    <w:p>
      <w:pPr>
        <w:keepNext/>
        <w:spacing w:after="60" w:line="260" w:lineRule="exact"/>
        <w:jc w:val="center"/>
      </w:pPr>
      <w:r>
        <w:t>↓</w:t>
      </w:r>
    </w:p>
    <w:p>
      <w:pPr>
        <w:keepNext/>
        <w:spacing w:after="60"/>
        <w:jc w:val="center"/>
      </w:pPr>
      <w:r>
        <w:rPr>
          <w:rFonts w:ascii="宋体" w:hAnsi="宋体" w:eastAsia="宋体"/>
          <w:b w:val="0"/>
          <w:color w:val="183348"/>
          <w:sz w:val="21"/>
        </w:rPr>
        <w:t>S102  构建【参考状态】</w:t>
      </w:r>
    </w:p>
    <w:p>
      <w:pPr>
        <w:keepNext/>
        <w:spacing w:after="60" w:line="260" w:lineRule="exact"/>
        <w:jc w:val="center"/>
      </w:pPr>
      <w:r>
        <w:t>↓</w:t>
      </w:r>
    </w:p>
    <w:p>
      <w:pPr>
        <w:keepNext/>
        <w:spacing w:after="60"/>
        <w:jc w:val="center"/>
      </w:pPr>
      <w:r>
        <w:rPr>
          <w:rFonts w:ascii="宋体" w:hAnsi="宋体" w:eastAsia="宋体"/>
          <w:b w:val="0"/>
          <w:color w:val="183348"/>
          <w:sz w:val="21"/>
        </w:rPr>
        <w:t>S103  计算【异常表征量】</w:t>
      </w:r>
    </w:p>
    <w:p>
      <w:pPr>
        <w:keepNext/>
        <w:spacing w:after="60" w:line="260" w:lineRule="exact"/>
        <w:jc w:val="center"/>
      </w:pPr>
      <w:r>
        <w:t>↓</w:t>
      </w:r>
    </w:p>
    <w:p>
      <w:pPr>
        <w:keepNext/>
        <w:spacing w:after="60"/>
        <w:jc w:val="center"/>
      </w:pPr>
      <w:r>
        <w:rPr>
          <w:rFonts w:ascii="宋体" w:hAnsi="宋体" w:eastAsia="宋体"/>
          <w:b w:val="0"/>
          <w:color w:val="183348"/>
          <w:sz w:val="21"/>
        </w:rPr>
        <w:t>S104  按【判定规则】确定结果</w:t>
      </w:r>
    </w:p>
    <w:p>
      <w:pPr>
        <w:keepNext/>
        <w:spacing w:after="60" w:line="260" w:lineRule="exact"/>
        <w:jc w:val="center"/>
      </w:pPr>
      <w:r>
        <w:t>↓</w:t>
      </w:r>
    </w:p>
    <w:p>
      <w:pPr>
        <w:keepNext/>
        <w:spacing w:after="60"/>
        <w:jc w:val="center"/>
      </w:pPr>
      <w:r>
        <w:rPr>
          <w:rFonts w:ascii="宋体" w:hAnsi="宋体" w:eastAsia="宋体"/>
          <w:b w:val="0"/>
          <w:color w:val="183348"/>
          <w:sz w:val="21"/>
        </w:rPr>
        <w:t>S105  输出【检测或预警信息】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该图为组织草图。实际存在分支时，增加判断节点及“是/否”出口，并画清循环与终止条件。附图编号、步骤号、模块号与正文一致。</w:t>
      </w:r>
    </w:p>
    <w:p>
      <w:pPr>
        <w:pStyle w:val="Heading2"/>
      </w:pPr>
      <w:r>
        <w:t>说明书摘要 可直接替换的段落</w:t>
      </w:r>
    </w:p>
    <w:p>
      <w:pPr>
        <w:widowControl/>
        <w:spacing w:after="160"/>
      </w:pPr>
      <w:r>
        <w:rPr>
          <w:rFonts w:ascii="宋体" w:hAnsi="宋体" w:eastAsia="宋体"/>
          <w:b w:val="0"/>
          <w:color w:val="183348"/>
          <w:sz w:val="21"/>
        </w:rPr>
        <w:t>本发明公开了一种【发明名称】，涉及【技术领域】。所述方法包括：获取【对象与数据】；根据【关键处理规则】确定【特征或参考状态】；通过【核心机制】获得【异常表征量或结果】；在【判定条件】满足时生成【检测或预警信息】。本发明通过【区别性技术措施】，改善了【具体技术问题】，适用于【主要应用场景】。</w:t>
      </w:r>
    </w:p>
    <w:p>
      <w:pPr>
        <w:widowControl/>
        <w:spacing w:after="160" w:line="280" w:lineRule="exact"/>
      </w:pPr>
      <w:r>
        <w:rPr>
          <w:rFonts w:ascii="宋体" w:hAnsi="宋体" w:eastAsia="宋体"/>
          <w:b w:val="0"/>
          <w:color w:val="526271"/>
          <w:sz w:val="18"/>
        </w:rPr>
        <w:t>摘要附图：【从实际附图中选择最能反映核心方案的一幅，填写图号】。</w:t>
      </w:r>
    </w:p>
    <w:p>
      <w:pPr>
        <w:widowControl/>
        <w:spacing w:after="200" w:line="280" w:lineRule="exact"/>
      </w:pPr>
      <w:r>
        <w:rPr>
          <w:rFonts w:ascii="宋体" w:hAnsi="宋体" w:eastAsia="宋体"/>
          <w:b w:val="0"/>
          <w:color w:val="526271"/>
          <w:sz w:val="18"/>
        </w:rPr>
        <w:t>填写提示  摘要完成后检查长度及现行提交要求；删除占位符、评价性宣传和未证实结果。不要在摘要中首次引入正文没有描述的关键技术。</w:t>
      </w:r>
    </w:p>
    <w:p>
      <w:r>
        <w:br w:type="page"/>
      </w:r>
    </w:p>
    <w:p>
      <w:pPr>
        <w:pStyle w:val="Heading1"/>
      </w:pPr>
      <w:r>
        <w:t>提交前检查与参考</w:t>
      </w:r>
    </w:p>
    <w:p>
      <w:pPr>
        <w:pStyle w:val="Subtitle"/>
      </w:pPr>
      <w:r>
        <w:t>逐项核对  正式稿保留技术内容，删除教学提示和空白占位符。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5" w:type="dxa"/>
          <w:bottom w:w="105" w:type="dxa"/>
          <w:left w:w="150" w:type="dxa"/>
          <w:right w:w="150" w:type="dxa"/>
        </w:tblCellMar>
      </w:tblPr>
      <w:tblGrid>
        <w:gridCol w:w="2200"/>
        <w:gridCol w:w="7826"/>
      </w:tblGrid>
      <w:tr>
        <w:trPr>
          <w:cantSplit/>
          <w:tblHeader/>
        </w:trPr>
        <w:tc>
          <w:tcPr>
            <w:tcW w:type="dxa" w:w="2200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检查项</w:t>
            </w:r>
          </w:p>
        </w:tc>
        <w:tc>
          <w:tcPr>
            <w:tcW w:type="dxa" w:w="7826"/>
            <w:vAlign w:val="center"/>
            <w:shd w:fill="EFF5F7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通过标准 / 待处理内容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问题与改进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明确具体失效场景、现有方法和本方案的区别。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权利要求主线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独立项包含解决问题的必要特征；没有只写预期效果。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引用与支持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从属关系正确；权利要求各特征均有说明书实现支持。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数据与物理量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来源、工况、单位、采样、符号和无效值处理一致。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公式与判定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变量齐全；正负号、等号边界、分级优先级明确。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样本与时间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回溯训练与在线检测分开；不使用检测时不可得的信息。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模型或参数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说明输入输出、计算或训练方法，以及更新选择规则。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主体与接口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车端和云端各自执行动作、数据字段与时机清楚。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实验与结论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结果真实；样本量、对照、指标分母及限制写明。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文字与附图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名称、术语、编号、工况、图中步骤与正文相互一致。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□ 清稿与检索</w:t>
            </w:r>
          </w:p>
        </w:tc>
        <w:tc>
          <w:tcPr>
            <w:tcW w:type="dxa" w:w="7826"/>
            <w:vAlign w:val="center"/>
          </w:tcPr>
          <w:p>
            <w:pPr>
              <w:spacing w:after="0" w:line="290" w:lineRule="exact"/>
            </w:pPr>
            <w:r>
              <w:rPr>
                <w:rFonts w:ascii="宋体" w:hAnsi="宋体" w:eastAsia="宋体"/>
                <w:b w:val="0"/>
                <w:color w:val="183348"/>
                <w:sz w:val="19"/>
              </w:rPr>
              <w:t>删除【】、提示和不适用项；完成针对核心方案的检索比较。</w:t>
            </w:r>
          </w:p>
        </w:tc>
      </w:tr>
    </w:tbl>
    <w:p>
      <w:pPr>
        <w:spacing w:after="0" w:line="60" w:lineRule="exact" w:before="0"/>
      </w:pPr>
      <w:r>
        <w:rPr>
          <w:sz w:val="6"/>
        </w:rPr>
      </w:r>
    </w:p>
    <w:p>
      <w:pPr>
        <w:pStyle w:val="Heading2"/>
      </w:pPr>
      <w:r>
        <w:t>本模板的参考依据</w:t>
      </w:r>
    </w:p>
    <w:p>
      <w:pPr>
        <w:widowControl/>
        <w:spacing w:after="160" w:line="280" w:lineRule="exact"/>
      </w:pPr>
      <w:r>
        <w:rPr>
          <w:rFonts w:ascii="宋体" w:hAnsi="宋体" w:eastAsia="宋体"/>
          <w:b w:val="0"/>
          <w:color w:val="526271"/>
          <w:sz w:val="18"/>
        </w:rPr>
        <w:t>结构参考：用户提供的 CN120802078A《电池绝缘异常检测方法、检测装置和电子设备》及 CN121679394A《一种电池绝缘异常的检测方法及装置》。本模板提炼写作结构，不将其中技术方案预设为你的新增发明。</w:t>
      </w:r>
    </w:p>
    <w:p>
      <w:pPr>
        <w:widowControl/>
        <w:spacing w:after="80" w:line="280" w:lineRule="exact"/>
      </w:pPr>
      <w:r>
        <w:rPr>
          <w:rFonts w:ascii="宋体" w:hAnsi="宋体" w:eastAsia="宋体"/>
          <w:b w:val="0"/>
          <w:color w:val="526271"/>
          <w:sz w:val="18"/>
        </w:rPr>
        <w:t>撰写原则参考：《中华人民共和国专利法》第二十六条关于说明书清楚、完整以及权利要求以说明书为依据的要求。国家知识产权局公开文本：</w:t>
      </w:r>
    </w:p>
    <w:p>
      <w:pPr>
        <w:widowControl/>
        <w:spacing w:after="160" w:line="280" w:lineRule="exact"/>
      </w:pPr>
      <w:r>
        <w:rPr>
          <w:rFonts w:ascii="宋体" w:hAnsi="宋体" w:eastAsia="宋体"/>
          <w:b w:val="0"/>
          <w:color w:val="526271"/>
          <w:sz w:val="18"/>
        </w:rPr>
        <w:t>国家知识产权局  中华人民共和国专利法（2020年修正）</w:t>
        <w:br/>
        <w:t>https://www.cnipa.gov.cn/art/2020/11/23/art_97_155167.html</w:t>
      </w:r>
    </w:p>
    <w:p>
      <w:pPr>
        <w:widowControl/>
        <w:spacing w:after="160" w:line="280" w:lineRule="exact"/>
      </w:pPr>
      <w:r>
        <w:rPr>
          <w:rFonts w:ascii="宋体" w:hAnsi="宋体" w:eastAsia="宋体"/>
          <w:b w:val="0"/>
          <w:color w:val="526271"/>
          <w:sz w:val="18"/>
        </w:rPr>
        <w:t>待交付材料：填写后的技术方案、流程或结构图、核心公式或算法说明、真实效果证据，以及与已知方案的区别说明。</w:t>
      </w:r>
    </w:p>
    <w:sectPr w:rsidR="00FC693F" w:rsidRPr="0006063C" w:rsidSect="00034616">
      <w:footerReference w:type="default" r:id="rId9"/>
      <w:pgSz w:w="11906" w:h="16838"/>
      <w:pgMar w:top="960" w:right="940" w:bottom="960" w:left="940" w:header="40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526271"/>
        <w:sz w:val="16"/>
      </w:rPr>
      <w:t xml:space="preserve">第 </w:t>
    </w:r>
    <w:r>
      <w:rPr>
        <w:rFonts w:ascii="宋体" w:hAnsi="宋体" w:eastAsia="宋体"/>
        <w:b w:val="0"/>
        <w:color w:val="526271"/>
        <w:sz w:val="16"/>
      </w:rPr>
    </w:r>
    <w:fldSimple w:instr="PAGE"/>
    <w:r>
      <w:rPr>
        <w:rFonts w:ascii="宋体" w:hAnsi="宋体" w:eastAsia="宋体"/>
        <w:b w:val="0"/>
        <w:color w:val="526271"/>
        <w:sz w:val="16"/>
      </w:rPr>
      <w:t xml:space="preserve"> 页  共 </w:t>
    </w:r>
    <w:r>
      <w:rPr>
        <w:rFonts w:ascii="宋体" w:hAnsi="宋体" w:eastAsia="宋体"/>
        <w:b w:val="0"/>
        <w:color w:val="526271"/>
        <w:sz w:val="16"/>
      </w:rPr>
    </w:r>
    <w:fldSimple w:instr="NUMPAGES"/>
    <w:r>
      <w:rPr>
        <w:rFonts w:ascii="宋体" w:hAnsi="宋体" w:eastAsia="宋体"/>
        <w:b w:val="0"/>
        <w:color w:val="526271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0" w:lineRule="exact"/>
    </w:pPr>
    <w:rPr>
      <w:rFonts w:ascii="宋体" w:hAnsi="宋体" w:eastAsia="宋体"/>
      <w:b w:val="0"/>
      <w:color w:val="1833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560" w:lineRule="exact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 w:line="360" w:lineRule="exact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560" w:lineRule="exact" w:before="0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 w:line="300" w:lineRule="exact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云端电池故障诊断发明专利撰写模板</dc:title>
  <dc:subject>包含填写提示的可编辑专利模板</dc:subject>
  <dc:creator/>
  <cp:keywords>电池故障诊断 专利模板 权利要求 技术交底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