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储能系统故障诊断算法调研</w:t>
      </w:r>
    </w:p>
    <w:p>
      <w:pPr>
        <w:pStyle w:val="Subtitle"/>
      </w:pPr>
      <w:r>
        <w:t>工业落地方案与验证要求</w:t>
      </w:r>
    </w:p>
    <w:p>
      <w:r>
        <w:rPr>
          <w:b w:val="0"/>
        </w:rPr>
        <w:t>适用对象  磷酸铁锂电池储能电站及工商业储能系统</w:t>
        <w:br/>
        <w:t>面向人员  算法研发  BMS与EMS开发  系统集成  运维与测试</w:t>
        <w:br/>
        <w:t>调研日期  2026年9月7日    文档版本  1.0</w:t>
      </w:r>
    </w:p>
    <w:p>
      <w:pPr>
        <w:pStyle w:val="Heading2"/>
      </w:pPr>
      <w:r>
        <w:t>核心结论</w:t>
      </w:r>
    </w:p>
    <w:p>
      <w:r>
        <w:rPr>
          <w:b w:val="0"/>
        </w:rPr>
        <w:t>建议采用“本地保护＋边缘诊断＋云端趋势分析”的分层方案。第一阶段以数据质量检查、工况规则、同组鲁棒统计和变化检测实现可解释告警；第二阶段引入等效电路与热模型残差，提升故障隔离能力；有可靠故障标签和跨站验证后，再增加机器学习排序与分类。</w:t>
      </w:r>
    </w:p>
    <w:p>
      <w:r>
        <w:rPr>
          <w:b w:val="0"/>
        </w:rPr>
        <w:t>工业级能力取决于测量可观测性、故障证据、误报预算、保护边界、回放验证和运行维护，而不是模型复杂度。单体压差、温差、SOC差异都只能作为证据之一；同一异常可能来自电芯、接线、采样或工况变化。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4252"/>
        <w:gridCol w:w="3969"/>
      </w:tblGrid>
      <w:tr>
        <w:trPr>
          <w:tblHeader/>
          <w:cantSplit/>
        </w:trPr>
        <w:tc>
          <w:tcPr>
            <w:tcW w:type="dxa" w:w="1417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建设顺序</w:t>
            </w:r>
          </w:p>
        </w:tc>
        <w:tc>
          <w:tcPr>
            <w:tcW w:type="dxa" w:w="4252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建议首批功能</w:t>
            </w:r>
          </w:p>
        </w:tc>
        <w:tc>
          <w:tcPr>
            <w:tcW w:type="dxa" w:w="3969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预期交付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优先上线</w:t>
            </w:r>
          </w:p>
        </w:tc>
        <w:tc>
          <w:tcPr>
            <w:tcW w:type="dxa" w:w="425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通信与采样异常  电压温度离群  冷却执行异常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可追溯事件与运维工单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条件成熟上线</w:t>
            </w:r>
          </w:p>
        </w:tc>
        <w:tc>
          <w:tcPr>
            <w:tcW w:type="dxa" w:w="425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连接异常  自放电风险  ECM与热残差</w:t>
            </w:r>
          </w:p>
        </w:tc>
        <w:tc>
          <w:tcPr>
            <w:tcW w:type="dxa" w:w="3969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带可观测性门控的候选根因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试点后增强</w:t>
            </w:r>
          </w:p>
        </w:tc>
        <w:tc>
          <w:tcPr>
            <w:tcW w:type="dxa" w:w="425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多变量机器学习  容量趋势  跨站迁移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经独立验证的风险排序与模型版本</w:t>
            </w:r>
          </w:p>
        </w:tc>
      </w:tr>
    </w:tbl>
    <w:p>
      <w:pPr>
        <w:spacing w:after="0"/>
      </w:pPr>
    </w:p>
    <w:p>
      <w:pPr>
        <w:pStyle w:val="Heading2"/>
      </w:pPr>
      <w:r>
        <w:t>适用范围与证据边界</w:t>
      </w:r>
    </w:p>
    <w:p>
      <w:r>
        <w:rPr>
          <w:b w:val="0"/>
        </w:rPr>
        <w:t>本文以BMS/EMS可提供秒级电压、电流、温度和设备状态为基础，覆盖电池、连接与绝缘、PCS、热管理、通信和执行机构。交流保护及消防动作遵循独立系统设计。液流、铅酸、钠离子及退役混用电池需重建机理、基线和验证集。</w:t>
      </w:r>
    </w:p>
    <w:p>
      <w:r>
        <w:rPr>
          <w:b w:val="0"/>
        </w:rPr>
        <w:t>文中参数、资源配置、周期与验收目标均为工程建议或演算示例，需在目标站标定；不表示已完成现场测试，也不构成通用保护定值。引用采用文献编号，完整来源见第22至23页。</w:t>
      </w:r>
    </w:p>
    <w:p>
      <w:pPr>
        <w:pStyle w:val="Heading2"/>
      </w:pPr>
      <w:r>
        <w:t>阅读导航</w:t>
      </w:r>
    </w:p>
    <w:p>
      <w:r>
        <w:rPr>
          <w:b w:val="0"/>
        </w:rPr>
        <w:t>第2至4页：故障与算法选型。第5至6页：数据基础。第7至15页：算法实现。第16至17页：部署和告警。第18至21页：验证、上线和参数。第22至23页：参考来源。</w:t>
      </w:r>
    </w:p>
    <w:p>
      <w:r>
        <w:br w:type="page"/>
      </w:r>
    </w:p>
    <w:p>
      <w:pPr>
        <w:pStyle w:val="Heading1"/>
      </w:pPr>
      <w:r>
        <w:t>1  系统故障范围与诊断输出</w:t>
      </w:r>
    </w:p>
    <w:p>
      <w:r>
        <w:rPr>
          <w:b w:val="0"/>
        </w:rPr>
        <w:t>先明确“检测到异常”“定位到设备”“识别故障机理”三个不同目标。输出对象应限定在当前传感器真正能够区分的层级；多个并联电芯只共享一个电压测点时，通常只能定位到并联组。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324"/>
        <w:gridCol w:w="3288"/>
        <w:gridCol w:w="2778"/>
      </w:tblGrid>
      <w:tr>
        <w:trPr>
          <w:tblHeader/>
          <w:cantSplit/>
        </w:trPr>
        <w:tc>
          <w:tcPr>
            <w:tcW w:type="dxa" w:w="1247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324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典型故障</w:t>
            </w:r>
          </w:p>
        </w:tc>
        <w:tc>
          <w:tcPr>
            <w:tcW w:type="dxa" w:w="328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优先证据</w:t>
            </w:r>
          </w:p>
        </w:tc>
        <w:tc>
          <w:tcPr>
            <w:tcW w:type="dxa" w:w="277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输出与确认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电芯与并联组</w:t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自放电  内短路风险  容量衰减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静置电压或SOC差异趋势  电热残差</w:t>
            </w:r>
          </w:p>
        </w:tc>
        <w:tc>
          <w:tcPr>
            <w:tcW w:type="dxa" w:w="277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风险候选；复测与机理验证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串联连接</w:t>
            </w:r>
          </w:p>
        </w:tc>
        <w:tc>
          <w:tcPr>
            <w:tcW w:type="dxa" w:w="232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松动  腐蚀  接触电阻增大</w:t>
            </w:r>
          </w:p>
        </w:tc>
        <w:tc>
          <w:tcPr>
            <w:tcW w:type="dxa" w:w="328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与电流相关的压降  局部温升  冗余压降</w:t>
            </w:r>
          </w:p>
        </w:tc>
        <w:tc>
          <w:tcPr>
            <w:tcW w:type="dxa" w:w="277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定位候选接点；停电复核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采样系统</w:t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开线  偏置  卡死  通道错位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AFE自检  冗余电压  相邻通道异常</w:t>
            </w:r>
          </w:p>
        </w:tc>
        <w:tc>
          <w:tcPr>
            <w:tcW w:type="dxa" w:w="277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区分测量链路与电芯异常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绝缘与直流回路</w:t>
            </w:r>
          </w:p>
        </w:tc>
        <w:tc>
          <w:tcPr>
            <w:tcW w:type="dxa" w:w="232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对地绝缘下降  接触器异常</w:t>
            </w:r>
          </w:p>
        </w:tc>
        <w:tc>
          <w:tcPr>
            <w:tcW w:type="dxa" w:w="328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IMD读数  接点反馈  预充过程</w:t>
            </w:r>
          </w:p>
        </w:tc>
        <w:tc>
          <w:tcPr>
            <w:tcW w:type="dxa" w:w="277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回路候选与执行失败事件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热管理</w:t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泵或风机失效  堵塞  制冷不足  泄漏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命令反馈  流量  压差  供回液温度</w:t>
            </w:r>
          </w:p>
        </w:tc>
        <w:tc>
          <w:tcPr>
            <w:tcW w:type="dxa" w:w="277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冷却能力异常及影响范围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PCS</w:t>
            </w:r>
          </w:p>
        </w:tc>
        <w:tc>
          <w:tcPr>
            <w:tcW w:type="dxa" w:w="232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功率跟踪异常  散热异常  器件老化</w:t>
            </w:r>
          </w:p>
        </w:tc>
        <w:tc>
          <w:tcPr>
            <w:tcW w:type="dxa" w:w="328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有效指令  功率  故障码  散热器温度</w:t>
            </w:r>
          </w:p>
        </w:tc>
        <w:tc>
          <w:tcPr>
            <w:tcW w:type="dxa" w:w="277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设备级定位；器件级需专用数据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监控通信</w:t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丢包  时钟漂移  数据冻结  映射错误</w:t>
            </w:r>
          </w:p>
        </w:tc>
        <w:tc>
          <w:tcPr>
            <w:tcW w:type="dxa" w:w="328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时间戳  序列号  质量码  拓扑版本</w:t>
            </w:r>
          </w:p>
        </w:tc>
        <w:tc>
          <w:tcPr>
            <w:tcW w:type="dxa" w:w="277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数据故障；保留未评估状态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舱级安全</w:t>
            </w:r>
          </w:p>
        </w:tc>
        <w:tc>
          <w:tcPr>
            <w:tcW w:type="dxa" w:w="232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烟气  异常气体  热失控征兆</w:t>
            </w:r>
          </w:p>
        </w:tc>
        <w:tc>
          <w:tcPr>
            <w:tcW w:type="dxa" w:w="328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认证探测器及本地联动状态</w:t>
            </w:r>
          </w:p>
        </w:tc>
        <w:tc>
          <w:tcPr>
            <w:tcW w:type="dxa" w:w="277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即时事件；遵循既定应急流程</w:t>
            </w:r>
          </w:p>
        </w:tc>
      </w:tr>
    </w:tbl>
    <w:p>
      <w:pPr>
        <w:spacing w:after="0"/>
      </w:pPr>
    </w:p>
    <w:p>
      <w:pPr>
        <w:pStyle w:val="Heading2"/>
      </w:pPr>
      <w:r>
        <w:t>故障之间的混淆需要写入设计</w:t>
      </w:r>
    </w:p>
    <w:p>
      <w:r>
        <w:rPr>
          <w:b w:val="0"/>
        </w:rPr>
        <w:t>相同的低电压可以由低SOC、容量不足、内阻增大、接触电阻、采样偏置或自放电引起。先排除数据与工况问题，再通过负载相关性、静置趋势、热响应和独立测量增加证据；不满足隔离条件时输出“原因未确定”。</w:t>
      </w:r>
    </w:p>
    <w:p>
      <w:r>
        <w:rPr>
          <w:b w:val="0"/>
        </w:rPr>
        <w:t>EPRI提供的公开储能事故资料适合建立故障树与覆盖范围。事故公开程度和根因完整性不一致，因此不能把公开事件数量直接解释为全行业故障率，也不能作为连续遥测的监督学习标签。[6]</w:t>
      </w:r>
    </w:p>
    <w:p>
      <w:r>
        <w:br w:type="page"/>
      </w:r>
    </w:p>
    <w:p>
      <w:pPr>
        <w:pStyle w:val="Heading1"/>
      </w:pPr>
      <w:r>
        <w:t>2  代表性研究与工业证据</w:t>
      </w:r>
    </w:p>
    <w:p>
      <w:r>
        <w:rPr>
          <w:b w:val="0"/>
        </w:rPr>
        <w:t>证据分为三类：设备手册与现有监测能力、真实运行数据研究、受控实验研究。以下分级是本文的工程评价，不是标准认证等级。真实车辆结果迁移到固定式储能时，需重新验证化学体系、采样方式和调度工况。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551"/>
        <w:gridCol w:w="2551"/>
        <w:gridCol w:w="2551"/>
      </w:tblGrid>
      <w:tr>
        <w:trPr>
          <w:tblHeader/>
          <w:cantSplit/>
        </w:trPr>
        <w:tc>
          <w:tcPr>
            <w:tcW w:type="dxa" w:w="1984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来源与方法</w:t>
            </w:r>
          </w:p>
        </w:tc>
        <w:tc>
          <w:tcPr>
            <w:tcW w:type="dxa" w:w="2551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验证对象</w:t>
            </w:r>
          </w:p>
        </w:tc>
        <w:tc>
          <w:tcPr>
            <w:tcW w:type="dxa" w:w="2551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可借鉴部分</w:t>
            </w:r>
          </w:p>
        </w:tc>
        <w:tc>
          <w:tcPr>
            <w:tcW w:type="dxa" w:w="2551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工业部署限制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[7] 2013 ECM与电阻熵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96串电池实车示范  3个月数据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把电阻水平与波动特征结合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个案证据；需核实采样是否含接点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[8] 2017 电压熵与Z分数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实车运行电压数据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低成本窗口统计与定位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熵随窗口及分箱变化；根因不唯一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[9] 2022 改进KPCA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串联电池受控实验  10Ω至10kΩ短路模拟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非线性同组监测与残差贡献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实验外接支路不等同真实内部缺陷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[10] 2023 DyAD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347辆车  超69万充电片段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按输入响应关系建模  设备级聚合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车辆级标签；需目标站独立测试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[11] 2025 MCNN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515辆车  1820万有效记录  30秒帧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模型约束预测和残差分类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不能将论文ROC换算为站级误报率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[12][13] AFE开线诊断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TI与ADI公开技术资料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利用主动开线检测与冗余诊断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芯片功能仍需板级及系统级验证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[14] 绝缘监测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Bender绝缘监测设备资料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独立IMD接入  读数趋势与自检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适配接地方式  漏电容和注入影响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[15] 功率循环评估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Infineon器件应用说明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热应力与器件寿命累积分析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任务剖面和器件参数决定可迁移性</w:t>
            </w:r>
          </w:p>
        </w:tc>
      </w:tr>
    </w:tbl>
    <w:p>
      <w:pPr>
        <w:spacing w:after="0"/>
      </w:pPr>
    </w:p>
    <w:p>
      <w:pPr>
        <w:pStyle w:val="Heading2"/>
      </w:pPr>
      <w:r>
        <w:t>选型判断</w:t>
      </w:r>
    </w:p>
    <w:p>
      <w:r>
        <w:rPr>
          <w:b w:val="0"/>
        </w:rPr>
        <w:t>研究证明某方法在其数据上可用，并不证明它能直接识别目标站的全部故障。首版应建立相同测试集上的规则、MAD、CUSUM和模型残差基线；复杂模型只有在相同误报事件预算下提高有效召回，才有上线价值。</w:t>
      </w:r>
    </w:p>
    <w:p>
      <w:r>
        <w:rPr>
          <w:b w:val="0"/>
        </w:rPr>
        <w:t>对新论文和供应商指标，至少核验独立故障事件数、标签确认方式、采样频率、训练测试划分、实际误报数量与检测提前量。只提供“准确率99%”或单一案例曲线，不足以支撑工业验收。</w:t>
      </w:r>
    </w:p>
    <w:p>
      <w:r>
        <w:br w:type="page"/>
      </w:r>
    </w:p>
    <w:p>
      <w:pPr>
        <w:pStyle w:val="Heading1"/>
      </w:pPr>
      <w:r>
        <w:t>3  算法选型与部署优先级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2438"/>
        <w:gridCol w:w="2494"/>
        <w:gridCol w:w="2835"/>
      </w:tblGrid>
      <w:tr>
        <w:trPr>
          <w:tblHeader/>
          <w:cantSplit/>
        </w:trPr>
        <w:tc>
          <w:tcPr>
            <w:tcW w:type="dxa" w:w="1871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算法</w:t>
            </w:r>
          </w:p>
        </w:tc>
        <w:tc>
          <w:tcPr>
            <w:tcW w:type="dxa" w:w="243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适合任务</w:t>
            </w:r>
          </w:p>
        </w:tc>
        <w:tc>
          <w:tcPr>
            <w:tcW w:type="dxa" w:w="2494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成本与可解释性</w:t>
            </w:r>
          </w:p>
        </w:tc>
        <w:tc>
          <w:tcPr>
            <w:tcW w:type="dxa" w:w="2835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上线建议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阈值与状态机</w:t>
            </w:r>
          </w:p>
        </w:tc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越限  通信  执行失败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计算低；解释直接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P0 必选；保护阈值与诊断阈值分离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中位数与MAD</w:t>
            </w:r>
          </w:p>
        </w:tc>
        <w:tc>
          <w:tcPr>
            <w:tcW w:type="dxa" w:w="243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同组电压温度离群</w:t>
            </w:r>
          </w:p>
        </w:tc>
        <w:tc>
          <w:tcPr>
            <w:tcW w:type="dxa" w:w="249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计算低；能给出偏差来源</w:t>
            </w:r>
          </w:p>
        </w:tc>
        <w:tc>
          <w:tcPr>
            <w:tcW w:type="dxa" w:w="283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P0 必选；按拓扑和工况分组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EWMA与CUSUM</w:t>
            </w:r>
          </w:p>
        </w:tc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缓慢漂移  残差偏移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计算低；保留变化起点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P0；需基线冻结与复位策略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相关性与电压熵</w:t>
            </w:r>
          </w:p>
        </w:tc>
        <w:tc>
          <w:tcPr>
            <w:tcW w:type="dxa" w:w="243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连接间歇异常  通道异常</w:t>
            </w:r>
          </w:p>
        </w:tc>
        <w:tc>
          <w:tcPr>
            <w:tcW w:type="dxa" w:w="249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计算低至中；依赖窗口</w:t>
            </w:r>
          </w:p>
        </w:tc>
        <w:tc>
          <w:tcPr>
            <w:tcW w:type="dxa" w:w="283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P1 辅助证据；不可单独定根因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ECM与EKF或RLS</w:t>
            </w:r>
          </w:p>
        </w:tc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电压残差  等效阻抗趋势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计算中；可解释但需标定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P1；输入激励不足时停止参数更新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集中参数热模型</w:t>
            </w:r>
          </w:p>
        </w:tc>
        <w:tc>
          <w:tcPr>
            <w:tcW w:type="dxa" w:w="243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冷却能力与局部发热异常</w:t>
            </w:r>
          </w:p>
        </w:tc>
        <w:tc>
          <w:tcPr>
            <w:tcW w:type="dxa" w:w="249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计算低至中；需热参数</w:t>
            </w:r>
          </w:p>
        </w:tc>
        <w:tc>
          <w:tcPr>
            <w:tcW w:type="dxa" w:w="283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P1；按冷却区域建立模型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PCA或KPCA</w:t>
            </w:r>
          </w:p>
        </w:tc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多测点协同异常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PCA较低；KPCA维护较高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P1；适合健康数据较多的场景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Isolation Forest</w:t>
            </w:r>
          </w:p>
        </w:tc>
        <w:tc>
          <w:tcPr>
            <w:tcW w:type="dxa" w:w="243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多变量事件风险排序</w:t>
            </w:r>
          </w:p>
        </w:tc>
        <w:tc>
          <w:tcPr>
            <w:tcW w:type="dxa" w:w="249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成本中；需特征归因</w:t>
            </w:r>
          </w:p>
        </w:tc>
        <w:tc>
          <w:tcPr>
            <w:tcW w:type="dxa" w:w="283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P1；输出异常分数并标识分布外输入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梯度提升树</w:t>
            </w:r>
          </w:p>
        </w:tc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已确认故障类型分类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推理较低；解释相对方便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P2；按事件划分并做概率校准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AE  TCN  LSTM</w:t>
            </w:r>
          </w:p>
        </w:tc>
        <w:tc>
          <w:tcPr>
            <w:tcW w:type="dxa" w:w="243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复杂工况响应预测</w:t>
            </w:r>
          </w:p>
        </w:tc>
        <w:tc>
          <w:tcPr>
            <w:tcW w:type="dxa" w:w="249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训练和维护较高</w:t>
            </w:r>
          </w:p>
        </w:tc>
        <w:tc>
          <w:tcPr>
            <w:tcW w:type="dxa" w:w="283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P2；优先单向因果预测与模型约束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Transformer与GNN</w:t>
            </w:r>
          </w:p>
        </w:tc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跨设备关系与长时依赖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资源和验证要求高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P3 探索；数据优势明确后再引入</w:t>
            </w:r>
          </w:p>
        </w:tc>
      </w:tr>
    </w:tbl>
    <w:p>
      <w:pPr>
        <w:spacing w:after="0"/>
      </w:pPr>
    </w:p>
    <w:p>
      <w:pPr>
        <w:pStyle w:val="Heading2"/>
      </w:pPr>
      <w:r>
        <w:t>默认技术组合</w:t>
      </w:r>
    </w:p>
    <w:p>
      <w:r>
        <w:rPr>
          <w:b w:val="0"/>
        </w:rPr>
        <w:t>站端每秒运行质量门控、规则、同组统计和轻量残差；云端按分钟聚合、按日更新跨周期趋势与风险排序。首版无需GPU。保留统一特征接口，后续增加模型时复用事件、回放和运维体系。</w:t>
      </w:r>
    </w:p>
    <w:p>
      <w:r>
        <w:rPr>
          <w:b w:val="0"/>
        </w:rPr>
        <w:t>P0表示首期必需，P1表示数据具备后实施，P2表示独立试点通过后上线，P3表示研究储备。这是投入顺序，不是故障危险程度。可解释性高的算法也必须经过现场验证。</w:t>
      </w:r>
    </w:p>
    <w:p>
      <w:r>
        <w:br w:type="page"/>
      </w:r>
    </w:p>
    <w:p>
      <w:pPr>
        <w:pStyle w:val="Heading1"/>
      </w:pPr>
      <w:r>
        <w:t>4  数据契约与最低采集要求</w:t>
      </w:r>
    </w:p>
    <w:p>
      <w:r>
        <w:rPr>
          <w:b w:val="0"/>
        </w:rPr>
        <w:t>采样周期应按故障时间尺度确定。下表为项目建议起点，并非所有BMS都能提供；实际周期更慢时，应缩减诊断承诺。云端收到1秒数据，不代表电压、电流已经同步采集。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402"/>
        <w:gridCol w:w="2551"/>
        <w:gridCol w:w="2268"/>
      </w:tblGrid>
      <w:tr>
        <w:trPr>
          <w:tblHeader/>
          <w:cantSplit/>
        </w:trPr>
        <w:tc>
          <w:tcPr>
            <w:tcW w:type="dxa" w:w="1417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数据类别</w:t>
            </w:r>
          </w:p>
        </w:tc>
        <w:tc>
          <w:tcPr>
            <w:tcW w:type="dxa" w:w="3402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最低字段</w:t>
            </w:r>
          </w:p>
        </w:tc>
        <w:tc>
          <w:tcPr>
            <w:tcW w:type="dxa" w:w="2551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建议采集或上送</w:t>
            </w:r>
          </w:p>
        </w:tc>
        <w:tc>
          <w:tcPr>
            <w:tcW w:type="dxa" w:w="226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工程约束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资产拓扑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站 舱 簇 模组 测点  串并联关系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建站和每次改造更新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测点序号不可替代资产ID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电池电测量</w:t>
            </w:r>
          </w:p>
        </w:tc>
        <w:tc>
          <w:tcPr>
            <w:tcW w:type="dxa" w:w="340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全量单体电压  簇电流  独立簇电压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1秒起步；电流阶跃诊断需更快同步采集</w:t>
            </w:r>
          </w:p>
        </w:tc>
        <w:tc>
          <w:tcPr>
            <w:tcW w:type="dxa" w:w="226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保留原始值  精度  量程  质量码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温度与环境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全部温度点  测点位置  环境温湿度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1至5秒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记录传感器与冷却区域映射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BMS状态</w:t>
            </w:r>
          </w:p>
        </w:tc>
        <w:tc>
          <w:tcPr>
            <w:tcW w:type="dxa" w:w="340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SOC  SOH  均衡位  AFE故障  限流值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1秒和状态变化事件</w:t>
            </w:r>
          </w:p>
        </w:tc>
        <w:tc>
          <w:tcPr>
            <w:tcW w:type="dxa" w:w="226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SOC为估计量；记录固件与算法版本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直流与绝缘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IMD值及有效位  接触器命令反馈  预充状态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事件优先；周期适配设备响应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独立总压的测量位置需明确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热管理</w:t>
            </w:r>
          </w:p>
        </w:tc>
        <w:tc>
          <w:tcPr>
            <w:tcW w:type="dxa" w:w="340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泵风机命令  转速  流量  压力  供回液温度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1至5秒</w:t>
            </w:r>
          </w:p>
        </w:tc>
        <w:tc>
          <w:tcPr>
            <w:tcW w:type="dxa" w:w="226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无流量测点时只做较粗粒度诊断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PCS与电网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有效P/Q指令  实际P/Q  U/I  温度  限幅原因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秒级监控＋厂家高速故障录波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器件瞬态无法由秒级数据重建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安全与运维</w:t>
            </w:r>
          </w:p>
        </w:tc>
        <w:tc>
          <w:tcPr>
            <w:tcW w:type="dxa" w:w="340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烟气告警  设备自检  工单  更换  试验记录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事件触发  完整时间戳</w:t>
            </w:r>
          </w:p>
        </w:tc>
        <w:tc>
          <w:tcPr>
            <w:tcW w:type="dxa" w:w="226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必须与事件证据建立关联</w:t>
            </w:r>
          </w:p>
        </w:tc>
      </w:tr>
    </w:tbl>
    <w:p>
      <w:pPr>
        <w:spacing w:after="0"/>
      </w:pPr>
    </w:p>
    <w:p>
      <w:pPr>
        <w:pStyle w:val="Heading2"/>
      </w:pPr>
      <w:r>
        <w:t>统一记录格式</w:t>
      </w:r>
    </w:p>
    <w:p>
      <w:pPr>
        <w:ind w:left="198"/>
      </w:pPr>
      <w:r>
        <w:rPr>
          <w:rFonts w:ascii="Cambria" w:hAnsi="Cambria"/>
          <w:sz w:val="21"/>
        </w:rPr>
        <w:t>site_id / asset_id / channel_id / event_time / ingest_time / value / unit</w:t>
      </w:r>
    </w:p>
    <w:p>
      <w:pPr>
        <w:ind w:left="198"/>
      </w:pPr>
      <w:r>
        <w:rPr>
          <w:rFonts w:ascii="Cambria" w:hAnsi="Cambria"/>
          <w:sz w:val="21"/>
        </w:rPr>
        <w:t>quality_code / sequence_no / topology_version / firmware_version / source_id</w:t>
      </w:r>
    </w:p>
    <w:p>
      <w:r>
        <w:rPr>
          <w:b w:val="0"/>
        </w:rPr>
        <w:t>统一单位为V、A、℃、Ω、s；SOC明确采用0至1还是0至100。本文规定电池电流放电为正，充电为负。采集端保留原始符号与转换规则，不能静默更改历史含义。</w:t>
      </w:r>
    </w:p>
    <w:p>
      <w:r>
        <w:rPr>
          <w:b w:val="0"/>
        </w:rPr>
        <w:t>若只开放最高最低电压及对应编号，可做簇级异常筛查，难以建立完整同组统计和单体轨迹；应把获取全量单体与状态数据列为数据接入验收项。</w:t>
      </w:r>
    </w:p>
    <w:p>
      <w:r>
        <w:br w:type="page"/>
      </w:r>
    </w:p>
    <w:p>
      <w:pPr>
        <w:pStyle w:val="Heading1"/>
      </w:pPr>
      <w:r>
        <w:t>5  数据清洗与工况门控</w:t>
      </w:r>
    </w:p>
    <w:p>
      <w:pPr>
        <w:pStyle w:val="Heading2"/>
      </w:pPr>
      <w:r>
        <w:t>先判断数据是否足以支持诊断</w:t>
      </w:r>
    </w:p>
    <w:p>
      <w:r>
        <w:rPr>
          <w:b w:val="0"/>
        </w:rPr>
        <w:t>依次检查时间戳、序列号、单位、量程、跳变、重复值、拓扑与源质量码。通信断开或关键数据无效时，将相关算法置为NOT_EVALUATED；不把缺失值填成0，也不把没有告警解释为健康。</w:t>
      </w:r>
    </w:p>
    <w:p>
      <w:r>
        <w:rPr>
          <w:b w:val="0"/>
        </w:rPr>
        <w:t>模拟量可在受控短缺口内插值供趋势展示，但保留插值标记。保护事件、故障码和接触器状态禁止插值。进行电流阶跃或斜率检测时，关键窗口内存在缺口或对齐误差就应拒判。</w:t>
      </w:r>
    </w:p>
    <w:p>
      <w:pPr>
        <w:pStyle w:val="Heading2"/>
      </w:pPr>
      <w:r>
        <w:t>按运行机理划分窗口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551"/>
        <w:gridCol w:w="2721"/>
        <w:gridCol w:w="2665"/>
      </w:tblGrid>
      <w:tr>
        <w:trPr>
          <w:tblHeader/>
          <w:cantSplit/>
        </w:trPr>
        <w:tc>
          <w:tcPr>
            <w:tcW w:type="dxa" w:w="1701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type="dxa" w:w="2551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判断依据</w:t>
            </w:r>
          </w:p>
        </w:tc>
        <w:tc>
          <w:tcPr>
            <w:tcW w:type="dxa" w:w="2721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可运行算法</w:t>
            </w:r>
          </w:p>
        </w:tc>
        <w:tc>
          <w:tcPr>
            <w:tcW w:type="dxa" w:w="2665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需抑制或降级的算法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稳定充电或放电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电流方向稳定  指令无切换</w:t>
            </w:r>
          </w:p>
        </w:tc>
        <w:tc>
          <w:tcPr>
            <w:tcW w:type="dxa" w:w="272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同组偏差  负载回归  ECM残差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未补偿工况的熵与固定压差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负载阶跃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同步电流变化且电压采样足够快</w:t>
            </w:r>
          </w:p>
        </w:tc>
        <w:tc>
          <w:tcPr>
            <w:tcW w:type="dxa" w:w="272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固定响应延迟下的等效电阻</w:t>
            </w:r>
          </w:p>
        </w:tc>
        <w:tc>
          <w:tcPr>
            <w:tcW w:type="dxa" w:w="266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秒级错时数据上的纯欧姆电阻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静置与松弛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电流低于门槛  松弛时间满足</w:t>
            </w:r>
          </w:p>
        </w:tc>
        <w:tc>
          <w:tcPr>
            <w:tcW w:type="dxa" w:w="272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自放电相对趋势  零漂检查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激励不足时的RLS参数更新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均衡开启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均衡位与动作时间可得</w:t>
            </w:r>
          </w:p>
        </w:tc>
        <w:tc>
          <w:tcPr>
            <w:tcW w:type="dxa" w:w="272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均衡状态诊断  补偿后残差</w:t>
            </w:r>
          </w:p>
        </w:tc>
        <w:tc>
          <w:tcPr>
            <w:tcW w:type="dxa" w:w="266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未经补偿的静置自放电判定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启停及模式切换</w:t>
            </w:r>
          </w:p>
        </w:tc>
        <w:tc>
          <w:tcPr>
            <w:tcW w:type="dxa" w:w="255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接触器  预充  PCS状态变化</w:t>
            </w:r>
          </w:p>
        </w:tc>
        <w:tc>
          <w:tcPr>
            <w:tcW w:type="dxa" w:w="272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命令反馈时序  通信诊断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正常瞬态范围内的慢变量报警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维护与更换后</w:t>
            </w:r>
          </w:p>
        </w:tc>
        <w:tc>
          <w:tcPr>
            <w:tcW w:type="dxa" w:w="255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工单时间  电芯和固件变更</w:t>
            </w:r>
          </w:p>
        </w:tc>
        <w:tc>
          <w:tcPr>
            <w:tcW w:type="dxa" w:w="272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新基线观察  基础保护状态</w:t>
            </w:r>
          </w:p>
        </w:tc>
        <w:tc>
          <w:tcPr>
            <w:tcW w:type="dxa" w:w="266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沿用旧模型直接作老化比较</w:t>
            </w:r>
          </w:p>
        </w:tc>
      </w:tr>
    </w:tbl>
    <w:p>
      <w:pPr>
        <w:spacing w:after="0"/>
      </w:pPr>
    </w:p>
    <w:p>
      <w:pPr>
        <w:pStyle w:val="Heading2"/>
      </w:pPr>
      <w:r>
        <w:t>避免清洗把故障删掉</w:t>
      </w:r>
    </w:p>
    <w:p>
      <w:r>
        <w:rPr>
          <w:b w:val="0"/>
        </w:rPr>
        <w:t>物理越限值先检查来源并单独保存，不应被平滑器直接擦除。保留原始、清洗、特征三层数据；每个事件可回查清洗规则版本。离群剔除用于健康基线训练，在线检测仍必须看见离群证据。</w:t>
      </w:r>
    </w:p>
    <w:p>
      <w:r>
        <w:rPr>
          <w:b w:val="0"/>
        </w:rPr>
        <w:t>同组比较至少满足同串电流、相近温区和同类电芯。并联簇之间存在支路电流差，不能直接共用单体基线。多数测点同时变化时，转向共模工况与公共传感器排查，不能依赖中位数独自发现整组漂移。</w:t>
      </w:r>
    </w:p>
    <w:p>
      <w:r>
        <w:br w:type="page"/>
      </w:r>
    </w:p>
    <w:p>
      <w:pPr>
        <w:pStyle w:val="Heading1"/>
      </w:pPr>
      <w:r>
        <w:t>6  鲁棒统计与变化检测算法</w:t>
      </w:r>
    </w:p>
    <w:p>
      <w:pPr>
        <w:pStyle w:val="Heading2"/>
      </w:pPr>
      <w:r>
        <w:t>同组偏差与绝对偏差联合检测</w:t>
      </w:r>
    </w:p>
    <w:p>
      <w:r>
        <w:rPr>
          <w:b w:val="0"/>
        </w:rPr>
        <w:t>对同一健康参考组的测量xᵢ，可先减去工况模型f(SOC、I、T、模式)得到残差rᵢ。无可靠SOC时使用电流、温区、充放电方向和电压区间分层；不强行引入不可信的SOC精度。</w:t>
      </w:r>
    </w:p>
    <w:p>
      <w:pPr>
        <w:ind w:left="198"/>
      </w:pPr>
      <w:r>
        <w:rPr>
          <w:rFonts w:ascii="Cambria" w:hAnsi="Cambria"/>
          <w:sz w:val="21"/>
        </w:rPr>
        <w:t>m = median(rᵢ)     MAD = median(|rᵢ − m|)</w:t>
      </w:r>
    </w:p>
    <w:p>
      <w:pPr>
        <w:ind w:left="198"/>
      </w:pPr>
      <w:r>
        <w:rPr>
          <w:rFonts w:ascii="Cambria" w:hAnsi="Cambria"/>
          <w:sz w:val="21"/>
        </w:rPr>
        <w:t>s = max(1.4826 × MAD, s_floor)     zᵢ = (rᵢ − m) / s</w:t>
      </w:r>
    </w:p>
    <w:p>
      <w:pPr>
        <w:ind w:left="198"/>
      </w:pPr>
      <w:r>
        <w:rPr>
          <w:rFonts w:ascii="Cambria" w:hAnsi="Cambria"/>
          <w:sz w:val="21"/>
        </w:rPr>
        <w:t>candidateᵢ = (|zᵢ| &gt; z_on) AND (|rᵢ − m| &gt; δ_on)</w:t>
      </w:r>
    </w:p>
    <w:p>
      <w:r>
        <w:rPr>
          <w:b w:val="0"/>
        </w:rPr>
        <w:t>s_floor和δ_on依据测量误差、量化精度及正常残差确定，避免LFP平台区极小MAD放大噪声。组内比较对共同漂移不敏感，因此还需历史基线、独立总压或物理模型作为补充。</w:t>
      </w:r>
    </w:p>
    <w:p>
      <w:pPr>
        <w:pStyle w:val="Heading2"/>
      </w:pPr>
      <w:r>
        <w:t>用持续性控制偶发尖峰</w:t>
      </w:r>
    </w:p>
    <w:p>
      <w:r>
        <w:rPr>
          <w:b w:val="0"/>
        </w:rPr>
        <w:t>在过去W秒中，统计满足门限且数据有效的持续时长；达到D_on后创建事件。恢复使用更低的z_off及δ_off，并满足D_off。缺测期间不累计正常时间；长缺口使持续性判断失效，保留未解决事件并标记数据中断。</w:t>
      </w:r>
    </w:p>
    <w:p>
      <w:pPr>
        <w:pStyle w:val="Heading2"/>
      </w:pPr>
      <w:r>
        <w:t>对缓慢偏移使用双侧CUSUM</w:t>
      </w:r>
    </w:p>
    <w:p>
      <w:pPr>
        <w:ind w:left="198"/>
      </w:pPr>
      <w:r>
        <w:rPr>
          <w:rFonts w:ascii="Cambria" w:hAnsi="Cambria"/>
          <w:sz w:val="21"/>
        </w:rPr>
        <w:t>g⁺ₜ = max(0, g⁺ₜ₋₁ + eₜ − k)</w:t>
      </w:r>
    </w:p>
    <w:p>
      <w:pPr>
        <w:ind w:left="198"/>
      </w:pPr>
      <w:r>
        <w:rPr>
          <w:rFonts w:ascii="Cambria" w:hAnsi="Cambria"/>
          <w:sz w:val="21"/>
        </w:rPr>
        <w:t>g⁻ₜ = max(0, g⁻ₜ₋₁ − eₜ − k)</w:t>
      </w:r>
    </w:p>
    <w:p>
      <w:pPr>
        <w:ind w:left="198"/>
      </w:pPr>
      <w:r>
        <w:rPr>
          <w:rFonts w:ascii="Cambria" w:hAnsi="Cambria"/>
          <w:sz w:val="21"/>
        </w:rPr>
        <w:t>max(g⁺ₜ, g⁻ₜ) &gt; h  →  漂移候选事件</w:t>
      </w:r>
    </w:p>
    <w:p>
      <w:r>
        <w:rPr>
          <w:b w:val="0"/>
        </w:rPr>
        <w:t>eₜ为以固定健康基线标准化的残差；上述离散式适用于固定采样周期。非等间隔数据需按时间加权或先构建合格的等间隔窗口。k与h共同控制可检测偏移和告警速度，必须用保留集按事件数标定。</w:t>
      </w:r>
    </w:p>
    <w:p>
      <w:pPr>
        <w:pStyle w:val="Heading2"/>
      </w:pPr>
      <w:r>
        <w:t>阈值示例及解释</w:t>
      </w:r>
    </w:p>
    <w:p>
      <w:r>
        <w:rPr>
          <w:b w:val="0"/>
        </w:rPr>
        <w:t>可在影子运行中试验z_on＝6、z_off＝3、60秒窗口内有效超限持续30秒、恢复持续120秒。它们仅是调参起点；不同通道和故障需重新标定。异常进入观察状态后冻结该设备的自适应基线，防止把渐变故障学习成正常。</w:t>
      </w:r>
    </w:p>
    <w:p>
      <w:r>
        <w:br w:type="page"/>
      </w:r>
    </w:p>
    <w:p>
      <w:pPr>
        <w:pStyle w:val="Heading1"/>
      </w:pPr>
      <w:r>
        <w:t>7  等效电路与模型残差实现</w:t>
      </w:r>
    </w:p>
    <w:p>
      <w:pPr>
        <w:pStyle w:val="Heading2"/>
      </w:pPr>
      <w:r>
        <w:t>采用一阶RC模型建立可审计基线</w:t>
      </w:r>
    </w:p>
    <w:p>
      <w:r>
        <w:rPr>
          <w:b w:val="0"/>
        </w:rPr>
        <w:t>首版可采用一阶RC等效电路，状态为SOC和极化电压v_p。本文电流I放电为正，SOC取0至1，容量Q以Ah计，采样间隔Δt以秒计；温度及老化影响通过参数表进入模型。</w:t>
      </w:r>
    </w:p>
    <w:p>
      <w:pPr>
        <w:ind w:left="198"/>
      </w:pPr>
      <w:r>
        <w:rPr>
          <w:rFonts w:ascii="Cambria" w:hAnsi="Cambria"/>
          <w:sz w:val="21"/>
        </w:rPr>
        <w:t>SOCₖ₊₁ = SOCₖ − η(Iₖ) × Iₖ × Δt / (3600 × Q)</w:t>
      </w:r>
    </w:p>
    <w:p>
      <w:pPr>
        <w:ind w:left="198"/>
      </w:pPr>
      <w:r>
        <w:rPr>
          <w:rFonts w:ascii="Cambria" w:hAnsi="Cambria"/>
          <w:sz w:val="21"/>
        </w:rPr>
        <w:t>a = exp[−Δt / (R₁C₁)]</w:t>
      </w:r>
    </w:p>
    <w:p>
      <w:pPr>
        <w:ind w:left="198"/>
      </w:pPr>
      <w:r>
        <w:rPr>
          <w:rFonts w:ascii="Cambria" w:hAnsi="Cambria"/>
          <w:sz w:val="21"/>
        </w:rPr>
        <w:t>v_p,ₖ₊₁ = a × v_p,ₖ + R₁ × (1 − a) × Iₖ</w:t>
      </w:r>
    </w:p>
    <w:p>
      <w:pPr>
        <w:ind w:left="198"/>
      </w:pPr>
      <w:r>
        <w:rPr>
          <w:rFonts w:ascii="Cambria" w:hAnsi="Cambria"/>
          <w:sz w:val="21"/>
        </w:rPr>
        <w:t>V̂ₖ = OCV(SOCₖ,Tₖ) − R₀ × Iₖ − v_p,ₖ</w:t>
      </w:r>
    </w:p>
    <w:p>
      <w:r>
        <w:rPr>
          <w:b w:val="0"/>
        </w:rPr>
        <w:t>η按充放电方向及约定标定；LFP需考虑OCV滞回或充放电分支。预测残差r_V＝V_measured−V̂应在测量更新之前保存。EKF更新后贴近观测的拟合残差不宜作为唯一故障证据，否则滤波器可能吸收异常。</w:t>
      </w:r>
    </w:p>
    <w:p>
      <w:pPr>
        <w:pStyle w:val="Heading2"/>
      </w:pPr>
      <w:r>
        <w:t>参数辨识与更新门控</w:t>
      </w:r>
    </w:p>
    <w:p>
      <w:r>
        <w:rPr>
          <w:b w:val="0"/>
        </w:rPr>
        <w:t>离线通过可比温区和SOC范围的脉冲及松弛数据标定OCV、R₀、R₁、C₁和噪声。在线可用递推最小二乘跟踪参数，但仅在有充分电流变化、信号同步且无故障候选时更新；参数需约束为物理合理的正值，并检查拟合残差和收敛状态。</w:t>
      </w:r>
    </w:p>
    <w:p>
      <w:r>
        <w:rPr>
          <w:b w:val="0"/>
        </w:rPr>
        <w:t>长期恒流或静置时，参数可能缺少可辨识性。此时冻结参数并增大预测不确定性，不能让RLS自由漂移。噪声协方差不应仅为了减少告警而持续增大；估计器重置、模型切换和维护更换必须留痕。</w:t>
      </w:r>
    </w:p>
    <w:p>
      <w:pPr>
        <w:pStyle w:val="Heading2"/>
      </w:pPr>
      <w:r>
        <w:t>创新残差与故障隔离</w:t>
      </w:r>
    </w:p>
    <w:p>
      <w:pPr>
        <w:ind w:left="198"/>
      </w:pPr>
      <w:r>
        <w:rPr>
          <w:rFonts w:ascii="Cambria" w:hAnsi="Cambria"/>
          <w:sz w:val="21"/>
        </w:rPr>
        <w:t>νₖ = V_measured,ₖ − V̂_prior,ₖ     NISₖ = νₖ² / Sₖ</w:t>
      </w:r>
    </w:p>
    <w:p>
      <w:r>
        <w:rPr>
          <w:b w:val="0"/>
        </w:rPr>
        <w:t>Sₖ是先验创新方差。NIS可用于评估残差相对模型不确定性的大小，但现场残差未必独立高斯，不能直接套用卡方门限而不回放标定。对创新均值漂移运行CUSUM，并与同组偏差、独立电测量及温度残差联合判断。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异常模式</w:t>
            </w:r>
          </w:p>
        </w:tc>
        <w:tc>
          <w:tcPr>
            <w:tcW w:type="dxa" w:w="6236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优先核查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多单体同步同向残差</w:t>
            </w:r>
          </w:p>
        </w:tc>
        <w:tc>
          <w:tcPr>
            <w:tcW w:type="dxa" w:w="6236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电流偏置  公共参数失配  时间错位  共模工况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单体负载相关残差</w:t>
            </w:r>
          </w:p>
        </w:tc>
        <w:tc>
          <w:tcPr>
            <w:tcW w:type="dxa" w:w="6236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电芯或接点等效阻抗增加；检查实际测量路径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静置持续偏差</w:t>
            </w:r>
          </w:p>
        </w:tc>
        <w:tc>
          <w:tcPr>
            <w:tcW w:type="dxa" w:w="6236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初始SOC差异  电压偏置  自放电；检查可观测性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电热残差共同持续异常</w:t>
            </w:r>
          </w:p>
        </w:tc>
        <w:tc>
          <w:tcPr>
            <w:tcW w:type="dxa" w:w="6236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提高风险等级并触发独立复核；不凭模型单独确认机理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  采样故障与电芯异常隔离</w:t>
      </w:r>
    </w:p>
    <w:p>
      <w:pPr>
        <w:pStyle w:val="Heading2"/>
      </w:pPr>
      <w:r>
        <w:t>优先利用独立硬件证据</w:t>
      </w:r>
    </w:p>
    <w:p>
      <w:r>
        <w:rPr>
          <w:b w:val="0"/>
        </w:rPr>
        <w:t>AFE主动开线检测比单凭云端电压波形推测更直接。TI公开手册说明了开线检测以及栈顶电压与单体电压和的比较；ADI也提供开线诊断原理说明。应采集检测结果、测试有效位与周期，并在实际线束和滤波电路上验证。[12][13]</w:t>
      </w:r>
    </w:p>
    <w:p>
      <w:pPr>
        <w:ind w:left="198"/>
      </w:pPr>
      <w:r>
        <w:rPr>
          <w:rFonts w:ascii="Cambria" w:hAnsi="Cambria"/>
          <w:sz w:val="21"/>
        </w:rPr>
        <w:t>r_sum = V_stack_independent − ΣV_cell − V_known_path</w:t>
      </w:r>
    </w:p>
    <w:p>
      <w:r>
        <w:rPr>
          <w:b w:val="0"/>
        </w:rPr>
        <w:t>V_known_path按接线位置表示已知连接路径的有符号压降。只有独立采样、同步性和测量边界都明确时，r_sum才具有冗余价值。若“总压”只是软件求和，就不能用于交叉确认。误差门限需覆盖采样误差相关性、时差及路径压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2948"/>
        <w:gridCol w:w="2835"/>
        <w:gridCol w:w="2268"/>
      </w:tblGrid>
      <w:tr>
        <w:trPr>
          <w:tblHeader/>
          <w:cantSplit/>
        </w:trPr>
        <w:tc>
          <w:tcPr>
            <w:tcW w:type="dxa" w:w="1587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故障候选</w:t>
            </w:r>
          </w:p>
        </w:tc>
        <w:tc>
          <w:tcPr>
            <w:tcW w:type="dxa" w:w="294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诊断特征</w:t>
            </w:r>
          </w:p>
        </w:tc>
        <w:tc>
          <w:tcPr>
            <w:tcW w:type="dxa" w:w="2835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交叉确认</w:t>
            </w:r>
          </w:p>
        </w:tc>
        <w:tc>
          <w:tcPr>
            <w:tcW w:type="dxa" w:w="226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主要混淆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通道卡死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窗口内方差极小且同组明显变化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原始帧序号  AFE状态  负载是否变化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静置平台区真实稳定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电压偏置</w:t>
            </w:r>
          </w:p>
        </w:tc>
        <w:tc>
          <w:tcPr>
            <w:tcW w:type="dxa" w:w="294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相对偏差长期存在且变化形态近似正常</w:t>
            </w:r>
          </w:p>
        </w:tc>
        <w:tc>
          <w:tcPr>
            <w:tcW w:type="dxa" w:w="283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独立总压或便携仪表复测</w:t>
            </w:r>
          </w:p>
        </w:tc>
        <w:tc>
          <w:tcPr>
            <w:tcW w:type="dxa" w:w="226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SOC差异与真实自放电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采样线开路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跳变或相邻通道互补变化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AFE开线标志  线束检查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特征依赖采样拓扑，不能通用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温度探头故障</w:t>
            </w:r>
          </w:p>
        </w:tc>
        <w:tc>
          <w:tcPr>
            <w:tcW w:type="dxa" w:w="294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超量程  卡死  不合理瞬时阶跃</w:t>
            </w:r>
          </w:p>
        </w:tc>
        <w:tc>
          <w:tcPr>
            <w:tcW w:type="dxa" w:w="283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邻点  环境  制冷反馈  自检</w:t>
            </w:r>
          </w:p>
        </w:tc>
        <w:tc>
          <w:tcPr>
            <w:tcW w:type="dxa" w:w="226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真实局部热点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簇电流零漂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静置非零  多单体模型同向偏差</w:t>
            </w:r>
          </w:p>
        </w:tc>
        <w:tc>
          <w:tcPr>
            <w:tcW w:type="dxa" w:w="283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独立计量  接触器状态  已知辅助负载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静置仍有支路或辅机电流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数据错映射</w:t>
            </w:r>
          </w:p>
        </w:tc>
        <w:tc>
          <w:tcPr>
            <w:tcW w:type="dxa" w:w="294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更换后编号突变  轨迹与位置冲突</w:t>
            </w:r>
          </w:p>
        </w:tc>
        <w:tc>
          <w:tcPr>
            <w:tcW w:type="dxa" w:w="283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资产清单  测点校验  拓扑版本</w:t>
            </w:r>
          </w:p>
        </w:tc>
        <w:tc>
          <w:tcPr>
            <w:tcW w:type="dxa" w:w="226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真实故障点迁移</w:t>
            </w:r>
          </w:p>
        </w:tc>
      </w:tr>
    </w:tbl>
    <w:p>
      <w:pPr>
        <w:spacing w:after="0"/>
      </w:pPr>
    </w:p>
    <w:p>
      <w:pPr>
        <w:pStyle w:val="Heading2"/>
      </w:pPr>
      <w:r>
        <w:t>隔离策略</w:t>
      </w:r>
    </w:p>
    <w:p>
      <w:r>
        <w:rPr>
          <w:b w:val="0"/>
        </w:rPr>
        <w:t>优先生成测量链路事件，并对依赖该信号的物理诊断标注置信度下降；同时保留可能的电池风险。不能因怀疑传感器故障就自动屏蔽危险越限。多个残差均来自同一电压传感器时，应视为同源证据，不能简单相乘得到高置信度。</w:t>
      </w:r>
    </w:p>
    <w:p>
      <w:r>
        <w:rPr>
          <w:b w:val="0"/>
        </w:rPr>
        <w:t>输出应包含失效通道、影响算法、最近有效时间、交叉校验结果和复核步骤。仅凭低频监控数据无法区分的偏置与电芯异常，明确标为待独立测量确认。</w:t>
      </w:r>
    </w:p>
    <w:p>
      <w:r>
        <w:br w:type="page"/>
      </w:r>
    </w:p>
    <w:p>
      <w:pPr>
        <w:pStyle w:val="Heading1"/>
      </w:pPr>
      <w:r>
        <w:t>9  连接故障诊断与电阻趋势</w:t>
      </w:r>
    </w:p>
    <w:p>
      <w:pPr>
        <w:pStyle w:val="Heading2"/>
      </w:pPr>
      <w:r>
        <w:t>先核实测量回路是否包含接触电阻</w:t>
      </w:r>
    </w:p>
    <w:p>
      <w:r>
        <w:rPr>
          <w:b w:val="0"/>
        </w:rPr>
        <w:t>Kelvin采样直接跨接电芯极柱时，某些母排接点压降可能不在单体电压中。此时应增加接点两端压降、端子温度或独立分段电压测量。算法不能弥补未覆盖故障位置的测点设计。</w:t>
      </w:r>
    </w:p>
    <w:p>
      <w:r>
        <w:rPr>
          <w:b w:val="0"/>
        </w:rPr>
        <w:t>在短时间SOC与温度变化有限的窗口，定义dVᵢ＝Vᵢ−median(V_peer)。放电电流为正时，负载相关的差异可近似为下式；回归斜率仅代表当前测量路径内的等效电阻差。</w:t>
      </w:r>
    </w:p>
    <w:p>
      <w:pPr>
        <w:ind w:left="198"/>
      </w:pPr>
      <w:r>
        <w:rPr>
          <w:rFonts w:ascii="Cambria" w:hAnsi="Cambria"/>
          <w:sz w:val="21"/>
        </w:rPr>
        <w:t>dVᵢ ≈ aᵢ − I × ΔRᵢ     →     ΔRᵢ = −slope(dVᵢ, I)</w:t>
      </w:r>
    </w:p>
    <w:p>
      <w:pPr>
        <w:ind w:left="198"/>
      </w:pPr>
      <w:r>
        <w:rPr>
          <w:rFonts w:ascii="Cambria" w:hAnsi="Cambria"/>
          <w:sz w:val="21"/>
        </w:rPr>
        <w:t>阶跃估计  ΔR_app ≈ −Δ(dVᵢ) / ΔI</w:t>
      </w:r>
    </w:p>
    <w:p>
      <w:r>
        <w:rPr>
          <w:b w:val="0"/>
        </w:rPr>
        <w:t>阶跃估计必须固定响应延迟并同步采样。秒级数据包含极化和滤波延迟时，结果应称为“表观电阻指标”，不能宣称纯欧姆内阻。最小|ΔI|、窗口拟合质量、参数区间与置信区间都需要门控。</w:t>
      </w:r>
    </w:p>
    <w:p>
      <w:pPr>
        <w:pStyle w:val="Heading2"/>
      </w:pPr>
      <w:r>
        <w:t>分离电芯老化与连接异常</w:t>
      </w:r>
    </w:p>
    <w:p>
      <w:r>
        <w:rPr>
          <w:b w:val="0"/>
        </w:rPr>
        <w:t>连接异常更可能表现为负载相关的额外压降、间歇波动和端子热点；电芯内阻变化通常还与SOC、温度和老化相关。电阻熵研究提供了组合特征思路，但熵值对窗口和离散化敏感，不能单独作为根因证明。[7][8]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649"/>
        <w:gridCol w:w="3402"/>
      </w:tblGrid>
      <w:tr>
        <w:trPr>
          <w:tblHeader/>
          <w:cantSplit/>
        </w:trPr>
        <w:tc>
          <w:tcPr>
            <w:tcW w:type="dxa" w:w="1587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4649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建议实现</w:t>
            </w:r>
          </w:p>
        </w:tc>
        <w:tc>
          <w:tcPr>
            <w:tcW w:type="dxa" w:w="3402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确认价值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电气</w:t>
            </w:r>
          </w:p>
        </w:tc>
        <w:tc>
          <w:tcPr>
            <w:tcW w:type="dxa" w:w="464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同SOC温区比较回归斜率与历史变化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筛出等效电阻增大的路径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时序</w:t>
            </w:r>
          </w:p>
        </w:tc>
        <w:tc>
          <w:tcPr>
            <w:tcW w:type="dxa" w:w="4649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持续偏移与间歇波动分别评分</w:t>
            </w:r>
          </w:p>
        </w:tc>
        <w:tc>
          <w:tcPr>
            <w:tcW w:type="dxa" w:w="340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支持区分稳定老化和接触不稳定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热</w:t>
            </w:r>
          </w:p>
        </w:tc>
        <w:tc>
          <w:tcPr>
            <w:tcW w:type="dxa" w:w="464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接点温升相对同类接点与I²变化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增加局部发热证据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独立测量</w:t>
            </w:r>
          </w:p>
        </w:tc>
        <w:tc>
          <w:tcPr>
            <w:tcW w:type="dxa" w:w="4649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分段压降  停电后接触电阻及机械检查</w:t>
            </w:r>
          </w:p>
        </w:tc>
        <w:tc>
          <w:tcPr>
            <w:tcW w:type="dxa" w:w="340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用于确认接点位置与修复效果</w:t>
            </w:r>
          </w:p>
        </w:tc>
      </w:tr>
    </w:tbl>
    <w:p>
      <w:pPr>
        <w:spacing w:after="0"/>
      </w:pPr>
    </w:p>
    <w:p>
      <w:pPr>
        <w:pStyle w:val="Heading2"/>
      </w:pPr>
      <w:r>
        <w:t>数量级检查</w:t>
      </w:r>
    </w:p>
    <w:p>
      <w:r>
        <w:rPr>
          <w:b w:val="0"/>
        </w:rPr>
        <w:t>若额外接触电阻为0.2 mΩ，电流200 A，则压降约40 mV，发热功率I²R约8 W。这是欧姆定律演算，不是告警阈值。是否可检测取决于测量路径、噪声、热传感器位置及散热条件。</w:t>
      </w:r>
    </w:p>
    <w:p>
      <w:r>
        <w:rPr>
          <w:b w:val="0"/>
        </w:rPr>
        <w:t>确认工单包含候选连接点、负载依赖曲线、热证据与维护后复测要求。现场拆接与电阻复测应在批准的停电检修流程内执行。</w:t>
      </w:r>
    </w:p>
    <w:p>
      <w:r>
        <w:br w:type="page"/>
      </w:r>
    </w:p>
    <w:p>
      <w:pPr>
        <w:pStyle w:val="Heading1"/>
      </w:pPr>
      <w:r>
        <w:t>10  内短路与自放电风险识别</w:t>
      </w:r>
    </w:p>
    <w:p>
      <w:pPr>
        <w:pStyle w:val="Heading2"/>
      </w:pPr>
      <w:r>
        <w:t>把可观测性作为算法输出</w:t>
      </w:r>
    </w:p>
    <w:p>
      <w:r>
        <w:rPr>
          <w:b w:val="0"/>
        </w:rPr>
        <w:t>早期微弱内短路的端电压和表面温度响应可能低于传感器分辨率。LFP平台区OCV斜率小，电压偏置会显著影响SOC推断；并联健康电芯还可能掩盖局部异常。因此应输出自放电或内短路风险候选及可观测性状态，而不是单一确定诊断。[16]</w:t>
      </w:r>
    </w:p>
    <w:p>
      <w:pPr>
        <w:pStyle w:val="Heading2"/>
      </w:pPr>
      <w:r>
        <w:t>推荐三条互补诊断路径</w:t>
      </w:r>
    </w:p>
    <w:p>
      <w:r>
        <w:rPr>
          <w:b w:val="0"/>
        </w:rPr>
        <w:t>路径一是合格静置段的相对电压松弛和长期偏移：选择低电流、均衡关闭、温度稳定且松弛充分的窗口，在相近起始状态下与健康同组及自身历史比较。短静置窗口不足以把极化恢复与自放电分离。</w:t>
      </w:r>
    </w:p>
    <w:p>
      <w:r>
        <w:rPr>
          <w:b w:val="0"/>
        </w:rPr>
        <w:t>路径二是库仑平衡与SOC差异：仅在单体SOC估计可信或有可辨识电压区间锚点时，比较相对SOC损失。以Δt为秒、Q为Ah，补偿已知均衡和支路电流后，有：</w:t>
      </w:r>
    </w:p>
    <w:p>
      <w:pPr>
        <w:ind w:left="198"/>
      </w:pPr>
      <w:r>
        <w:rPr>
          <w:rFonts w:ascii="Cambria" w:hAnsi="Cambria"/>
          <w:sz w:val="21"/>
        </w:rPr>
        <w:t>I_leak,proxy ≈ −3600 × Q × Δ(SOCᵢ − SOC_ref) / Δt</w:t>
      </w:r>
    </w:p>
    <w:p>
      <w:r>
        <w:rPr>
          <w:b w:val="0"/>
        </w:rPr>
        <w:t>该式为漏电等效指标。容量不一致、SOC校准误差和电流偏置也会产生类似结果，不能直接当作真实内部短路电流。SOC平台区不满足可观测性时拒绝定量反演。</w:t>
      </w:r>
    </w:p>
    <w:p>
      <w:r>
        <w:rPr>
          <w:b w:val="0"/>
        </w:rPr>
        <w:t>路径三是正常模型预测残差：ECM或条件预测模型估计正常电压，将持续负残差与温度趋势、静置证据融合。KPCA的受控实验显示同组非线性监测有研究价值，但外接短路模拟不覆盖实际内部缺陷机理。[9]</w:t>
      </w:r>
    </w:p>
    <w:p>
      <w:pPr>
        <w:pStyle w:val="Heading2"/>
      </w:pPr>
      <w:r>
        <w:t>灵敏度必须符合物理数量级</w:t>
      </w:r>
    </w:p>
    <w:p>
      <w:r>
        <w:rPr>
          <w:b w:val="0"/>
        </w:rPr>
        <w:t>以3.2 V、280 Ah电芯、等效1 kΩ漏电支路为例，电流约3.2 mA，一天损失0.0768 Ah，即约0.0274%额定容量。该差异很容易低于现场SOC分辨能力；不能承诺仅靠秒级BMS在短时间内稳定识别所有微短路。此例仅用于量级分析。</w:t>
      </w:r>
    </w:p>
    <w:p>
      <w:pPr>
        <w:pStyle w:val="Heading2"/>
      </w:pPr>
      <w:r>
        <w:t>融合与复核</w:t>
      </w:r>
    </w:p>
    <w:p>
      <w:r>
        <w:rPr>
          <w:b w:val="0"/>
        </w:rPr>
        <w:t>持续自放电证据加独立热异常，可提高风险等级；仅有单次压差时输出异常观察。建议复核序列为采样链路、均衡及辅助支路、容量一致性、长静置趋势，最后结合检修实验确认。缺少独立依据时保留多个候选根因。</w:t>
      </w:r>
    </w:p>
    <w:p>
      <w:r>
        <w:br w:type="page"/>
      </w:r>
    </w:p>
    <w:p>
      <w:pPr>
        <w:pStyle w:val="Heading1"/>
      </w:pPr>
      <w:r>
        <w:t>11  热管理与热失控征兆诊断</w:t>
      </w:r>
    </w:p>
    <w:p>
      <w:pPr>
        <w:pStyle w:val="Heading2"/>
      </w:pPr>
      <w:r>
        <w:t>局部异常与公共冷却能力分开建模</w:t>
      </w:r>
    </w:p>
    <w:p>
      <w:r>
        <w:rPr>
          <w:b w:val="0"/>
        </w:rPr>
        <w:t>采用模组或冷却分区的集中参数热模型。冷却异常常影响一片区域，局部电芯异常可能只影响邻近少数探头。热模型诊断研究可用于残差构建；站级参数必须按实际冷板、风道和传感器布置辨识。[17]</w:t>
      </w:r>
    </w:p>
    <w:p>
      <w:pPr>
        <w:ind w:left="198"/>
      </w:pPr>
      <w:r>
        <w:rPr>
          <w:rFonts w:ascii="Cambria" w:hAnsi="Cambria"/>
          <w:sz w:val="21"/>
        </w:rPr>
        <w:t>C_th × dT/dt = Q_gen − K_cool × (T − T_cool)</w:t>
      </w:r>
    </w:p>
    <w:p>
      <w:pPr>
        <w:ind w:left="198"/>
      </w:pPr>
      <w:r>
        <w:rPr>
          <w:rFonts w:ascii="Cambria" w:hAnsi="Cambria"/>
          <w:sz w:val="21"/>
        </w:rPr>
        <w:t>Q_gen ≈ I² × R_loss     r_T = T_measured − T_predicted</w:t>
      </w:r>
    </w:p>
    <w:p>
      <w:r>
        <w:rPr>
          <w:b w:val="0"/>
        </w:rPr>
        <w:t>C_th单位J/K，K_cool单位W/K。I²R是简化产热近似；高精度场景需要补偿可逆热、极化及热惯性。冷却功率模型需考虑泵速、流量与环境；低负载时参数不可辨识，不更新冷却能力系数。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2665"/>
        <w:gridCol w:w="3458"/>
      </w:tblGrid>
      <w:tr>
        <w:trPr>
          <w:tblHeader/>
          <w:cantSplit/>
        </w:trPr>
        <w:tc>
          <w:tcPr>
            <w:tcW w:type="dxa" w:w="3515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异常组合</w:t>
            </w:r>
          </w:p>
        </w:tc>
        <w:tc>
          <w:tcPr>
            <w:tcW w:type="dxa" w:w="2665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优先根因候选</w:t>
            </w:r>
          </w:p>
        </w:tc>
        <w:tc>
          <w:tcPr>
            <w:tcW w:type="dxa" w:w="345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实现与确认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泵开启命令但转速或流量不足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泵故障  电源故障  管路问题</w:t>
            </w:r>
          </w:p>
        </w:tc>
        <w:tc>
          <w:tcPr>
            <w:tcW w:type="dxa" w:w="345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先查执行反馈，再查流量和压差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转速正常而流量下降或压差异常</w:t>
            </w:r>
          </w:p>
        </w:tc>
        <w:tc>
          <w:tcPr>
            <w:tcW w:type="dxa" w:w="266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堵塞  气堵  阀门状态错误</w:t>
            </w:r>
          </w:p>
        </w:tc>
        <w:tc>
          <w:tcPr>
            <w:tcW w:type="dxa" w:w="345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结合液路基线与维护检查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同区温度共同高于模型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制冷不足  环境异常  供液异常</w:t>
            </w:r>
          </w:p>
        </w:tc>
        <w:tc>
          <w:tcPr>
            <w:tcW w:type="dxa" w:w="345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比较供回液温度与整区残差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单点或少数相邻点持续升温</w:t>
            </w:r>
          </w:p>
        </w:tc>
        <w:tc>
          <w:tcPr>
            <w:tcW w:type="dxa" w:w="266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局部发热或温度测量异常</w:t>
            </w:r>
          </w:p>
        </w:tc>
        <w:tc>
          <w:tcPr>
            <w:tcW w:type="dxa" w:w="345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邻点一致性  电压残差  独立探测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湿度上升且绝缘下降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凝露或泄漏相关风险</w:t>
            </w:r>
          </w:p>
        </w:tc>
        <w:tc>
          <w:tcPr>
            <w:tcW w:type="dxa" w:w="345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结合露点 装置状态与现场检查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烟气或气体报警伴异常温升</w:t>
            </w:r>
          </w:p>
        </w:tc>
        <w:tc>
          <w:tcPr>
            <w:tcW w:type="dxa" w:w="266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严重热异常风险</w:t>
            </w:r>
          </w:p>
        </w:tc>
        <w:tc>
          <w:tcPr>
            <w:tcW w:type="dxa" w:w="345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保留原始探测事件并进入既定处置</w:t>
            </w:r>
          </w:p>
        </w:tc>
      </w:tr>
    </w:tbl>
    <w:p>
      <w:pPr>
        <w:spacing w:after="0"/>
      </w:pPr>
    </w:p>
    <w:p>
      <w:pPr>
        <w:pStyle w:val="Heading2"/>
      </w:pPr>
      <w:r>
        <w:t>温升斜率与告警策略</w:t>
      </w:r>
    </w:p>
    <w:p>
      <w:r>
        <w:rPr>
          <w:b w:val="0"/>
        </w:rPr>
        <w:t>温升斜率用固定时间窗口的稳健线性拟合，避免相邻差分放大噪声。报警同时考虑温度水平、斜率、持续性、空间一致性和冷却反馈。负载突增产生的正常热惯性不应直接解释为热故障。</w:t>
      </w:r>
    </w:p>
    <w:p>
      <w:r>
        <w:rPr>
          <w:b w:val="0"/>
        </w:rPr>
        <w:t>气体探测的种类、位置、风速、稀释和传感器响应决定提前量，应通过适用的实物测试验证。算法趋势预警不能替代独立消防与本地保护。UL 9540A是热失控火蔓延试验方法，并不是诊断算法准确率认证。[5]</w:t>
      </w:r>
    </w:p>
    <w:p>
      <w:r>
        <w:br w:type="page"/>
      </w:r>
    </w:p>
    <w:p>
      <w:pPr>
        <w:pStyle w:val="Heading1"/>
      </w:pPr>
      <w:r>
        <w:t>12  PCS与直流辅助设备诊断</w:t>
      </w:r>
    </w:p>
    <w:p>
      <w:pPr>
        <w:pStyle w:val="Heading2"/>
      </w:pPr>
      <w:r>
        <w:t>PCS按数据带宽分层诊断</w:t>
      </w:r>
    </w:p>
    <w:p>
      <w:r>
        <w:rPr>
          <w:b w:val="0"/>
        </w:rPr>
        <w:t>秒级EMS可判断功率跟踪、温度、效率趋势与故障码关联；功率器件短路、开路和电容纹波通常需要PCS内部高速电流电压、门极或保护记录。器件级判断宜由厂家控制器或专用采集完成，云端接收诊断结果与故障录波索引。</w:t>
      </w:r>
    </w:p>
    <w:p>
      <w:pPr>
        <w:ind w:left="198"/>
      </w:pPr>
      <w:r>
        <w:rPr>
          <w:rFonts w:ascii="Cambria" w:hAnsi="Cambria"/>
          <w:sz w:val="21"/>
        </w:rPr>
        <w:t>r_P = P_actual − P_effective_command</w:t>
      </w:r>
    </w:p>
    <w:p>
      <w:r>
        <w:rPr>
          <w:b w:val="0"/>
        </w:rPr>
        <w:t>P_effective_command应已经考虑BMS限流、SOC边界、温度降额、电网控制和PCS额定能力。直接比较上层计划指令容易把正常限幅误诊为设备故障。跟踪残差门限还应容纳爬坡速率和动态响应延迟。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515"/>
        <w:gridCol w:w="4422"/>
      </w:tblGrid>
      <w:tr>
        <w:trPr>
          <w:tblHeader/>
          <w:cantSplit/>
        </w:trPr>
        <w:tc>
          <w:tcPr>
            <w:tcW w:type="dxa" w:w="1701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3515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建议算法</w:t>
            </w:r>
          </w:p>
        </w:tc>
        <w:tc>
          <w:tcPr>
            <w:tcW w:type="dxa" w:w="4422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数据与适用边界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PCS功率与效率</w:t>
            </w:r>
          </w:p>
        </w:tc>
        <w:tc>
          <w:tcPr>
            <w:tcW w:type="dxa" w:w="351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有效指令残差  同负载温区效率基线</w:t>
            </w:r>
          </w:p>
        </w:tc>
        <w:tc>
          <w:tcPr>
            <w:tcW w:type="dxa" w:w="442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避开低负载效率比值发散；统一充放电符号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PCS散热</w:t>
            </w:r>
          </w:p>
        </w:tc>
        <w:tc>
          <w:tcPr>
            <w:tcW w:type="dxa" w:w="351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散热器热残差  风机命令反馈</w:t>
            </w:r>
          </w:p>
        </w:tc>
        <w:tc>
          <w:tcPr>
            <w:tcW w:type="dxa" w:w="442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区分环境升温 散热器堵塞与负载变化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器件健康</w:t>
            </w:r>
          </w:p>
        </w:tc>
        <w:tc>
          <w:tcPr>
            <w:tcW w:type="dxa" w:w="351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结温估计  雨流计数  损伤累积</w:t>
            </w:r>
          </w:p>
        </w:tc>
        <w:tc>
          <w:tcPr>
            <w:tcW w:type="dxa" w:w="442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需器件参数和任务剖面；只作维护指标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直流电容</w:t>
            </w:r>
          </w:p>
        </w:tc>
        <w:tc>
          <w:tcPr>
            <w:tcW w:type="dxa" w:w="351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纹波与ESR或容值估计</w:t>
            </w:r>
          </w:p>
        </w:tc>
        <w:tc>
          <w:tcPr>
            <w:tcW w:type="dxa" w:w="442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需要内部高速测量；秒级数据仅作趋势筛查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绝缘</w:t>
            </w:r>
          </w:p>
        </w:tc>
        <w:tc>
          <w:tcPr>
            <w:tcW w:type="dxa" w:w="351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IMD有效性  下限  下降趋势  工况关联</w:t>
            </w:r>
          </w:p>
        </w:tc>
        <w:tc>
          <w:tcPr>
            <w:tcW w:type="dxa" w:w="442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按接地方式选型；系统漏电容影响响应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接触器与预充</w:t>
            </w:r>
          </w:p>
        </w:tc>
        <w:tc>
          <w:tcPr>
            <w:tcW w:type="dxa" w:w="351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命令反馈时序  两侧压差  预充曲线</w:t>
            </w:r>
          </w:p>
        </w:tc>
        <w:tc>
          <w:tcPr>
            <w:tcW w:type="dxa" w:w="442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辅助接点不是主触点状态的唯一证据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通信与控制</w:t>
            </w:r>
          </w:p>
        </w:tc>
        <w:tc>
          <w:tcPr>
            <w:tcW w:type="dxa" w:w="351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心跳超时  序列缺口  状态一致性</w:t>
            </w:r>
          </w:p>
        </w:tc>
        <w:tc>
          <w:tcPr>
            <w:tcW w:type="dxa" w:w="442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防止旧值保持造成假正常</w:t>
            </w:r>
          </w:p>
        </w:tc>
      </w:tr>
    </w:tbl>
    <w:p>
      <w:pPr>
        <w:spacing w:after="0"/>
      </w:pPr>
    </w:p>
    <w:p>
      <w:pPr>
        <w:pStyle w:val="Heading2"/>
      </w:pPr>
      <w:r>
        <w:t>器件寿命与绝缘诊断的边界</w:t>
      </w:r>
    </w:p>
    <w:p>
      <w:r>
        <w:rPr>
          <w:b w:val="0"/>
        </w:rPr>
        <w:t>Infineon的功率循环资料支持依据温度应力评估器件寿命消耗；参数不匹配或结温估计误差会改变结果，因此不宜对单个PCS承诺精确剩余寿命。[15]</w:t>
      </w:r>
    </w:p>
    <w:p>
      <w:r>
        <w:rPr>
          <w:b w:val="0"/>
        </w:rPr>
        <w:t>绝缘诊断优先接入独立监测装置。Bender资料给出了适用于不接地IT系统的监测能力；接地型式不同，应匹配监测方案。多个注入式装置的协调、IMD自检和采样有效位属于集成验证内容。[14]</w:t>
      </w:r>
    </w:p>
    <w:p>
      <w:r>
        <w:br w:type="page"/>
      </w:r>
    </w:p>
    <w:p>
      <w:pPr>
        <w:pStyle w:val="Heading1"/>
      </w:pPr>
      <w:r>
        <w:t>13  SOC与容量异常的诊断边界</w:t>
      </w:r>
    </w:p>
    <w:p>
      <w:pPr>
        <w:pStyle w:val="Heading2"/>
      </w:pPr>
      <w:r>
        <w:t>状态估计偏差不等于电芯失效</w:t>
      </w:r>
    </w:p>
    <w:p>
      <w:r>
        <w:rPr>
          <w:b w:val="0"/>
        </w:rPr>
        <w:t>SOC跳变、簇间SOC差和SOH偏低，既可能是电芯变化，也可能来自电流偏置、参数不匹配、容量标定、均衡、固件更新或估计器重置。诊断平台应保存这些估计量的算法版本和校准事件，避免跨版本直接比较。</w:t>
      </w:r>
    </w:p>
    <w:p>
      <w:pPr>
        <w:pStyle w:val="Heading2"/>
      </w:pPr>
      <w:r>
        <w:t>容量趋势采用条件一致的有效窗口</w:t>
      </w:r>
    </w:p>
    <w:p>
      <w:pPr>
        <w:ind w:left="198"/>
      </w:pPr>
      <w:r>
        <w:rPr>
          <w:rFonts w:ascii="Cambria" w:hAnsi="Cambria"/>
          <w:sz w:val="21"/>
        </w:rPr>
        <w:t>Q_window = |∫ I dt| / (3600 × |ΔSOC|)</w:t>
      </w:r>
    </w:p>
    <w:p>
      <w:r>
        <w:rPr>
          <w:b w:val="0"/>
        </w:rPr>
        <w:t>只有SOC端点具有独立可信锚点、计量准确且窗口可比时，Q_window才可作为容量估计。若SOC本身通过同一个容量参数积分得到，用上述式子计算容量会形成循环论证。优先使用厂家批准的容量测试或可辨识电压区间校准。</w:t>
      </w:r>
    </w:p>
    <w:p>
      <w:r>
        <w:rPr>
          <w:b w:val="0"/>
        </w:rPr>
        <w:t>增量容量dQ/dV与微分电压dV/dQ适合有足够连续充电区间、低噪声和可比温度倍率的场景。部分充电、强动态调度和LFP平台噪声会影响峰位与峰形；首期作为离线分析功能，避免直接用于秒级保护。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175"/>
        <w:gridCol w:w="4025"/>
      </w:tblGrid>
      <w:tr>
        <w:trPr>
          <w:tblHeader/>
          <w:cantSplit/>
        </w:trPr>
        <w:tc>
          <w:tcPr>
            <w:tcW w:type="dxa" w:w="243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3175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需要区分</w:t>
            </w:r>
          </w:p>
        </w:tc>
        <w:tc>
          <w:tcPr>
            <w:tcW w:type="dxa" w:w="4025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建议证据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多簇SOC长期偏离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容量差异或估计偏置</w:t>
            </w:r>
          </w:p>
        </w:tc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有效安时积分  端点校准  固件记录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单体提前触及电压边界</w:t>
            </w:r>
          </w:p>
        </w:tc>
        <w:tc>
          <w:tcPr>
            <w:tcW w:type="dxa" w:w="317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低容量  高阻抗  SOC不均衡</w:t>
            </w:r>
          </w:p>
        </w:tc>
        <w:tc>
          <w:tcPr>
            <w:tcW w:type="dxa" w:w="402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充放电方向对比  固定SOC温区回归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均衡长期作用于固定单体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真实一致性问题或采样偏置</w:t>
            </w:r>
          </w:p>
        </w:tc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均衡电流与时长  独立电压复测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SOH突变</w:t>
            </w:r>
          </w:p>
        </w:tc>
        <w:tc>
          <w:tcPr>
            <w:tcW w:type="dxa" w:w="317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电池更换或算法参数切换</w:t>
            </w:r>
          </w:p>
        </w:tc>
        <w:tc>
          <w:tcPr>
            <w:tcW w:type="dxa" w:w="402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维护记录  容量试验  参数版本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并联簇电流不均</w:t>
            </w:r>
          </w:p>
        </w:tc>
        <w:tc>
          <w:tcPr>
            <w:tcW w:type="dxa" w:w="317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连接阻抗  SOC差异  控制分配</w:t>
            </w:r>
          </w:p>
        </w:tc>
        <w:tc>
          <w:tcPr>
            <w:tcW w:type="dxa" w:w="402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各支路电流与总电流守恒</w:t>
            </w:r>
          </w:p>
        </w:tc>
      </w:tr>
    </w:tbl>
    <w:p>
      <w:pPr>
        <w:spacing w:after="0"/>
      </w:pPr>
    </w:p>
    <w:p>
      <w:pPr>
        <w:pStyle w:val="Heading2"/>
      </w:pPr>
      <w:r>
        <w:t>验收口径</w:t>
      </w:r>
    </w:p>
    <w:p>
      <w:r>
        <w:rPr>
          <w:b w:val="0"/>
        </w:rPr>
        <w:t>容量算法单独报告适用窗口覆盖率、容量误差、温区和倍率范围；安全风险诊断单独报告事件召回、误报和延迟。不能用SOC估计误差小来替代故障诊断有效性的证明，也不能把容量低于某比例自动解释为即将热失控。</w:t>
      </w:r>
    </w:p>
    <w:p>
      <w:r>
        <w:br w:type="page"/>
      </w:r>
    </w:p>
    <w:p>
      <w:pPr>
        <w:pStyle w:val="Heading1"/>
      </w:pPr>
      <w:r>
        <w:t>14  机器学习增强层的实施方法</w:t>
      </w:r>
    </w:p>
    <w:p>
      <w:pPr>
        <w:pStyle w:val="Heading2"/>
      </w:pPr>
      <w:r>
        <w:t>先建立可解释的特征基线</w:t>
      </w:r>
    </w:p>
    <w:p>
      <w:r>
        <w:rPr>
          <w:b w:val="0"/>
        </w:rPr>
        <w:t>优先使用同组电压残差、温差残差、回归电阻、CUSUM、静置漂移、冷却反馈、数据有效率及工况覆盖率。Isolation Forest或PCA用于风险排序；有确认标签后，以梯度提升树建立故障分类基线，再比较时序网络的实际增益。</w:t>
      </w:r>
    </w:p>
    <w:p>
      <w:pPr>
        <w:pStyle w:val="Heading2"/>
      </w:pPr>
      <w:r>
        <w:t>采用输入到响应的条件预测</w:t>
      </w:r>
    </w:p>
    <w:p>
      <w:r>
        <w:rPr>
          <w:b w:val="0"/>
        </w:rPr>
        <w:t>将电流、温度条件、运行模式作为输入，预测电压或热响应，再对预测残差做统计检验。DyAD和MCNN代表了动力学或模型约束与数据驱动结合的思路。这里借鉴建模结构，不沿用原论文的车辆风险阈值。[10][11]</w:t>
      </w:r>
    </w:p>
    <w:p>
      <w:r>
        <w:rPr>
          <w:b w:val="0"/>
        </w:rPr>
        <w:t>在线窗口只包含当前和过去数据。BiLSTM用于固定历史窗口分类时可实现，但若离线样本包含决策时刻之后的数据，将产生未来信息泄漏；应明确窗口末端就是决策时刻。优先采用因果TCN、单向LSTM或可解释预测器。</w:t>
      </w:r>
    </w:p>
    <w:p>
      <w:pPr>
        <w:pStyle w:val="Heading2"/>
      </w:pPr>
      <w:r>
        <w:t>数据划分与标签管理</w:t>
      </w:r>
    </w:p>
    <w:p>
      <w:r>
        <w:rPr>
          <w:b w:val="0"/>
        </w:rPr>
        <w:t>按站点或设备分组，并按时间切分训练、标定与测试集；同一故障前后片段和相邻高度重叠窗口不得分散到多个集合。清洗参数、归一化和阈值只能在训练或标定阶段确定。最终测试集不参与调参。</w:t>
      </w:r>
    </w:p>
    <w:p>
      <w:r>
        <w:rPr>
          <w:b w:val="0"/>
        </w:rPr>
        <w:t>标签分为确认故障、健康观察期、未确认异常和维护干预。只用确认标签评估根因分类；未标记数据不自动等于健康。按事件而非帧数计算样本量。维护更换后的恢复轨迹可用于证据补强，但不能泄漏到事前预测特征。</w:t>
      </w:r>
    </w:p>
    <w:p>
      <w:pPr>
        <w:pStyle w:val="Heading2"/>
      </w:pPr>
      <w:r>
        <w:t>上线约束与退化路径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7767"/>
      </w:tblGrid>
      <w:tr>
        <w:trPr>
          <w:tblHeader/>
          <w:cantSplit/>
        </w:trPr>
        <w:tc>
          <w:tcPr>
            <w:tcW w:type="dxa" w:w="1871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控制项</w:t>
            </w:r>
          </w:p>
        </w:tc>
        <w:tc>
          <w:tcPr>
            <w:tcW w:type="dxa" w:w="7767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实施要求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分布外检测</w:t>
            </w:r>
          </w:p>
        </w:tc>
        <w:tc>
          <w:tcPr>
            <w:tcW w:type="dxa" w:w="776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记录温度 倍率 SOC  设备型号覆盖；超范围时输出拒判或降级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分数与概率</w:t>
            </w:r>
          </w:p>
        </w:tc>
        <w:tc>
          <w:tcPr>
            <w:tcW w:type="dxa" w:w="776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异常分数不是故障概率；分类概率需独立校准及可靠性检查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解释与审计</w:t>
            </w:r>
          </w:p>
        </w:tc>
        <w:tc>
          <w:tcPr>
            <w:tcW w:type="dxa" w:w="776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输出主要特征  参考基线  阈值  模型版本  原始窗口索引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模型漂移</w:t>
            </w:r>
          </w:p>
        </w:tc>
        <w:tc>
          <w:tcPr>
            <w:tcW w:type="dxa" w:w="7767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按站和工况检查残差分布及误报；经确认后再更新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发布与回滚</w:t>
            </w:r>
          </w:p>
        </w:tc>
        <w:tc>
          <w:tcPr>
            <w:tcW w:type="dxa" w:w="7767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版本签名  输入契约校验  影子运行  小范围发布  一键回退</w:t>
            </w:r>
          </w:p>
        </w:tc>
      </w:tr>
    </w:tbl>
    <w:p>
      <w:pPr>
        <w:spacing w:after="0"/>
      </w:pPr>
    </w:p>
    <w:p>
      <w:r>
        <w:rPr>
          <w:b w:val="0"/>
        </w:rPr>
        <w:t>大语言模型可用于检索设备手册和组织工单证据；故障评分和控制权限应由经过验证的确定性程序管理。文本解释必须关联真实事件，不能生成不存在的传感器证据。</w:t>
      </w:r>
    </w:p>
    <w:p>
      <w:r>
        <w:br w:type="page"/>
      </w:r>
    </w:p>
    <w:p>
      <w:pPr>
        <w:pStyle w:val="Heading1"/>
      </w:pPr>
      <w:r>
        <w:t>15  边缘与云端部署架构</w:t>
      </w:r>
    </w:p>
    <w:p>
      <w:r>
        <w:rPr>
          <w:b w:val="0"/>
        </w:rPr>
        <w:t>建议以站端闭环可用性为基础，云端负责跨周期和跨站分析。下面是逻辑数据流，保护回路独立于诊断计算及广域网。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592"/>
        <w:gridCol w:w="3118"/>
      </w:tblGrid>
      <w:tr>
        <w:trPr>
          <w:tblHeader/>
          <w:cantSplit/>
        </w:trPr>
        <w:tc>
          <w:tcPr>
            <w:tcW w:type="dxa" w:w="192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4592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主要职责</w:t>
            </w:r>
          </w:p>
        </w:tc>
        <w:tc>
          <w:tcPr>
            <w:tcW w:type="dxa" w:w="311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输出或接口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本地保护与控制</w:t>
            </w:r>
          </w:p>
        </w:tc>
        <w:tc>
          <w:tcPr>
            <w:tcW w:type="dxa" w:w="459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BMS与PCS保护  消防联动  接触器及硬件保护</w:t>
            </w:r>
          </w:p>
        </w:tc>
        <w:tc>
          <w:tcPr>
            <w:tcW w:type="dxa" w:w="311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状态与事件镜像；动作按批准的保护逻辑执行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站端采集</w:t>
            </w:r>
          </w:p>
        </w:tc>
        <w:tc>
          <w:tcPr>
            <w:tcW w:type="dxa" w:w="459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协议解码  时间同步  拓扑映射  原始缓存</w:t>
            </w:r>
          </w:p>
        </w:tc>
        <w:tc>
          <w:tcPr>
            <w:tcW w:type="dxa" w:w="311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带质量码的统一记录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站端诊断</w:t>
            </w:r>
          </w:p>
        </w:tc>
        <w:tc>
          <w:tcPr>
            <w:tcW w:type="dxa" w:w="459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质量门控 → 工况识别 → 特征与残差 → 状态机</w:t>
            </w:r>
          </w:p>
        </w:tc>
        <w:tc>
          <w:tcPr>
            <w:tcW w:type="dxa" w:w="311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诊断事件  数据质量事件  证据窗口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云端分析</w:t>
            </w:r>
          </w:p>
        </w:tc>
        <w:tc>
          <w:tcPr>
            <w:tcW w:type="dxa" w:w="459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分钟聚合  日趋势  站群比较  模型训练与回放</w:t>
            </w:r>
          </w:p>
        </w:tc>
        <w:tc>
          <w:tcPr>
            <w:tcW w:type="dxa" w:w="311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风险排序  维护建议  版本化参数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运维闭环</w:t>
            </w:r>
          </w:p>
        </w:tc>
        <w:tc>
          <w:tcPr>
            <w:tcW w:type="dxa" w:w="459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事件确认 → 工单 → 检修结论 → 恢复验证</w:t>
            </w:r>
          </w:p>
        </w:tc>
        <w:tc>
          <w:tcPr>
            <w:tcW w:type="dxa" w:w="311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确认标签与案例库；反馈至标定过程</w:t>
            </w:r>
          </w:p>
        </w:tc>
      </w:tr>
    </w:tbl>
    <w:p>
      <w:pPr>
        <w:spacing w:after="0"/>
      </w:pPr>
    </w:p>
    <w:p>
      <w:pPr>
        <w:pStyle w:val="Heading2"/>
      </w:pPr>
      <w:r>
        <w:t>数据通道与运行可靠性</w:t>
      </w:r>
    </w:p>
    <w:p>
      <w:r>
        <w:rPr>
          <w:b w:val="0"/>
        </w:rPr>
        <w:t>站端采集可适配Modbus、CAN或既有站控接口，并按资产ID分区处理。消息队列与流计算平台由规模和既有运维能力决定；关键设计是事件时间、迟到数据、重放、幂等、状态恢复和可观测性，不依赖某一个框架名称。</w:t>
      </w:r>
    </w:p>
    <w:p>
      <w:r>
        <w:rPr>
          <w:b w:val="0"/>
        </w:rPr>
        <w:t>事件幂等键可使用站ID、资产ID、故障族、首次触发时刻和算法版本。保留原始窗口、特征快照与状态转换日志。断网时本地继续诊断并缓存，恢复后限速补传；旧事件补传不能重新计为当前故障或重复下发工单。</w:t>
      </w:r>
    </w:p>
    <w:p>
      <w:pPr>
        <w:pStyle w:val="Heading2"/>
      </w:pPr>
      <w:r>
        <w:t>容量估算示例</w:t>
      </w:r>
    </w:p>
    <w:p>
      <w:r>
        <w:rPr>
          <w:b w:val="0"/>
        </w:rPr>
        <w:t>若单站有10,000个数值通道，每通道每秒4字节，仅数值载荷为40 kB/s，约3.456 GB/天，30天约103.7 GB。实际存储还包含时间戳、质量码、索引、副本和事件附件，需用真实编码压测，不能只按载荷购置资源。</w:t>
      </w:r>
    </w:p>
    <w:p>
      <w:r>
        <w:rPr>
          <w:b w:val="0"/>
        </w:rPr>
        <w:t>建议首站从4至8核CPU、16至32 GB内存与工业SSD进行压测选型；此为估算起点。MAD、规则与轻量模型的单帧运算应显著小于采样间隔。长历史窗使用增量统计或环形缓存，避免每秒重扫全量历史。</w:t>
      </w:r>
    </w:p>
    <w:p>
      <w:r>
        <w:rPr>
          <w:b w:val="0"/>
        </w:rPr>
        <w:t>控制网和分析网之间采用最小权限接口；模型和阈值变更留痕。诊断服务异常应显式上报自身不可用，保护和原有控制不依赖其存活。</w:t>
      </w:r>
    </w:p>
    <w:p>
      <w:r>
        <w:br w:type="page"/>
      </w:r>
    </w:p>
    <w:p>
      <w:pPr>
        <w:pStyle w:val="Heading1"/>
      </w:pPr>
      <w:r>
        <w:t>16  告警融合与运维闭环</w:t>
      </w:r>
    </w:p>
    <w:p>
      <w:pPr>
        <w:pStyle w:val="Heading2"/>
      </w:pPr>
      <w:r>
        <w:t>将业务等级与设备故障码分离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4139"/>
        <w:gridCol w:w="3855"/>
      </w:tblGrid>
      <w:tr>
        <w:trPr>
          <w:tblHeader/>
          <w:cantSplit/>
        </w:trPr>
        <w:tc>
          <w:tcPr>
            <w:tcW w:type="dxa" w:w="1644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诊断等级</w:t>
            </w:r>
          </w:p>
        </w:tc>
        <w:tc>
          <w:tcPr>
            <w:tcW w:type="dxa" w:w="4139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触发条件示意</w:t>
            </w:r>
          </w:p>
        </w:tc>
        <w:tc>
          <w:tcPr>
            <w:tcW w:type="dxa" w:w="3855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建议动作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观察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单一弱证据或低可观测性异常</w:t>
            </w:r>
          </w:p>
        </w:tc>
        <w:tc>
          <w:tcPr>
            <w:tcW w:type="dxa" w:w="385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留存窗口  加密分析  纳入趋势清单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预警</w:t>
            </w:r>
          </w:p>
        </w:tc>
        <w:tc>
          <w:tcPr>
            <w:tcW w:type="dxa" w:w="4139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持续异常且排除主要数据与工况干扰</w:t>
            </w:r>
          </w:p>
        </w:tc>
        <w:tc>
          <w:tcPr>
            <w:tcW w:type="dxa" w:w="385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生成工单  独立复核  跟踪发展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严重风险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独立证据相互支持或触及批准的风险规则</w:t>
            </w:r>
          </w:p>
        </w:tc>
        <w:tc>
          <w:tcPr>
            <w:tcW w:type="dxa" w:w="385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通知值守并按站内规程采取响应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保护或消防事件</w:t>
            </w:r>
          </w:p>
        </w:tc>
        <w:tc>
          <w:tcPr>
            <w:tcW w:type="dxa" w:w="4139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本地保护或认证探测系统已触发</w:t>
            </w:r>
          </w:p>
        </w:tc>
        <w:tc>
          <w:tcPr>
            <w:tcW w:type="dxa" w:w="385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记录原始事件；执行既定本地逻辑</w:t>
            </w:r>
          </w:p>
        </w:tc>
      </w:tr>
    </w:tbl>
    <w:p>
      <w:pPr>
        <w:spacing w:after="0"/>
      </w:pPr>
    </w:p>
    <w:p>
      <w:r>
        <w:rPr>
          <w:b w:val="0"/>
        </w:rPr>
        <w:t>诊断等级不自动对应控制权限。试点期采用只读影子运行和人工处理；若后续联动限功率或停机，需单独完成控制接口、联锁、响应时间及失效模式验证，形成批准的动作矩阵。</w:t>
      </w:r>
    </w:p>
    <w:p>
      <w:pPr>
        <w:pStyle w:val="Heading2"/>
      </w:pPr>
      <w:r>
        <w:t>事件状态机</w:t>
      </w:r>
    </w:p>
    <w:p>
      <w:pPr>
        <w:ind w:left="198"/>
      </w:pPr>
      <w:r>
        <w:rPr>
          <w:rFonts w:ascii="Cambria" w:hAnsi="Cambria"/>
          <w:sz w:val="21"/>
        </w:rPr>
        <w:t>NORMAL → SUSPECT → WARNING → CONFIRMED / UNRESOLVED → RECOVERING → CLOSED</w:t>
      </w:r>
    </w:p>
    <w:p>
      <w:r>
        <w:rPr>
          <w:b w:val="0"/>
        </w:rPr>
        <w:t>数据无效作为并行状态处理，不能直接把WARNING变回NORMAL。关联相同资产和故障族的重复触发；公共冷却或通信事件可聚合关联子事件，同时保留各资产原始证据。关闭事件需要恢复条件或运维结论。</w:t>
      </w:r>
    </w:p>
    <w:p>
      <w:pPr>
        <w:pStyle w:val="Heading2"/>
      </w:pPr>
      <w:r>
        <w:t>可实现的在线处理逻辑</w:t>
      </w:r>
    </w:p>
    <w:p>
      <w:r>
        <w:rPr>
          <w:b w:val="0"/>
        </w:rPr>
        <w:t>每帧：验证来源、时间、拓扑与质量；记录本地保护事件。</w:t>
      </w:r>
    </w:p>
    <w:p>
      <w:r>
        <w:rPr>
          <w:b w:val="0"/>
        </w:rPr>
        <w:t>若关键输入无效：标记受影响算法未评估；保留未解决告警。</w:t>
      </w:r>
    </w:p>
    <w:p>
      <w:r>
        <w:rPr>
          <w:b w:val="0"/>
        </w:rPr>
        <w:t>否则：识别工况；对每个具备可观测性的算法计算特征与残差。</w:t>
      </w:r>
    </w:p>
    <w:p>
      <w:r>
        <w:rPr>
          <w:b w:val="0"/>
        </w:rPr>
        <w:t>先检查候选异常，再决定是否更新健康基线；候选异常期冻结更新。</w:t>
      </w:r>
    </w:p>
    <w:p>
      <w:r>
        <w:rPr>
          <w:b w:val="0"/>
        </w:rPr>
        <w:t>按有效持续时间、滞回与证据独立性更新状态机。</w:t>
      </w:r>
    </w:p>
    <w:p>
      <w:r>
        <w:rPr>
          <w:b w:val="0"/>
        </w:rPr>
        <w:t>事件变化时保存证据窗口、版本、门控原因，并幂等写入事件库。</w:t>
      </w:r>
    </w:p>
    <w:p>
      <w:pPr>
        <w:pStyle w:val="Heading2"/>
      </w:pPr>
      <w:r>
        <w:t>最小事件字段</w:t>
      </w:r>
    </w:p>
    <w:p>
      <w:r>
        <w:rPr>
          <w:b w:val="0"/>
        </w:rPr>
        <w:t>event_id、asset_id、fault_family、candidate_causes、severity、first_seen、last_seen、data_quality、observability、evidence_refs、threshold_version、model_version、recommended_check、owner、closure_reason。若分数未做概率校准，应标为risk_score。</w:t>
      </w:r>
    </w:p>
    <w:p>
      <w:r>
        <w:rPr>
          <w:b w:val="0"/>
        </w:rPr>
        <w:t>复核结果至少区分真故障、正常工况、采样故障、误报和证据不足。未确认工单不直接用于监督训练，避免把模型自己的告警反复当作真实标签。</w:t>
      </w:r>
    </w:p>
    <w:p>
      <w:r>
        <w:br w:type="page"/>
      </w:r>
    </w:p>
    <w:p>
      <w:pPr>
        <w:pStyle w:val="Heading1"/>
      </w:pPr>
      <w:r>
        <w:t>17  验证方法与验收指标</w:t>
      </w:r>
    </w:p>
    <w:p>
      <w:pPr>
        <w:pStyle w:val="Heading2"/>
      </w:pPr>
      <w:r>
        <w:t>按事件和暴露量评价</w:t>
      </w:r>
    </w:p>
    <w:p>
      <w:pPr>
        <w:ind w:left="198"/>
      </w:pPr>
      <w:r>
        <w:rPr>
          <w:rFonts w:ascii="Cambria" w:hAnsi="Cambria"/>
          <w:sz w:val="21"/>
        </w:rPr>
        <w:t>事件召回率 = 检出且匹配的真实故障事件数 / 可评估真实故障事件数</w:t>
      </w:r>
    </w:p>
    <w:p>
      <w:pPr>
        <w:ind w:left="198"/>
      </w:pPr>
      <w:r>
        <w:rPr>
          <w:rFonts w:ascii="Cambria" w:hAnsi="Cambria"/>
          <w:sz w:val="21"/>
        </w:rPr>
        <w:t>事件精确率 = 确认为真实故障的告警事件数 / 已完成复核的告警事件数</w:t>
      </w:r>
    </w:p>
    <w:p>
      <w:pPr>
        <w:ind w:left="198"/>
      </w:pPr>
      <w:r>
        <w:rPr>
          <w:rFonts w:ascii="Cambria" w:hAnsi="Cambria"/>
          <w:sz w:val="21"/>
        </w:rPr>
        <w:t>误报事件率 = 误报告警事件数 / 有效监测簇天</w:t>
      </w:r>
    </w:p>
    <w:p>
      <w:r>
        <w:rPr>
          <w:b w:val="0"/>
        </w:rPr>
        <w:t>同时公布总故障数、不可评估故障数、未复核告警数和数据覆盖率，防止拒判或大量未结工单掩盖低召回。预先定义事件合并间隔、匹配资产层级、允许预警时间窗和重复告警计数方式。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948"/>
        <w:gridCol w:w="4422"/>
      </w:tblGrid>
      <w:tr>
        <w:trPr>
          <w:tblHeader/>
          <w:cantSplit/>
        </w:trPr>
        <w:tc>
          <w:tcPr>
            <w:tcW w:type="dxa" w:w="226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94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建议试点目标</w:t>
            </w:r>
          </w:p>
        </w:tc>
        <w:tc>
          <w:tcPr>
            <w:tcW w:type="dxa" w:w="4422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解释与验收边界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数据完整率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关键通道≥99.5%</w:t>
            </w:r>
          </w:p>
        </w:tc>
        <w:tc>
          <w:tcPr>
            <w:tcW w:type="dxa" w:w="442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分别报告计划停机和非计划缺失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慢诊断处理延迟</w:t>
            </w:r>
          </w:p>
        </w:tc>
        <w:tc>
          <w:tcPr>
            <w:tcW w:type="dxa" w:w="294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1秒帧站端处理P95≤1秒</w:t>
            </w:r>
          </w:p>
        </w:tc>
        <w:tc>
          <w:tcPr>
            <w:tcW w:type="dxa" w:w="442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不含持续性窗口；与检测延迟分别统计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已确认常见故障召回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目标≥95%</w:t>
            </w:r>
          </w:p>
        </w:tc>
        <w:tc>
          <w:tcPr>
            <w:tcW w:type="dxa" w:w="442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按故障类型报告计数与置信区间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误报事件率</w:t>
            </w:r>
          </w:p>
        </w:tc>
        <w:tc>
          <w:tcPr>
            <w:tcW w:type="dxa" w:w="294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目标≤0.01次每簇天</w:t>
            </w:r>
          </w:p>
        </w:tc>
        <w:tc>
          <w:tcPr>
            <w:tcW w:type="dxa" w:w="442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单独限定严重误报；聚合前后均报告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拒判与覆盖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逐工况公布可评估比例</w:t>
            </w:r>
          </w:p>
        </w:tc>
        <w:tc>
          <w:tcPr>
            <w:tcW w:type="dxa" w:w="442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微短路或容量估计不宜强求全工况覆盖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可靠性</w:t>
            </w:r>
          </w:p>
        </w:tc>
        <w:tc>
          <w:tcPr>
            <w:tcW w:type="dxa" w:w="294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通过断网 重启 重放和回滚试验</w:t>
            </w:r>
          </w:p>
        </w:tc>
        <w:tc>
          <w:tcPr>
            <w:tcW w:type="dxa" w:w="442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确认本地保护独立及事件不丢失不重复</w:t>
            </w:r>
          </w:p>
        </w:tc>
      </w:tr>
    </w:tbl>
    <w:p>
      <w:pPr>
        <w:spacing w:after="0"/>
      </w:pPr>
    </w:p>
    <w:p>
      <w:r>
        <w:rPr>
          <w:b w:val="0"/>
        </w:rPr>
        <w:t>以上为项目谈判与试点设计起点，不是行业通用合格线。误报预算应按全站规模反推：0.01次每簇天在100簇站仍相当于平均1次每天；运维能力较低的站应采用更严格预算。</w:t>
      </w:r>
    </w:p>
    <w:p>
      <w:pPr>
        <w:pStyle w:val="Heading2"/>
      </w:pPr>
      <w:r>
        <w:t>小样本不支持高置信承诺</w:t>
      </w:r>
    </w:p>
    <w:p>
      <w:r>
        <w:rPr>
          <w:b w:val="0"/>
        </w:rPr>
        <w:t>若20个独立事件全部检出，点估计虽为100%，但双侧95%精确二项置信区间的下限约83.2%。若健康暴露E簇天内零误报，泊松近似下单侧95%误报率上限约为3/E；要支持小于0.01次每簇天，至少约300簇天，且需注意簇间相关性。</w:t>
      </w:r>
    </w:p>
    <w:p>
      <w:r>
        <w:rPr>
          <w:b w:val="0"/>
        </w:rPr>
        <w:t>提前量按“故障确认参考时刻减首次有效预警时刻”定义，并说明参考时刻来自保护触发、检修发现还是已知注入起点。报告中位数、低分位和最差值；数据平台处理速度不能冒充物理故障提前量。</w:t>
      </w:r>
    </w:p>
    <w:p>
      <w:r>
        <w:br w:type="page"/>
      </w:r>
    </w:p>
    <w:p>
      <w:pPr>
        <w:pStyle w:val="Heading1"/>
      </w:pPr>
      <w:r>
        <w:t>18  测试集与工程验收用例</w:t>
      </w:r>
    </w:p>
    <w:p>
      <w:r>
        <w:rPr>
          <w:b w:val="0"/>
        </w:rPr>
        <w:t>建立离线历史回放、软件故障注入、硬件在环或台架、现场影子运行四层证据。真实电芯内短路和热失控不在运行电站人为制造；相应机理验证由具备条件的实验设施承担。软件注入用于验证检测链路，不替代物理有效性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3628"/>
        <w:gridCol w:w="3912"/>
      </w:tblGrid>
      <w:tr>
        <w:trPr>
          <w:tblHeader/>
          <w:cantSplit/>
        </w:trPr>
        <w:tc>
          <w:tcPr>
            <w:tcW w:type="dxa" w:w="209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用例</w:t>
            </w:r>
          </w:p>
        </w:tc>
        <w:tc>
          <w:tcPr>
            <w:tcW w:type="dxa" w:w="3628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验证方式</w:t>
            </w:r>
          </w:p>
        </w:tc>
        <w:tc>
          <w:tcPr>
            <w:tcW w:type="dxa" w:w="3912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通过条件或检查点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采样偏置与慢漂移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在历史数据副本加入受控偏差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检出范围与误报公开；输出候选测量故障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卡死 开线与错映射</w:t>
            </w:r>
          </w:p>
        </w:tc>
        <w:tc>
          <w:tcPr>
            <w:tcW w:type="dxa" w:w="362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仿真数据＋AFE台架测试</w:t>
            </w:r>
          </w:p>
        </w:tc>
        <w:tc>
          <w:tcPr>
            <w:tcW w:type="dxa" w:w="391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识别失效通道；依赖算法进入降级状态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连接电阻增大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受控台架接点或电阻模拟＋同步采样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量级一致；定位限定于实际测量范围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自放电等效支路</w:t>
            </w:r>
          </w:p>
        </w:tc>
        <w:tc>
          <w:tcPr>
            <w:tcW w:type="dxa" w:w="362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实验室受控支路＋正常对照组</w:t>
            </w:r>
          </w:p>
        </w:tc>
        <w:tc>
          <w:tcPr>
            <w:tcW w:type="dxa" w:w="391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注明等效注入边界；报告检测下限与拒判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泵停转或流量降低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台架或厂家允许的调试工况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识别命令反馈和热残差；无危险温升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正常负载阶跃与均衡</w:t>
            </w:r>
          </w:p>
        </w:tc>
        <w:tc>
          <w:tcPr>
            <w:tcW w:type="dxa" w:w="362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覆盖不同SOC 温度 倍率</w:t>
            </w:r>
          </w:p>
        </w:tc>
        <w:tc>
          <w:tcPr>
            <w:tcW w:type="dxa" w:w="391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不能把正常过渡误判为确定电芯故障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PCS限幅与调度切换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回放限幅原因和有效指令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正常降额不触发功率跟踪故障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断网与时钟异常</w:t>
            </w:r>
          </w:p>
        </w:tc>
        <w:tc>
          <w:tcPr>
            <w:tcW w:type="dxa" w:w="362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模拟丢包  重复  乱序  时钟漂移</w:t>
            </w:r>
          </w:p>
        </w:tc>
        <w:tc>
          <w:tcPr>
            <w:tcW w:type="dxa" w:w="391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质量事件可见；不填假正常、不重复工单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服务故障与升级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进程重启  参数不兼容  回滚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状态恢复正确；保护回路运行独立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维护与更换电池</w:t>
            </w:r>
          </w:p>
        </w:tc>
        <w:tc>
          <w:tcPr>
            <w:tcW w:type="dxa" w:w="3628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更换前后记录及拓扑版本切换</w:t>
            </w:r>
          </w:p>
        </w:tc>
        <w:tc>
          <w:tcPr>
            <w:tcW w:type="dxa" w:w="391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历史可追溯；新旧基线不混用</w:t>
            </w:r>
          </w:p>
        </w:tc>
      </w:tr>
    </w:tbl>
    <w:p>
      <w:pPr>
        <w:spacing w:after="0"/>
      </w:pPr>
    </w:p>
    <w:p>
      <w:pPr>
        <w:pStyle w:val="Heading2"/>
      </w:pPr>
      <w:r>
        <w:t>数据集构成要求</w:t>
      </w:r>
    </w:p>
    <w:p>
      <w:r>
        <w:rPr>
          <w:b w:val="0"/>
        </w:rPr>
        <w:t>健康集覆盖充放电、静置、均衡、启停、高低温和不同老化阶段；异常集覆盖阶跃、渐变、间歇和复合故障。跨站泛化至少使用未参与训练的目标站或独立设备组；不同固件和测点布置应单独分层。</w:t>
      </w:r>
    </w:p>
    <w:p>
      <w:r>
        <w:rPr>
          <w:b w:val="0"/>
        </w:rPr>
        <w:t>冻结测试清单、数据版本和模型哈希后再验收。每条失败用例保留原因归类：算法能力不足、测量不可观测、数据质量不合格、标签争议或接口故障。修复后在受影响用例和关键回归集上重测。</w:t>
      </w:r>
    </w:p>
    <w:p>
      <w:r>
        <w:br w:type="page"/>
      </w:r>
    </w:p>
    <w:p>
      <w:pPr>
        <w:pStyle w:val="Heading1"/>
      </w:pPr>
      <w:r>
        <w:t>19  实施路线与交付清单</w:t>
      </w:r>
    </w:p>
    <w:p>
      <w:r>
        <w:rPr>
          <w:b w:val="0"/>
        </w:rPr>
        <w:t>建议以1至2个数据条件较完整的站开展试点。下表周期是工程规划估计，阶段能否结束取决于数据和验收门槛；故障事件稀少或季节工况不足时，需要延长观察，不能按日历直接宣布工业成熟。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082"/>
        <w:gridCol w:w="3742"/>
      </w:tblGrid>
      <w:tr>
        <w:trPr>
          <w:tblHeader/>
          <w:cantSplit/>
        </w:trPr>
        <w:tc>
          <w:tcPr>
            <w:tcW w:type="dxa" w:w="1814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082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工作与周期建议</w:t>
            </w:r>
          </w:p>
        </w:tc>
        <w:tc>
          <w:tcPr>
            <w:tcW w:type="dxa" w:w="3742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退出条件与交付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第一阶段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第1至2周  接口与拓扑梳理  数据审计</w:t>
            </w:r>
          </w:p>
        </w:tc>
        <w:tc>
          <w:tcPr>
            <w:tcW w:type="dxa" w:w="374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点表  时间同步报告  数据质量清单  故障树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第二阶段</w:t>
            </w:r>
          </w:p>
        </w:tc>
        <w:tc>
          <w:tcPr>
            <w:tcW w:type="dxa" w:w="408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第3至5周  规则 MAD CUSUM  事件库</w:t>
            </w:r>
          </w:p>
        </w:tc>
        <w:tc>
          <w:tcPr>
            <w:tcW w:type="dxa" w:w="374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回放基线  参数版本  可解释事件样例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第三阶段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第6至8周  连接与热残差  AFE和IMD接入</w:t>
            </w:r>
          </w:p>
        </w:tc>
        <w:tc>
          <w:tcPr>
            <w:tcW w:type="dxa" w:w="374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关键台架用例通过  可观测性清单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第四阶段</w:t>
            </w:r>
          </w:p>
        </w:tc>
        <w:tc>
          <w:tcPr>
            <w:tcW w:type="dxa" w:w="408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第9至12周起  现场影子运行  运维复核</w:t>
            </w:r>
          </w:p>
        </w:tc>
        <w:tc>
          <w:tcPr>
            <w:tcW w:type="dxa" w:w="374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误报预算评估  独立事件验证  回滚演练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第五阶段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满足样本和覆盖后  跨站推广或ML增强</w:t>
            </w:r>
          </w:p>
        </w:tc>
        <w:tc>
          <w:tcPr>
            <w:tcW w:type="dxa" w:w="374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独立站验证通过  模型卡  运维责任与发布流程</w:t>
            </w:r>
          </w:p>
        </w:tc>
      </w:tr>
    </w:tbl>
    <w:p>
      <w:pPr>
        <w:spacing w:after="0"/>
      </w:pPr>
    </w:p>
    <w:p>
      <w:pPr>
        <w:pStyle w:val="Heading2"/>
      </w:pPr>
      <w:r>
        <w:t>资源配置与工作量驱动因素</w:t>
      </w:r>
    </w:p>
    <w:p>
      <w:r>
        <w:rPr>
          <w:b w:val="0"/>
        </w:rPr>
        <w:t>核心职责包括电池及系统机理、算法开发、数据接入、平台开发、测试和现场运维。小型试点可由4至6名人员分担职责，并获得BMS、PCS和热管理厂家支持；这不是固定编制或报价。</w:t>
      </w:r>
    </w:p>
    <w:p>
      <w:r>
        <w:rPr>
          <w:b w:val="0"/>
        </w:rPr>
        <w:t>成本主要由协议与数据开放程度、拓扑准确性、测量改造、故障台架、标签复核和后续维护驱动。首版规则与统计不需要购买GPU；若需器件级PCS诊断或早期微短路量化，新增传感器与试验成本可能高于软件本身。</w:t>
      </w:r>
    </w:p>
    <w:p>
      <w:pPr>
        <w:pStyle w:val="Heading2"/>
      </w:pPr>
      <w:r>
        <w:t>工业交付必须包含的材料</w:t>
      </w:r>
    </w:p>
    <w:p>
      <w:r>
        <w:rPr>
          <w:b w:val="0"/>
        </w:rPr>
        <w:t>交付物包括数据契约与资产拓扑、故障与证据矩阵、算法设计及接口、可执行参数清单、回放工具与测试数据版本、事件状态机、验收报告、模型或阈值版本管理、部署与回滚手册、运维复核SOP以及权限清单。</w:t>
      </w:r>
    </w:p>
    <w:p>
      <w:pPr>
        <w:pStyle w:val="Heading2"/>
      </w:pPr>
      <w:r>
        <w:t>立项前必须关闭的条件</w:t>
      </w:r>
    </w:p>
    <w:p>
      <w:r>
        <w:rPr>
          <w:b w:val="0"/>
        </w:rPr>
        <w:t>确认全量测点和时间戳可获得；确认AFE、均衡、限流及PCS故障状态可读取；确认独立总压与接点测量边界；确认运维人员能够闭环标注；确认报警量预算和保护接口责任。任何一项缺失都应对应缩减功能，而不是以复杂模型替代工程前提。</w:t>
      </w:r>
    </w:p>
    <w:p>
      <w:r>
        <w:br w:type="page"/>
      </w:r>
    </w:p>
    <w:p>
      <w:pPr>
        <w:pStyle w:val="Heading1"/>
      </w:pPr>
      <w:r>
        <w:t>20  参数模板与算法运行边界</w:t>
      </w:r>
    </w:p>
    <w:p>
      <w:r>
        <w:rPr>
          <w:b w:val="0"/>
        </w:rPr>
        <w:t>参数必须按站、资产型号、测点类型、工况和版本管理。下表给出示例结构；所有数字均为影子运行调参起点，禁止直接覆盖厂家保护设定。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3005"/>
        <w:gridCol w:w="3572"/>
      </w:tblGrid>
      <w:tr>
        <w:trPr>
          <w:tblHeader/>
          <w:cantSplit/>
        </w:trPr>
        <w:tc>
          <w:tcPr>
            <w:tcW w:type="dxa" w:w="3061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参数名</w:t>
            </w:r>
          </w:p>
        </w:tc>
        <w:tc>
          <w:tcPr>
            <w:tcW w:type="dxa" w:w="3005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起点或来源</w:t>
            </w:r>
          </w:p>
        </w:tc>
        <w:tc>
          <w:tcPr>
            <w:tcW w:type="dxa" w:w="3572"/>
            <w:vAlign w:val="center"/>
            <w:shd w:fill="DCE6F1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约束与用途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sample_period_s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1秒或真实采样周期</w:t>
            </w:r>
          </w:p>
        </w:tc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明确采集周期与上送周期差异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max_input_age_s</w:t>
            </w:r>
          </w:p>
        </w:tc>
        <w:tc>
          <w:tcPr>
            <w:tcW w:type="dxa" w:w="300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3个预期采样周期</w:t>
            </w:r>
          </w:p>
        </w:tc>
        <w:tc>
          <w:tcPr>
            <w:tcW w:type="dxa" w:w="357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超时后相关算法未评估；适配链路抖动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peer_min_count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示例8个合格参考测点</w:t>
            </w:r>
          </w:p>
        </w:tc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参考组较小时改用自身历史或模型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scale_floor</w:t>
            </w:r>
          </w:p>
        </w:tc>
        <w:tc>
          <w:tcPr>
            <w:tcW w:type="dxa" w:w="300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仪器误差与健康噪声标定</w:t>
            </w:r>
          </w:p>
        </w:tc>
        <w:tc>
          <w:tcPr>
            <w:tcW w:type="dxa" w:w="357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保持物理单位；防MAD趋零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z_on / z_off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示例6 / 3</w:t>
            </w:r>
          </w:p>
        </w:tc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与绝对偏差门限同时满足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delta_on / delta_off</w:t>
            </w:r>
          </w:p>
        </w:tc>
        <w:tc>
          <w:tcPr>
            <w:tcW w:type="dxa" w:w="300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按通道健康残差与噪声确定</w:t>
            </w:r>
          </w:p>
        </w:tc>
        <w:tc>
          <w:tcPr>
            <w:tcW w:type="dxa" w:w="357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V、℃或Ω；不可全站共用一个值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window_s / duration_on_s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示例60 / 30秒</w:t>
            </w:r>
          </w:p>
        </w:tc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按有效时间累计；不跨长缺测拼接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duration_off_s</w:t>
            </w:r>
          </w:p>
        </w:tc>
        <w:tc>
          <w:tcPr>
            <w:tcW w:type="dxa" w:w="300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示例120秒</w:t>
            </w:r>
          </w:p>
        </w:tc>
        <w:tc>
          <w:tcPr>
            <w:tcW w:type="dxa" w:w="357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恢复滞回；确认故障需工单关闭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rest_current_A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按传感器精度与额定电流定义</w:t>
            </w:r>
          </w:p>
        </w:tc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必须区分低负载和真实静置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relaxation_time_s</w:t>
            </w:r>
          </w:p>
        </w:tc>
        <w:tc>
          <w:tcPr>
            <w:tcW w:type="dxa" w:w="300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由电芯松弛与温度试验确定</w:t>
            </w:r>
          </w:p>
        </w:tc>
        <w:tc>
          <w:tcPr>
            <w:tcW w:type="dxa" w:w="357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不统一承诺静置几分钟即可测自放电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delta_I_min_A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按电压噪声与目标电阻灵敏度确定</w:t>
            </w:r>
          </w:p>
        </w:tc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低激励拒绝电阻估计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cusum_k / cusum_h</w:t>
            </w:r>
          </w:p>
        </w:tc>
        <w:tc>
          <w:tcPr>
            <w:tcW w:type="dxa" w:w="300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用固定周期残差回放联合标定</w:t>
            </w:r>
          </w:p>
        </w:tc>
        <w:tc>
          <w:tcPr>
            <w:tcW w:type="dxa" w:w="357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同时记录采样周期及复位方式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baseline_update_allowed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健康  工况有效  无候选异常</w:t>
            </w:r>
          </w:p>
        </w:tc>
        <w:tc>
          <w:tcPr>
            <w:tcW w:type="dxa" w:w="3572"/>
            <w:vAlign w:val="center"/>
            <w:shd w:fill="FFFFFF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冻结异常设备；维护后重新建基线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model_out_of_domain</w:t>
            </w:r>
          </w:p>
        </w:tc>
        <w:tc>
          <w:tcPr>
            <w:tcW w:type="dxa" w:w="3005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型号 温区 倍率 拓扑等范围</w:t>
            </w:r>
          </w:p>
        </w:tc>
        <w:tc>
          <w:tcPr>
            <w:tcW w:type="dxa" w:w="3572"/>
            <w:vAlign w:val="center"/>
            <w:shd w:fill="F5F7FA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8"/>
              </w:rPr>
              <w:t>越界输出拒判或降级，不外推置信度</w:t>
            </w:r>
          </w:p>
        </w:tc>
      </w:tr>
    </w:tbl>
    <w:p>
      <w:pPr>
        <w:spacing w:after="0"/>
      </w:pPr>
    </w:p>
    <w:p>
      <w:pPr>
        <w:pStyle w:val="Heading2"/>
      </w:pPr>
      <w:r>
        <w:t>发布检查与适用性声明</w:t>
      </w:r>
    </w:p>
    <w:p>
      <w:r>
        <w:rPr>
          <w:b w:val="0"/>
        </w:rPr>
        <w:t>参数包至少含版本号、适用资产、单位、取值范围、生效时间、标定数据版本、验证结果、责任人和回滚版本。上线时执行输入字段及单位校验；字段缺失或拓扑不匹配时拒绝加载。</w:t>
      </w:r>
    </w:p>
    <w:p>
      <w:r>
        <w:rPr>
          <w:b w:val="0"/>
        </w:rPr>
        <w:t>工业推广依据是目标站数据、台架和现场运行形成的证据闭环。对尚不具备传感器覆盖、故障样本或工况覆盖的能力，应在产品界面和验收文件中明确适用范围及拒判状态。</w:t>
      </w:r>
    </w:p>
    <w:p>
      <w:r>
        <w:br w:type="page"/>
      </w:r>
    </w:p>
    <w:p>
      <w:pPr>
        <w:pStyle w:val="Heading1"/>
      </w:pPr>
      <w:r>
        <w:t>21  适用标准与参考文献</w:t>
      </w:r>
    </w:p>
    <w:p>
      <w:r>
        <w:rPr>
          <w:b w:val="0"/>
        </w:rPr>
        <w:t>国内项目首先核对BMS、电站安全和电池产品安全标准[1][2][3]，并按项目所在地、设备类别、合同与适用标准文本形成要求清单。出口项目再核对对应国际或地区规则。[4][5]</w:t>
      </w:r>
    </w:p>
    <w:p>
      <w:r>
        <w:rPr>
          <w:b w:val="0"/>
        </w:rPr>
        <w:t>标准版本与范围信息用于建立设计检查清单；本文的诊断持续时间、统计阈值、误报预算和资源配置属于工程建议，不宣称由这些标准直接规定。合规验收仍需逐条核对适用正文与项目条件。</w:t>
      </w:r>
    </w:p>
    <w:p>
      <w:pPr>
        <w:spacing w:after="60"/>
      </w:pPr>
      <w:r>
        <w:rPr>
          <w:b w:val="0"/>
          <w:sz w:val="18"/>
        </w:rPr>
        <w:t>[1] 国家市场监督管理总局 国家标准化管理委员会。GB/T 34131—2023 电力储能用电池管理系统。2023；2023年10月1日实施，官方页面显示现行。用于核对BMS标准版本与适用对象。</w:t>
      </w:r>
    </w:p>
    <w:p>
      <w:pPr>
        <w:spacing w:after="60"/>
      </w:pPr>
      <w:hyperlink r:id="rId10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[2] 国家市场监督管理总局 国家标准化管理委员会。GB/T 42288—2022 电化学储能电站安全规程。2022；2023年7月1日实施，官方页面显示现行。项目执行应核对适用修改单。</w:t>
      </w:r>
    </w:p>
    <w:p>
      <w:pPr>
        <w:spacing w:after="60"/>
      </w:pPr>
      <w:hyperlink r:id="rId11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[3] 国家市场监督管理总局 国家标准化管理委员会。GB 44240—2024 电能存储系统用锂蓄电池和电池组 安全要求。2024；2025年8月1日实施，官方页面显示现行。适用于相关电池及电池组安全要求。</w:t>
      </w:r>
    </w:p>
    <w:p>
      <w:pPr>
        <w:spacing w:after="60"/>
      </w:pPr>
      <w:hyperlink r:id="rId12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[4] International Electrotechnical Commission。IEC 62933-5-2:2025。2025，Edition 2.0。并网电化学储能系统安全及全生命周期范围。</w:t>
      </w:r>
    </w:p>
    <w:p>
      <w:pPr>
        <w:spacing w:after="60"/>
      </w:pPr>
      <w:hyperlink r:id="rId13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[5] UL Solutions。UL 9540A Test Method for Battery Energy Storage Systems。官方服务说明。用于理解热失控火蔓延试验与算法性能验证的区别。</w:t>
      </w:r>
    </w:p>
    <w:p>
      <w:pPr>
        <w:spacing w:after="60"/>
      </w:pPr>
      <w:hyperlink r:id="rId14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[6] Electric Power Research Institute。Storage Safety and BESS Failure Incident Database。官方储能安全资料入口与公开事故数据库说明。公开事件资料存在覆盖与归因局限。</w:t>
      </w:r>
    </w:p>
    <w:p>
      <w:pPr>
        <w:spacing w:after="60"/>
      </w:pPr>
      <w:hyperlink r:id="rId15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[7] Journal of Power Sources。Lithium ion battery pack power fade fault identification based on Shannon entropy in electric vehicles。2013，223：136–146。DOI 10.1016/j.jpowsour.2012.09.015。</w:t>
      </w:r>
    </w:p>
    <w:p>
      <w:pPr>
        <w:spacing w:after="60"/>
      </w:pPr>
      <w:hyperlink r:id="rId16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[8] Applied Energy。Voltage fault diagnosis and prognosis of battery systems based on entropy and Z-score for electric vehicles。2017，196：289–302。DOI 10.1016/j.apenergy.2016.12.143。</w:t>
      </w:r>
    </w:p>
    <w:p>
      <w:pPr>
        <w:spacing w:after="60"/>
      </w:pPr>
      <w:hyperlink r:id="rId17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[9] Journal of Energy Storage。Online diagnosis of soft internal short circuits in series-connected battery packs using modified kernel principal component analysis。2022，53：104815。受控实验验证；不能直接解释为现场检测下限。</w:t>
      </w:r>
    </w:p>
    <w:p>
      <w:pPr>
        <w:spacing w:after="60"/>
      </w:pPr>
      <w:hyperlink r:id="rId18">
        <w:r>
          <w:rPr>
            <w:color w:val="24578A"/>
            <w:sz w:val="18"/>
          </w:rPr>
          <w:t>原始来源</w:t>
        </w:r>
      </w:hyperlink>
    </w:p>
    <w:p>
      <w:r>
        <w:br w:type="page"/>
      </w:r>
    </w:p>
    <w:p>
      <w:pPr>
        <w:pStyle w:val="Heading1"/>
      </w:pPr>
      <w:r>
        <w:t>22  算法与设备技术参考文献</w:t>
      </w:r>
    </w:p>
    <w:p>
      <w:pPr>
        <w:spacing w:after="60"/>
      </w:pPr>
      <w:r>
        <w:rPr>
          <w:b w:val="0"/>
          <w:sz w:val="18"/>
        </w:rPr>
        <w:t>[10] Zhang J 等。Realistic fault detection of li-ion battery via dynamical deep learning。Nature Communications，2023，14：5940。DOI 10.1038/s41467-023-41226-5。</w:t>
      </w:r>
    </w:p>
    <w:p>
      <w:pPr>
        <w:spacing w:after="60"/>
      </w:pPr>
      <w:hyperlink r:id="rId19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[11] Nature Communications。Model-constrained deep learning for online fault diagnosis in Li-ion batteries over stochastic conditions。2025。DOI 10.1038/s41467-025-56832-8。实车数据与模型约束神经网络研究。</w:t>
      </w:r>
    </w:p>
    <w:p>
      <w:pPr>
        <w:spacing w:after="60"/>
      </w:pPr>
      <w:hyperlink r:id="rId20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[12] Texas Instruments。BQ76952 Technical Reference Manual Rev B。2022。包括开线诊断及独立栈电压比较机制；引用器件能力，不代表完整储能系统认证。</w:t>
      </w:r>
    </w:p>
    <w:p>
      <w:pPr>
        <w:spacing w:after="60"/>
      </w:pPr>
      <w:hyperlink r:id="rId21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[13] Analog Devices。A Deeper Look into Open Wire Detection on Battery Management Systems。官方技术文章。用于说明主动开线检测原理及系统设计价值。</w:t>
      </w:r>
    </w:p>
    <w:p>
      <w:pPr>
        <w:spacing w:after="60"/>
      </w:pPr>
      <w:hyperlink r:id="rId22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[14] Bender。ISOMETER iso685 B。官方产品技术资料。IT系统绝缘监测、测量有效性与接口能力。</w:t>
      </w:r>
    </w:p>
    <w:p>
      <w:pPr>
        <w:spacing w:after="60"/>
      </w:pPr>
      <w:hyperlink r:id="rId23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[15] Infineon Technologies。AN2019-05 PC and TC Diagrams。Revision 2.11，2021。功率循环与温度循环能力的使用方法。</w:t>
      </w:r>
    </w:p>
    <w:p>
      <w:pPr>
        <w:spacing w:after="60"/>
      </w:pPr>
      <w:hyperlink r:id="rId24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[16] arXiv 原始研究预印本。Bias-Compensated State of Charge and State of Health Joint Estimation for Lithium Iron Phosphate Batteries。2024。arXiv:2401.08136。用于LFP平坦OCV与测量偏置影响的机理参考；证据等级为预印本。</w:t>
      </w:r>
    </w:p>
    <w:p>
      <w:pPr>
        <w:spacing w:after="60"/>
      </w:pPr>
      <w:hyperlink r:id="rId25">
        <w:r>
          <w:rPr>
            <w:color w:val="24578A"/>
            <w:sz w:val="18"/>
          </w:rPr>
          <w:t>原始来源</w:t>
        </w:r>
      </w:hyperlink>
    </w:p>
    <w:p>
      <w:pPr>
        <w:spacing w:after="60"/>
      </w:pPr>
      <w:r>
        <w:rPr>
          <w:b w:val="0"/>
          <w:sz w:val="18"/>
        </w:rPr>
        <w:t>[17] 作者机构公开论文。Observer-Based Diagnostic Scheme for Lithium-Ion Batteries。ASME DSCC，2015，DSCC2015-9913。观察器与冷却故障诊断研究。</w:t>
      </w:r>
    </w:p>
    <w:p>
      <w:pPr>
        <w:spacing w:after="60"/>
      </w:pPr>
      <w:hyperlink r:id="rId26">
        <w:r>
          <w:rPr>
            <w:color w:val="24578A"/>
            <w:sz w:val="18"/>
          </w:rPr>
          <w:t>原始来源</w:t>
        </w:r>
      </w:hyperlink>
    </w:p>
    <w:p>
      <w:pPr>
        <w:pStyle w:val="Heading2"/>
      </w:pPr>
      <w:r>
        <w:t>引用说明</w:t>
      </w:r>
    </w:p>
    <w:p>
      <w:r>
        <w:rPr>
          <w:b w:val="0"/>
        </w:rPr>
        <w:t>来源核验日期为2026年9月7日。设备厂商资料用于证明监测功能与物理机制，不代表对品牌的采购推荐。车辆论文用于方法选择，受控实验用于认识检测边界；现场效果以目标站独立验证为准。</w:t>
      </w:r>
    </w:p>
    <w:p>
      <w:r>
        <w:rPr>
          <w:b w:val="0"/>
        </w:rPr>
        <w:t>文中的MAD、CUSUM、等效电路、热平衡、欧姆定律与数据流方案按通用数学和工程原理组织。数量级计算均为明确假设下的演算；未将其标作实测结果。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储能系统故障诊断算法调研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Calibri" w:hAnsi="Calibri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openstd.samr.gov.cn/bzgk/std/newGbInfo?hcno=8057312F550D2812D9A12587FA8668EA" TargetMode="External"/><Relationship Id="rId11" Type="http://schemas.openxmlformats.org/officeDocument/2006/relationships/hyperlink" Target="https://std.samr.gov.cn/gb/search/gbDetailed?id=F159DFC2A98D47EFE05397BE0A0AF334" TargetMode="External"/><Relationship Id="rId12" Type="http://schemas.openxmlformats.org/officeDocument/2006/relationships/hyperlink" Target="https://openstd.samr.gov.cn/bzgk/std/newGbInfo?hcno=8E520B1991C62DEBC55B46DE49C6F4F5" TargetMode="External"/><Relationship Id="rId13" Type="http://schemas.openxmlformats.org/officeDocument/2006/relationships/hyperlink" Target="https://webstore.iec.ch/en/publication/68297" TargetMode="External"/><Relationship Id="rId14" Type="http://schemas.openxmlformats.org/officeDocument/2006/relationships/hyperlink" Target="https://www.ul.com/services/ul-9540a-test-method" TargetMode="External"/><Relationship Id="rId15" Type="http://schemas.openxmlformats.org/officeDocument/2006/relationships/hyperlink" Target="https://storagewiki.epri.com/index.php/Storage_Safety" TargetMode="External"/><Relationship Id="rId16" Type="http://schemas.openxmlformats.org/officeDocument/2006/relationships/hyperlink" Target="https://www.sciencedirect.com/science/article/pii/S0378775312014231" TargetMode="External"/><Relationship Id="rId17" Type="http://schemas.openxmlformats.org/officeDocument/2006/relationships/hyperlink" Target="https://www.sciencedirect.com/science/article/pii/S0306261916319262" TargetMode="External"/><Relationship Id="rId18" Type="http://schemas.openxmlformats.org/officeDocument/2006/relationships/hyperlink" Target="https://www.sciencedirect.com/science/article/pii/S2352152X22008234" TargetMode="External"/><Relationship Id="rId19" Type="http://schemas.openxmlformats.org/officeDocument/2006/relationships/hyperlink" Target="https://www.nature.com/articles/s41467-023-41226-5" TargetMode="External"/><Relationship Id="rId20" Type="http://schemas.openxmlformats.org/officeDocument/2006/relationships/hyperlink" Target="https://www.nature.com/articles/s41467-025-56832-8" TargetMode="External"/><Relationship Id="rId21" Type="http://schemas.openxmlformats.org/officeDocument/2006/relationships/hyperlink" Target="https://www.ti.com/lit/ug/sluuby2b/sluuby2b.pdf" TargetMode="External"/><Relationship Id="rId22" Type="http://schemas.openxmlformats.org/officeDocument/2006/relationships/hyperlink" Target="https://www.analog.com/en/resources/technical-articles/deeper-look-open-wire-detection.html" TargetMode="External"/><Relationship Id="rId23" Type="http://schemas.openxmlformats.org/officeDocument/2006/relationships/hyperlink" Target="https://www.bender.de/en/products/insulation-monitoring/isometer-iso685-b/" TargetMode="External"/><Relationship Id="rId24" Type="http://schemas.openxmlformats.org/officeDocument/2006/relationships/hyperlink" Target="https://www.infineon.com/assets/row/public/documents/60/42/infineon-an2019-05-pc-and-tc-diagrams-applicationnotes-en.pdf" TargetMode="External"/><Relationship Id="rId25" Type="http://schemas.openxmlformats.org/officeDocument/2006/relationships/hyperlink" Target="https://arxiv.org/abs/2401.08136" TargetMode="External"/><Relationship Id="rId26" Type="http://schemas.openxmlformats.org/officeDocument/2006/relationships/hyperlink" Target="https://cecas.clemson.edu/ayalew/Papers/Control%20Applications%20in%20Energy%20Systems-%20Battery%20Systems%2C%20Advanced%20Powertrains/Papers/DSCC2015_observer%20based%20diagnostics%20for%20li%20ion%20battery/V002T19A003-DSCC2015-991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储能系统故障诊断算法调研与工业落地方案</dc:title>
  <dc:subject>锂离子电池储能系统工业诊断算法选型、部署与验证</dc:subject>
  <dc:creator/>
  <cp:keywords>储能;故障诊断;BMS;PCS;工业部署;验证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