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5824" w14:textId="77777777" w:rsidR="001A7610" w:rsidRDefault="00EE54F7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  <w:bookmarkStart w:id="0" w:name="_Hlk177465055"/>
      <w:r>
        <w:rPr>
          <w:rFonts w:ascii="Arial" w:hAnsi="Arial" w:cs="Arial"/>
          <w:b/>
          <w:bCs/>
          <w:color w:val="000000"/>
          <w:sz w:val="26"/>
          <w:szCs w:val="26"/>
        </w:rPr>
        <w:t>ПУБЛИЧНОЕ АКЦИОНЕРНОЕ ОБЩЕСТВО «СУРГУТНЕФТЕГАЗ»</w:t>
      </w:r>
    </w:p>
    <w:p w14:paraId="57F0447A" w14:textId="77777777" w:rsidR="001A7610" w:rsidRDefault="00EE54F7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ЕДИНАЯ ИНФОРМАЦИОННАЯ СИСТЕМА</w:t>
      </w:r>
    </w:p>
    <w:p w14:paraId="377FEFA3" w14:textId="77777777" w:rsidR="001A7610" w:rsidRDefault="00EE54F7">
      <w:pPr>
        <w:shd w:val="clear" w:color="auto" w:fill="FFFFFF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Фонд проектно-технических документов на ИТ-решения</w:t>
      </w:r>
    </w:p>
    <w:p w14:paraId="42190899" w14:textId="77777777" w:rsidR="001A7610" w:rsidRDefault="00EE54F7">
      <w:pPr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0DF9877E" wp14:editId="38CF9456">
                <wp:extent cx="6480810" cy="2540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48081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510.30pt;height:2.00pt;mso-wrap-distance-left:0.00pt;mso-wrap-distance-top:0.00pt;mso-wrap-distance-right:0.00pt;mso-wrap-distance-bottom:0.00pt;visibility:visible;" fillcolor="#000000" stroked="f"/>
            </w:pict>
          </mc:Fallback>
        </mc:AlternateContent>
      </w:r>
    </w:p>
    <w:p w14:paraId="556B9AE4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bookmarkStart w:id="1" w:name="OLE_LINK5"/>
      <w:bookmarkStart w:id="2" w:name="OLE_LINK6"/>
    </w:p>
    <w:p w14:paraId="1C21F758" w14:textId="77777777" w:rsidR="001A7610" w:rsidRDefault="001A7610">
      <w:pPr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5E1AAEA1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40AA3127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5C2C76C3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30D50FA0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78C53F78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4220D056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7FE542E3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14:paraId="194401E4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61095261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3DAA492D" w14:textId="77777777" w:rsidR="001A7610" w:rsidRDefault="001A761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48C61971" w14:textId="77777777" w:rsidR="001A7610" w:rsidRDefault="00EE54F7">
      <w:pPr>
        <w:shd w:val="clear" w:color="auto" w:fill="FFFFFF"/>
        <w:contextualSpacing/>
        <w:jc w:val="center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Технические требования</w:t>
      </w:r>
    </w:p>
    <w:p w14:paraId="72CAD293" w14:textId="77777777" w:rsidR="001A7610" w:rsidRDefault="00EE54F7">
      <w:pPr>
        <w:shd w:val="clear" w:color="auto" w:fill="FFFFFF"/>
        <w:contextualSpacing/>
        <w:jc w:val="center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0E7A7D7D" wp14:editId="0C2CDA83">
                <wp:extent cx="6122035" cy="1270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</w:p>
    <w:p w14:paraId="69FD3907" w14:textId="77777777" w:rsidR="001A7610" w:rsidRDefault="00EE54F7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ТТ Информационного обмена между системами </w:t>
      </w:r>
      <w:r>
        <w:rPr>
          <w:rFonts w:ascii="Arial" w:hAnsi="Arial" w:cs="Arial"/>
          <w:color w:val="000000"/>
          <w:sz w:val="26"/>
          <w:szCs w:val="26"/>
          <w:lang w:val="en-US"/>
        </w:rPr>
        <w:t>Global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color w:val="000000"/>
          <w:sz w:val="26"/>
          <w:szCs w:val="26"/>
        </w:rPr>
        <w:t xml:space="preserve"> и Аврора в части </w:t>
      </w:r>
      <w:r>
        <w:rPr>
          <w:rFonts w:ascii="Arial" w:hAnsi="Arial" w:cs="Arial"/>
          <w:color w:val="000000"/>
          <w:sz w:val="26"/>
          <w:szCs w:val="26"/>
        </w:rPr>
        <w:t>данных по ГТД ПАО «Сургутнефтегаз»</w:t>
      </w:r>
    </w:p>
    <w:p w14:paraId="3281A37A" w14:textId="77777777" w:rsidR="001A7610" w:rsidRDefault="00EE54F7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(Редакция 0</w:t>
      </w:r>
      <w:r>
        <w:rPr>
          <w:rFonts w:ascii="Arial" w:hAnsi="Arial" w:cs="Arial"/>
          <w:color w:val="000000"/>
          <w:sz w:val="26"/>
          <w:szCs w:val="26"/>
          <w:lang w:val="en-US"/>
        </w:rPr>
        <w:t>1</w:t>
      </w:r>
      <w:r>
        <w:rPr>
          <w:rFonts w:ascii="Arial" w:hAnsi="Arial" w:cs="Arial"/>
          <w:color w:val="000000"/>
          <w:sz w:val="26"/>
          <w:szCs w:val="26"/>
        </w:rPr>
        <w:t xml:space="preserve"> от 22.10.2025)</w:t>
      </w:r>
    </w:p>
    <w:p w14:paraId="3269424F" w14:textId="77777777" w:rsidR="001A7610" w:rsidRDefault="00EE54F7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2FC78C9D" wp14:editId="156A1F48">
                <wp:extent cx="6122035" cy="1270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  <w:bookmarkEnd w:id="1"/>
      <w:bookmarkEnd w:id="2"/>
    </w:p>
    <w:p w14:paraId="0B219304" w14:textId="77777777" w:rsidR="001A7610" w:rsidRDefault="001A7610">
      <w:pP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14:paraId="2211AA6A" w14:textId="77777777" w:rsidR="001A7610" w:rsidRDefault="001A7610">
      <w:pP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14:paraId="1AC3738F" w14:textId="77777777" w:rsidR="001A7610" w:rsidRDefault="001A7610">
      <w:pPr>
        <w:shd w:val="clear" w:color="auto" w:fill="FFFFFF"/>
        <w:jc w:val="both"/>
        <w:rPr>
          <w:rFonts w:ascii="Arial" w:hAnsi="Arial" w:cs="Arial"/>
          <w:bCs/>
          <w:color w:val="000000"/>
          <w:sz w:val="26"/>
          <w:szCs w:val="26"/>
        </w:rPr>
      </w:pPr>
    </w:p>
    <w:p w14:paraId="573500A0" w14:textId="77777777" w:rsidR="001A7610" w:rsidRDefault="001A7610">
      <w:pPr>
        <w:rPr>
          <w:rFonts w:ascii="Arial" w:hAnsi="Arial" w:cs="Arial"/>
          <w:sz w:val="26"/>
          <w:szCs w:val="26"/>
        </w:rPr>
      </w:pPr>
    </w:p>
    <w:p w14:paraId="2765E580" w14:textId="77777777" w:rsidR="001A7610" w:rsidRDefault="001A7610">
      <w:pPr>
        <w:rPr>
          <w:rFonts w:ascii="Arial" w:hAnsi="Arial" w:cs="Arial"/>
          <w:sz w:val="26"/>
          <w:szCs w:val="26"/>
        </w:rPr>
      </w:pPr>
    </w:p>
    <w:p w14:paraId="0B221E25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14:paraId="36EB1F39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14:paraId="7519A6DE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14:paraId="742398B1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14A5BCDC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354AEF75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16D12370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7049418C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45648B19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3D392602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5473F218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7F1B549D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5689F954" w14:textId="77777777" w:rsidR="001A7610" w:rsidRDefault="001A761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14:paraId="062EF3BF" w14:textId="77777777" w:rsidR="001A7610" w:rsidRDefault="00EE54F7">
      <w:pPr>
        <w:shd w:val="clear" w:color="auto" w:fill="FFFFFF"/>
        <w:jc w:val="center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г. Сургут</w:t>
      </w:r>
    </w:p>
    <w:p w14:paraId="52498CE6" w14:textId="77777777" w:rsidR="001A7610" w:rsidRDefault="00EE54F7">
      <w:pPr>
        <w:jc w:val="center"/>
        <w:rPr>
          <w:rFonts w:ascii="Arial" w:hAnsi="Arial" w:cs="Arial"/>
          <w:b/>
          <w:color w:val="000000"/>
          <w:sz w:val="26"/>
          <w:szCs w:val="26"/>
        </w:rPr>
        <w:sectPr w:rsidR="001A7610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color w:val="000000"/>
          <w:sz w:val="26"/>
          <w:szCs w:val="26"/>
        </w:rPr>
        <w:t>2025 г.</w:t>
      </w:r>
    </w:p>
    <w:p w14:paraId="6AAF3B54" w14:textId="77777777" w:rsidR="001A7610" w:rsidRDefault="001A7610">
      <w:pPr>
        <w:jc w:val="both"/>
      </w:pPr>
    </w:p>
    <w:sdt>
      <w:sdtPr>
        <w:rPr>
          <w:sz w:val="24"/>
          <w:szCs w:val="24"/>
        </w:rPr>
        <w:id w:val="1138611915"/>
        <w:docPartObj>
          <w:docPartGallery w:val="Table of Contents"/>
          <w:docPartUnique/>
        </w:docPartObj>
      </w:sdtPr>
      <w:sdtEndPr/>
      <w:sdtContent>
        <w:p w14:paraId="5F83F54F" w14:textId="77777777" w:rsidR="001A7610" w:rsidRDefault="00EE54F7">
          <w:pPr>
            <w:rPr>
              <w:rFonts w:ascii="Arial" w:hAnsi="Arial" w:cs="Arial"/>
              <w:b/>
              <w:bCs/>
              <w:sz w:val="26"/>
              <w:szCs w:val="26"/>
            </w:rPr>
          </w:pPr>
          <w:r>
            <w:rPr>
              <w:rFonts w:ascii="Arial" w:hAnsi="Arial" w:cs="Arial"/>
              <w:b/>
              <w:bCs/>
              <w:sz w:val="26"/>
              <w:szCs w:val="26"/>
            </w:rPr>
            <w:t>Оглавление</w:t>
          </w:r>
        </w:p>
        <w:p w14:paraId="6466B1D6" w14:textId="77777777" w:rsidR="001A7610" w:rsidRDefault="00EE54F7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r>
            <w:rPr>
              <w:rFonts w:cs="Arial"/>
              <w:szCs w:val="24"/>
            </w:rPr>
            <w:fldChar w:fldCharType="begin"/>
          </w:r>
          <w:r>
            <w:rPr>
              <w:rFonts w:cs="Arial"/>
              <w:szCs w:val="24"/>
            </w:rPr>
            <w:instrText xml:space="preserve"> TOC \o "1-3" \h \z \u </w:instrText>
          </w:r>
          <w:r>
            <w:rPr>
              <w:rFonts w:cs="Arial"/>
              <w:szCs w:val="24"/>
            </w:rPr>
            <w:fldChar w:fldCharType="separate"/>
          </w:r>
          <w:hyperlink w:anchor="_Toc212019363" w:tooltip="#_Toc212019363" w:history="1">
            <w:r>
              <w:rPr>
                <w:rStyle w:val="af8"/>
              </w:rPr>
              <w:t>Определения, обозначения, сокращения</w:t>
            </w:r>
            <w:r>
              <w:rPr>
                <w:rStyle w:val="af8"/>
              </w:rPr>
              <w:t>, элементы нотации</w:t>
            </w:r>
            <w:r>
              <w:tab/>
            </w:r>
            <w:r>
              <w:fldChar w:fldCharType="begin"/>
            </w:r>
            <w:r>
              <w:instrText xml:space="preserve"> PAGEREF _Toc212019363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2C14C49" w14:textId="77777777" w:rsidR="001A7610" w:rsidRDefault="00EE54F7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4" w:tooltip="#_Toc212019364" w:history="1">
            <w:r>
              <w:rPr>
                <w:rStyle w:val="af8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Основание</w:t>
            </w:r>
            <w:r>
              <w:tab/>
            </w:r>
            <w:r>
              <w:fldChar w:fldCharType="begin"/>
            </w:r>
            <w:r>
              <w:instrText xml:space="preserve"> PAGEREF _Toc212019364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C987BC9" w14:textId="77777777" w:rsidR="001A7610" w:rsidRDefault="00EE54F7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5" w:tooltip="#_Toc212019365" w:history="1">
            <w:r>
              <w:rPr>
                <w:rStyle w:val="af8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Назначение и цель</w:t>
            </w:r>
            <w:r>
              <w:tab/>
            </w:r>
            <w:r>
              <w:fldChar w:fldCharType="begin"/>
            </w:r>
            <w:r>
              <w:instrText xml:space="preserve"> PAGEREF _Toc212019365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0D1C41B" w14:textId="77777777" w:rsidR="001A7610" w:rsidRDefault="00EE54F7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6" w:tooltip="#_Toc212019366" w:history="1">
            <w:r>
              <w:rPr>
                <w:rStyle w:val="af8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Механизмы передачи данных</w:t>
            </w:r>
            <w:r>
              <w:tab/>
            </w:r>
            <w:r>
              <w:fldChar w:fldCharType="begin"/>
            </w:r>
            <w:r>
              <w:instrText xml:space="preserve"> PAGEREF _Toc212019366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A5D23D6" w14:textId="77777777" w:rsidR="001A7610" w:rsidRDefault="00EE54F7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7" w:tooltip="#_Toc212019367" w:history="1">
            <w:r>
              <w:rPr>
                <w:rStyle w:val="af8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Интеграция данных по ГТД</w:t>
            </w:r>
            <w:r>
              <w:tab/>
            </w:r>
            <w:r>
              <w:fldChar w:fldCharType="begin"/>
            </w:r>
            <w:r>
              <w:instrText xml:space="preserve"> PAGEREF _Toc21201</w:instrText>
            </w:r>
            <w:r>
              <w:instrText xml:space="preserve">9367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234B564" w14:textId="77777777" w:rsidR="001A7610" w:rsidRDefault="00EE54F7">
          <w:pPr>
            <w:pStyle w:val="24"/>
            <w:tabs>
              <w:tab w:val="left" w:pos="88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68" w:tooltip="#_Toc212019368" w:history="1">
            <w:r>
              <w:rPr>
                <w:rStyle w:val="af8"/>
              </w:rPr>
              <w:t>4.1.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Интеграция таможенных деклараций на экспорт</w:t>
            </w:r>
            <w:r>
              <w:tab/>
            </w:r>
            <w:r>
              <w:fldChar w:fldCharType="begin"/>
            </w:r>
            <w:r>
              <w:instrText xml:space="preserve"> PAGEREF _Toc212019368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B1F7F58" w14:textId="77777777" w:rsidR="001A7610" w:rsidRDefault="00EE54F7">
          <w:pPr>
            <w:pStyle w:val="32"/>
            <w:tabs>
              <w:tab w:val="left" w:pos="132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69" w:tooltip="#_Toc212019369" w:history="1">
            <w:r>
              <w:rPr>
                <w:rStyle w:val="af8"/>
              </w:rPr>
              <w:t>4.1.1.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Требования к начальной загрузке данных</w:t>
            </w:r>
            <w:r>
              <w:tab/>
            </w:r>
            <w:r>
              <w:fldChar w:fldCharType="begin"/>
            </w:r>
            <w:r>
              <w:instrText xml:space="preserve"> PAGEREF _Toc212019369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265076B" w14:textId="77777777" w:rsidR="001A7610" w:rsidRDefault="00EE54F7">
          <w:pPr>
            <w:pStyle w:val="32"/>
            <w:tabs>
              <w:tab w:val="left" w:pos="132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70" w:tooltip="#_Toc212019370" w:history="1">
            <w:r>
              <w:rPr>
                <w:rStyle w:val="af8"/>
              </w:rPr>
              <w:t>4.1.2.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Правила асинхронного интеграционного взаимодействия</w:t>
            </w:r>
            <w:r>
              <w:tab/>
            </w:r>
            <w:r>
              <w:fldChar w:fldCharType="begin"/>
            </w:r>
            <w:r>
              <w:instrText xml:space="preserve"> PAGEREF _Toc212019370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8DA7369" w14:textId="77777777" w:rsidR="001A7610" w:rsidRDefault="00EE54F7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3F8A26F6" w14:textId="77777777" w:rsidR="001A7610" w:rsidRDefault="001A7610"/>
    <w:p w14:paraId="32057E77" w14:textId="77777777" w:rsidR="001A7610" w:rsidRDefault="00EE54F7">
      <w:pPr>
        <w:pStyle w:val="1"/>
        <w:rPr>
          <w:rFonts w:cs="Arial"/>
          <w:bCs/>
          <w:szCs w:val="26"/>
        </w:rPr>
      </w:pPr>
      <w:r>
        <w:br w:type="page" w:clear="all"/>
      </w:r>
    </w:p>
    <w:p w14:paraId="17D15F91" w14:textId="77777777" w:rsidR="001A7610" w:rsidRDefault="00EE54F7">
      <w:pPr>
        <w:pStyle w:val="1"/>
      </w:pPr>
      <w:bookmarkStart w:id="3" w:name="_Toc212019363"/>
      <w:r>
        <w:lastRenderedPageBreak/>
        <w:t>Определения, обозначения, сокращения, элементы нотации</w:t>
      </w:r>
      <w:bookmarkEnd w:id="3"/>
    </w:p>
    <w:p w14:paraId="564C0A54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3E350B63" w14:textId="77777777" w:rsidR="001A7610" w:rsidRDefault="00EE54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Заказчик</w:t>
      </w:r>
      <w:r>
        <w:rPr>
          <w:rFonts w:ascii="Arial" w:hAnsi="Arial" w:cs="Arial"/>
          <w:sz w:val="24"/>
          <w:szCs w:val="24"/>
        </w:rPr>
        <w:t xml:space="preserve"> – ПАО «Сургутнефтегаз» (далее – Общество)</w:t>
      </w:r>
    </w:p>
    <w:p w14:paraId="1402AAC3" w14:textId="77777777" w:rsidR="001A7610" w:rsidRDefault="00EE54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Исполнитель</w:t>
      </w:r>
      <w:r>
        <w:rPr>
          <w:rFonts w:ascii="Arial" w:hAnsi="Arial" w:cs="Arial"/>
          <w:sz w:val="24"/>
          <w:szCs w:val="24"/>
        </w:rPr>
        <w:t xml:space="preserve"> – ООО «Бизнес Технологии»</w:t>
      </w:r>
    </w:p>
    <w:p w14:paraId="455DAD7E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35D58C85" w14:textId="77777777" w:rsidR="001A7610" w:rsidRDefault="00EE54F7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Информационные системы и их модули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423"/>
        <w:gridCol w:w="7126"/>
      </w:tblGrid>
      <w:tr w:rsidR="001A7610" w14:paraId="50C2F205" w14:textId="77777777">
        <w:tc>
          <w:tcPr>
            <w:tcW w:w="1978" w:type="dxa"/>
          </w:tcPr>
          <w:p w14:paraId="5C7CAAAC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Global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ERP</w:t>
            </w:r>
          </w:p>
        </w:tc>
        <w:tc>
          <w:tcPr>
            <w:tcW w:w="423" w:type="dxa"/>
          </w:tcPr>
          <w:p w14:paraId="35AC78F4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126" w:type="dxa"/>
          </w:tcPr>
          <w:p w14:paraId="34A8F4C5" w14:textId="77777777" w:rsidR="001A7610" w:rsidRDefault="00EE54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Система приемник.</w:t>
            </w:r>
          </w:p>
        </w:tc>
      </w:tr>
      <w:tr w:rsidR="001A7610" w14:paraId="6525C0FF" w14:textId="77777777">
        <w:tc>
          <w:tcPr>
            <w:tcW w:w="1978" w:type="dxa"/>
          </w:tcPr>
          <w:p w14:paraId="61CB9C74" w14:textId="77777777" w:rsidR="001A7610" w:rsidRDefault="00EE54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Корпоративная шина СНГ</w:t>
            </w:r>
          </w:p>
        </w:tc>
        <w:tc>
          <w:tcPr>
            <w:tcW w:w="423" w:type="dxa"/>
          </w:tcPr>
          <w:p w14:paraId="5B3E0AE5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126" w:type="dxa"/>
          </w:tcPr>
          <w:p w14:paraId="7634DD96" w14:textId="77777777" w:rsidR="001A7610" w:rsidRDefault="00EE54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канала интеграции</w:t>
            </w:r>
          </w:p>
        </w:tc>
      </w:tr>
      <w:tr w:rsidR="001A7610" w14:paraId="79D977AD" w14:textId="77777777">
        <w:tc>
          <w:tcPr>
            <w:tcW w:w="1978" w:type="dxa"/>
          </w:tcPr>
          <w:p w14:paraId="7469DA10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Аврора</w:t>
            </w:r>
          </w:p>
        </w:tc>
        <w:tc>
          <w:tcPr>
            <w:tcW w:w="423" w:type="dxa"/>
          </w:tcPr>
          <w:p w14:paraId="1BDF9971" w14:textId="77777777" w:rsidR="001A7610" w:rsidRDefault="00EE54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126" w:type="dxa"/>
          </w:tcPr>
          <w:p w14:paraId="6C0E40D1" w14:textId="77777777" w:rsidR="001A7610" w:rsidRDefault="00EE54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Система источник.</w:t>
            </w:r>
          </w:p>
        </w:tc>
      </w:tr>
      <w:tr w:rsidR="001A7610" w14:paraId="6275F3AE" w14:textId="77777777">
        <w:tc>
          <w:tcPr>
            <w:tcW w:w="1978" w:type="dxa"/>
          </w:tcPr>
          <w:p w14:paraId="26D11B77" w14:textId="77777777" w:rsidR="001A7610" w:rsidRDefault="001A76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3F176232" w14:textId="77777777" w:rsidR="001A7610" w:rsidRDefault="001A761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26" w:type="dxa"/>
          </w:tcPr>
          <w:p w14:paraId="7F1EFA51" w14:textId="77777777" w:rsidR="001A7610" w:rsidRDefault="001A76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123699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6FC563FF" w14:textId="77777777" w:rsidR="001A7610" w:rsidRDefault="00EE54F7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Объекты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7"/>
        <w:gridCol w:w="423"/>
        <w:gridCol w:w="7127"/>
      </w:tblGrid>
      <w:tr w:rsidR="001A7610" w14:paraId="402114D4" w14:textId="77777777">
        <w:tc>
          <w:tcPr>
            <w:tcW w:w="1977" w:type="dxa"/>
            <w:shd w:val="clear" w:color="auto" w:fill="auto"/>
          </w:tcPr>
          <w:p w14:paraId="029A145E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Таможенная декларация на экспорт </w:t>
            </w:r>
          </w:p>
        </w:tc>
        <w:tc>
          <w:tcPr>
            <w:tcW w:w="423" w:type="dxa"/>
          </w:tcPr>
          <w:p w14:paraId="6C0C0ED2" w14:textId="77777777" w:rsidR="001A7610" w:rsidRDefault="00EE54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127" w:type="dxa"/>
          </w:tcPr>
          <w:p w14:paraId="25A182BB" w14:textId="77777777" w:rsidR="001A7610" w:rsidRDefault="00EE54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Бизнес-объект системы. Содержит информацию о </w:t>
            </w:r>
            <w:r>
              <w:rPr>
                <w:rFonts w:ascii="Arial" w:hAnsi="Arial" w:cs="Arial"/>
                <w:sz w:val="24"/>
                <w:szCs w:val="24"/>
              </w:rPr>
              <w:t>товарах, покупателе, стоимости и характеристиках товаров.</w:t>
            </w:r>
          </w:p>
        </w:tc>
      </w:tr>
    </w:tbl>
    <w:p w14:paraId="5028DB23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4A6BAA8D" w14:textId="77777777" w:rsidR="001A7610" w:rsidRDefault="00EE54F7">
      <w:pPr>
        <w:pStyle w:val="1"/>
        <w:numPr>
          <w:ilvl w:val="0"/>
          <w:numId w:val="4"/>
        </w:numPr>
      </w:pPr>
      <w:bookmarkStart w:id="4" w:name="_Toc212019364"/>
      <w:r>
        <w:t>Основание</w:t>
      </w:r>
      <w:bookmarkEnd w:id="4"/>
    </w:p>
    <w:p w14:paraId="1F7ABF16" w14:textId="77777777" w:rsidR="001A7610" w:rsidRDefault="00EE54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4"/>
          <w:szCs w:val="24"/>
        </w:rPr>
        <w:t>План мероприятий по реализации проекта «20.14.22.271_7 Реализация в импортонезависимой</w:t>
      </w:r>
      <w:r>
        <w:rPr>
          <w:rFonts w:ascii="Arial" w:hAnsi="Arial" w:cs="Arial"/>
          <w:sz w:val="24"/>
          <w:szCs w:val="24"/>
        </w:rPr>
        <w:t xml:space="preserve"> информационной системе функциональности по учету НДС (верхний уровень) в ПАО "Сургутнефтегаз"».</w:t>
      </w:r>
    </w:p>
    <w:p w14:paraId="43017CFE" w14:textId="77777777" w:rsidR="001A7610" w:rsidRDefault="00EE54F7">
      <w:pPr>
        <w:pStyle w:val="1"/>
        <w:numPr>
          <w:ilvl w:val="0"/>
          <w:numId w:val="4"/>
        </w:numPr>
      </w:pPr>
      <w:bookmarkStart w:id="5" w:name="_Toc212019365"/>
      <w:r>
        <w:t>Назначение и цель</w:t>
      </w:r>
      <w:bookmarkEnd w:id="5"/>
    </w:p>
    <w:p w14:paraId="2B24F97C" w14:textId="77777777" w:rsidR="001A7610" w:rsidRDefault="00EE54F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Настоящие технические требования предназначены для описания механизмов и требований к интеграции в части данных по ГТД между системами Аврора</w:t>
      </w:r>
      <w:r>
        <w:rPr>
          <w:rFonts w:ascii="Arial" w:hAnsi="Arial" w:cs="Arial"/>
          <w:sz w:val="24"/>
          <w:szCs w:val="24"/>
        </w:rPr>
        <w:t xml:space="preserve"> и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>.</w:t>
      </w:r>
    </w:p>
    <w:p w14:paraId="4483E263" w14:textId="77777777" w:rsidR="001A7610" w:rsidRDefault="00EE54F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Информационный обмен служит для представления данных в системах в единообразном виде в части данных по ГТД ПАО «Сургутнефтегаз» в целом.</w:t>
      </w:r>
    </w:p>
    <w:p w14:paraId="1290CFBA" w14:textId="77777777" w:rsidR="001A7610" w:rsidRDefault="00EE54F7">
      <w:pPr>
        <w:pStyle w:val="1"/>
        <w:numPr>
          <w:ilvl w:val="0"/>
          <w:numId w:val="4"/>
        </w:numPr>
      </w:pPr>
      <w:bookmarkStart w:id="6" w:name="_Toc212019366"/>
      <w:r>
        <w:t>Механизмы передачи данных</w:t>
      </w:r>
      <w:bookmarkEnd w:id="6"/>
    </w:p>
    <w:p w14:paraId="587DCB4A" w14:textId="77777777" w:rsidR="001A7610" w:rsidRDefault="00EE54F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 выполнению специальной операции / нажатии на кнопку выполняется запуск пере</w:t>
      </w:r>
      <w:r>
        <w:rPr>
          <w:rFonts w:ascii="Arial" w:hAnsi="Arial" w:cs="Arial"/>
          <w:sz w:val="24"/>
          <w:szCs w:val="24"/>
        </w:rPr>
        <w:t xml:space="preserve">дачи данных по ГТД (таможенной декларации на экспорт) из системы Аврора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. Данные передаются в формате </w:t>
      </w:r>
      <w:r>
        <w:rPr>
          <w:rFonts w:ascii="Arial" w:hAnsi="Arial" w:cs="Arial"/>
          <w:sz w:val="24"/>
          <w:szCs w:val="24"/>
          <w:lang w:val="en-US"/>
        </w:rPr>
        <w:t>XML</w:t>
      </w:r>
      <w:r>
        <w:rPr>
          <w:rFonts w:ascii="Arial" w:hAnsi="Arial" w:cs="Arial"/>
          <w:sz w:val="24"/>
          <w:szCs w:val="24"/>
        </w:rPr>
        <w:t>.</w:t>
      </w:r>
    </w:p>
    <w:p w14:paraId="6CECC2FA" w14:textId="77777777" w:rsidR="001A7610" w:rsidRDefault="00EE54F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Основным каналом интеграционного обмена является Корпоративная шина СНГ (далее шина). В </w:t>
      </w:r>
      <w:r>
        <w:rPr>
          <w:rFonts w:ascii="Arial" w:hAnsi="Arial" w:cs="Arial"/>
          <w:sz w:val="24"/>
          <w:szCs w:val="24"/>
          <w:lang w:val="en-US"/>
        </w:rPr>
        <w:t>Globa</w:t>
      </w:r>
      <w:bookmarkStart w:id="7" w:name="_Hlk186277886"/>
      <w:r>
        <w:rPr>
          <w:rFonts w:ascii="Arial" w:hAnsi="Arial" w:cs="Arial"/>
          <w:sz w:val="24"/>
          <w:szCs w:val="24"/>
          <w:lang w:val="en-US"/>
        </w:rPr>
        <w:t>l</w:t>
      </w:r>
      <w:bookmarkEnd w:id="7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выполняется обработка полученных данны</w:t>
      </w:r>
      <w:r>
        <w:rPr>
          <w:rFonts w:ascii="Arial" w:hAnsi="Arial" w:cs="Arial"/>
          <w:sz w:val="24"/>
          <w:szCs w:val="24"/>
        </w:rPr>
        <w:t>х. Отправка сообщения с результатом обработки в систему источник не требуется.</w:t>
      </w:r>
    </w:p>
    <w:p w14:paraId="5200DCA4" w14:textId="77777777" w:rsidR="001A7610" w:rsidRDefault="00EE54F7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Создание/изменение записей в системе приемнике производится под пользователем.</w:t>
      </w:r>
    </w:p>
    <w:p w14:paraId="061D681B" w14:textId="77777777" w:rsidR="001A7610" w:rsidRDefault="00EE54F7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Требования к порядку организации интеграции между системой Аврора и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с использованием шины основаны на требованиях к передаче с использованием </w:t>
      </w:r>
      <w:r>
        <w:rPr>
          <w:rFonts w:ascii="Arial" w:hAnsi="Arial" w:cs="Arial"/>
          <w:sz w:val="24"/>
          <w:szCs w:val="24"/>
          <w:lang w:val="en-US"/>
        </w:rPr>
        <w:t>RFC</w:t>
      </w:r>
      <w:r>
        <w:rPr>
          <w:rFonts w:ascii="Arial" w:hAnsi="Arial" w:cs="Arial"/>
          <w:sz w:val="24"/>
          <w:szCs w:val="24"/>
        </w:rPr>
        <w:t>, описанных в документе «ТТ ИО. Global - SAP ERP. Общие технические требования».</w:t>
      </w:r>
    </w:p>
    <w:p w14:paraId="312F9632" w14:textId="77777777" w:rsidR="001A7610" w:rsidRDefault="001A7610">
      <w:pPr>
        <w:ind w:firstLine="709"/>
        <w:jc w:val="both"/>
        <w:rPr>
          <w:rFonts w:ascii="Arial" w:hAnsi="Arial" w:cs="Arial"/>
          <w:sz w:val="24"/>
          <w:szCs w:val="24"/>
        </w:rPr>
        <w:sectPr w:rsidR="001A7610">
          <w:headerReference w:type="first" r:id="rId10"/>
          <w:pgSz w:w="11906" w:h="16838"/>
          <w:pgMar w:top="1134" w:right="678" w:bottom="1134" w:left="1701" w:header="709" w:footer="709" w:gutter="0"/>
          <w:cols w:space="708"/>
          <w:titlePg/>
          <w:docGrid w:linePitch="360"/>
        </w:sectPr>
      </w:pPr>
    </w:p>
    <w:p w14:paraId="09A1D376" w14:textId="77777777" w:rsidR="001A7610" w:rsidRDefault="00EE54F7">
      <w:pPr>
        <w:pStyle w:val="1"/>
        <w:numPr>
          <w:ilvl w:val="0"/>
          <w:numId w:val="4"/>
        </w:numPr>
      </w:pPr>
      <w:bookmarkStart w:id="8" w:name="_Toc212019367"/>
      <w:r>
        <w:lastRenderedPageBreak/>
        <w:t>Интеграция данных по ГТД</w:t>
      </w:r>
      <w:bookmarkEnd w:id="8"/>
    </w:p>
    <w:p w14:paraId="2039FA6F" w14:textId="77777777" w:rsidR="001A7610" w:rsidRDefault="00EE54F7">
      <w:pPr>
        <w:pStyle w:val="2"/>
        <w:numPr>
          <w:ilvl w:val="1"/>
          <w:numId w:val="4"/>
        </w:numPr>
      </w:pPr>
      <w:bookmarkStart w:id="9" w:name="_Toc212019368"/>
      <w:bookmarkEnd w:id="0"/>
      <w:r>
        <w:t>Интеграция таможенных деклараций на экспорт</w:t>
      </w:r>
      <w:bookmarkEnd w:id="9"/>
    </w:p>
    <w:p w14:paraId="6B494060" w14:textId="77777777" w:rsidR="001A7610" w:rsidRDefault="00EE54F7">
      <w:pPr>
        <w:pStyle w:val="3"/>
        <w:numPr>
          <w:ilvl w:val="2"/>
          <w:numId w:val="4"/>
        </w:numPr>
      </w:pPr>
      <w:bookmarkStart w:id="10" w:name="_Toc212019369"/>
      <w:r>
        <w:t>Требования к начальной загрузке данных</w:t>
      </w:r>
      <w:bookmarkEnd w:id="10"/>
    </w:p>
    <w:p w14:paraId="74378AB9" w14:textId="77777777" w:rsidR="001A7610" w:rsidRDefault="00EE54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Начальная загрузка таможенных деклараций на экспорт из системы Аврора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посредством интеграции не предполагает</w:t>
      </w:r>
      <w:r>
        <w:rPr>
          <w:rFonts w:ascii="Arial" w:hAnsi="Arial" w:cs="Arial"/>
          <w:sz w:val="24"/>
          <w:szCs w:val="24"/>
        </w:rPr>
        <w:t>ся.</w:t>
      </w:r>
    </w:p>
    <w:p w14:paraId="11D1D21F" w14:textId="77777777" w:rsidR="001A7610" w:rsidRDefault="00EE54F7">
      <w:pPr>
        <w:pStyle w:val="3"/>
        <w:numPr>
          <w:ilvl w:val="2"/>
          <w:numId w:val="4"/>
        </w:numPr>
      </w:pPr>
      <w:bookmarkStart w:id="11" w:name="_Toc212019370"/>
      <w:r>
        <w:t>Правила асинхронного интеграционного взаимодействия</w:t>
      </w:r>
      <w:bookmarkEnd w:id="11"/>
    </w:p>
    <w:p w14:paraId="3976ACEE" w14:textId="77777777" w:rsidR="001A7610" w:rsidRDefault="00EE54F7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Правила обмена</w:t>
      </w:r>
    </w:p>
    <w:p w14:paraId="18D4ECBF" w14:textId="77777777" w:rsidR="001A7610" w:rsidRDefault="00EE54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Таможенные декларации на экспорт формируются в системе Аврора и передаются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периодически по настраиваемому расписанию (асинхронно).</w:t>
      </w:r>
    </w:p>
    <w:p w14:paraId="3B8B1D66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62F3ACDE" w14:textId="77777777" w:rsidR="001A7610" w:rsidRDefault="00EE54F7">
      <w:pPr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Состав и описание данных</w:t>
      </w:r>
    </w:p>
    <w:p w14:paraId="393BA02F" w14:textId="77777777" w:rsidR="001A7610" w:rsidRDefault="00EE54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Бизнес-объект</w:t>
      </w:r>
      <w:r>
        <w:rPr>
          <w:rFonts w:ascii="Arial" w:hAnsi="Arial" w:cs="Arial"/>
          <w:sz w:val="24"/>
          <w:szCs w:val="24"/>
        </w:rPr>
        <w:t>: Таможенная декларация на экспорт. Содержит информацию о товарах, покупателе, стоимости и характеристиках товаров.</w:t>
      </w:r>
    </w:p>
    <w:p w14:paraId="3F7CF541" w14:textId="77777777" w:rsidR="001A7610" w:rsidRDefault="00EE54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Сущности, содержащие данные, необходимые для интеграции:</w:t>
      </w:r>
    </w:p>
    <w:p w14:paraId="37D991B6" w14:textId="77777777" w:rsidR="001A7610" w:rsidRDefault="00EE54F7">
      <w:pPr>
        <w:pStyle w:val="af9"/>
        <w:numPr>
          <w:ilvl w:val="0"/>
          <w:numId w:val="2"/>
        </w:numPr>
        <w:spacing w:after="240"/>
        <w:ind w:hanging="1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Заголовок таможенной декларации на экспорт (номер, дата, покупатель, контракт);</w:t>
      </w:r>
    </w:p>
    <w:p w14:paraId="30B7B774" w14:textId="77777777" w:rsidR="001A7610" w:rsidRDefault="00EE54F7">
      <w:pPr>
        <w:pStyle w:val="af9"/>
        <w:numPr>
          <w:ilvl w:val="0"/>
          <w:numId w:val="2"/>
        </w:numPr>
        <w:ind w:hanging="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Товары (наименование товара, код товара).</w:t>
      </w:r>
    </w:p>
    <w:p w14:paraId="1305A9CC" w14:textId="77777777" w:rsidR="001A7610" w:rsidRDefault="001A7610">
      <w:pPr>
        <w:rPr>
          <w:rFonts w:ascii="Arial" w:hAnsi="Arial" w:cs="Arial"/>
          <w:sz w:val="24"/>
          <w:szCs w:val="24"/>
        </w:rPr>
      </w:pPr>
    </w:p>
    <w:p w14:paraId="5B4FA39E" w14:textId="77777777" w:rsidR="001A7610" w:rsidRDefault="00EE54F7">
      <w:pPr>
        <w:pStyle w:val="a8"/>
        <w:keepNext/>
        <w:spacing w:after="0"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t xml:space="preserve">. Состав и описание данных для асинхронного интеграционного обмена сущности «Заголовок таможенной </w:t>
      </w:r>
      <w:r>
        <w:t>декларации на экспорт»</w:t>
      </w:r>
    </w:p>
    <w:tbl>
      <w:tblPr>
        <w:tblStyle w:val="afa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 w:rsidR="001A7610" w14:paraId="30DF2C92" w14:textId="77777777">
        <w:trPr>
          <w:tblHeader/>
          <w:jc w:val="center"/>
        </w:trPr>
        <w:tc>
          <w:tcPr>
            <w:tcW w:w="133" w:type="pct"/>
            <w:vMerge w:val="restart"/>
            <w:shd w:val="pct15" w:color="auto" w:fill="auto"/>
          </w:tcPr>
          <w:p w14:paraId="1944BA32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760" w:type="pct"/>
            <w:shd w:val="pct15" w:color="auto" w:fill="auto"/>
          </w:tcPr>
          <w:p w14:paraId="7CA7C2D0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Class: Bs_ExportCustomDeclaration</w:t>
            </w:r>
          </w:p>
        </w:tc>
        <w:tc>
          <w:tcPr>
            <w:tcW w:w="1564" w:type="pct"/>
            <w:gridSpan w:val="3"/>
            <w:shd w:val="pct15" w:color="auto" w:fill="auto"/>
          </w:tcPr>
          <w:p w14:paraId="4AE99DAC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ERP</w:t>
            </w:r>
          </w:p>
        </w:tc>
        <w:tc>
          <w:tcPr>
            <w:tcW w:w="1521" w:type="pct"/>
            <w:gridSpan w:val="4"/>
            <w:shd w:val="pct15" w:color="auto" w:fill="auto"/>
          </w:tcPr>
          <w:p w14:paraId="7F52AFEA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Аврора</w:t>
            </w:r>
          </w:p>
        </w:tc>
        <w:tc>
          <w:tcPr>
            <w:tcW w:w="1022" w:type="pct"/>
            <w:shd w:val="pct15" w:color="auto" w:fill="auto"/>
          </w:tcPr>
          <w:p w14:paraId="22339B72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Примечание, преобразование данных</w:t>
            </w:r>
          </w:p>
        </w:tc>
      </w:tr>
      <w:tr w:rsidR="001A7610" w14:paraId="659D25F8" w14:textId="77777777">
        <w:trPr>
          <w:tblHeader/>
          <w:jc w:val="center"/>
        </w:trPr>
        <w:tc>
          <w:tcPr>
            <w:tcW w:w="133" w:type="pct"/>
            <w:vMerge/>
            <w:shd w:val="pct15" w:color="auto" w:fill="auto"/>
          </w:tcPr>
          <w:p w14:paraId="7CBDB3CD" w14:textId="77777777" w:rsidR="001A7610" w:rsidRDefault="001A76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pct"/>
            <w:shd w:val="pct15" w:color="auto" w:fill="auto"/>
          </w:tcPr>
          <w:p w14:paraId="14A7CCB7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Системное имя столбца</w:t>
            </w:r>
          </w:p>
        </w:tc>
        <w:tc>
          <w:tcPr>
            <w:tcW w:w="670" w:type="pct"/>
            <w:shd w:val="pct15" w:color="auto" w:fill="auto"/>
          </w:tcPr>
          <w:p w14:paraId="04654B18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Класс.атрибут</w:t>
            </w:r>
          </w:p>
        </w:tc>
        <w:tc>
          <w:tcPr>
            <w:tcW w:w="581" w:type="pct"/>
            <w:shd w:val="pct15" w:color="auto" w:fill="auto"/>
          </w:tcPr>
          <w:p w14:paraId="3CFE9D8D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14:paraId="0EEF0F28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69" w:type="pct"/>
            <w:shd w:val="pct15" w:color="auto" w:fill="auto"/>
          </w:tcPr>
          <w:p w14:paraId="04251859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Таблица.Поле</w:t>
            </w:r>
          </w:p>
        </w:tc>
        <w:tc>
          <w:tcPr>
            <w:tcW w:w="536" w:type="pct"/>
            <w:shd w:val="pct15" w:color="auto" w:fill="auto"/>
          </w:tcPr>
          <w:p w14:paraId="1E23C542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14:paraId="5D532DEC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025" w:type="pct"/>
            <w:gridSpan w:val="2"/>
            <w:shd w:val="pct15" w:color="auto" w:fill="auto"/>
          </w:tcPr>
          <w:p w14:paraId="5B15925F" w14:textId="77777777" w:rsidR="001A7610" w:rsidRDefault="001A76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A7610" w:rsidRPr="00A37C73" w14:paraId="0C38A177" w14:textId="77777777">
        <w:trPr>
          <w:jc w:val="center"/>
        </w:trPr>
        <w:tc>
          <w:tcPr>
            <w:tcW w:w="133" w:type="pct"/>
            <w:shd w:val="clear" w:color="auto" w:fill="F2F2F2" w:themeFill="background1" w:themeFillShade="F2"/>
          </w:tcPr>
          <w:p w14:paraId="58C684AB" w14:textId="77777777" w:rsidR="001A7610" w:rsidRDefault="001A7610">
            <w:pPr>
              <w:pStyle w:val="af9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  <w:shd w:val="clear" w:color="auto" w:fill="F2F2F2" w:themeFill="background1" w:themeFillShade="F2"/>
          </w:tcPr>
          <w:p w14:paraId="52DC6B56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StrName: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</w:p>
          <w:p w14:paraId="6D0EAC90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ParentPart: null</w:t>
            </w:r>
          </w:p>
        </w:tc>
        <w:tc>
          <w:tcPr>
            <w:tcW w:w="670" w:type="pct"/>
            <w:shd w:val="clear" w:color="auto" w:fill="F2F2F2" w:themeFill="background1" w:themeFillShade="F2"/>
          </w:tcPr>
          <w:p w14:paraId="66FF06D9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1" w:type="pct"/>
            <w:shd w:val="clear" w:color="auto" w:fill="F2F2F2" w:themeFill="background1" w:themeFillShade="F2"/>
          </w:tcPr>
          <w:p w14:paraId="60B69A75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14:paraId="58505C5C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69" w:type="pct"/>
            <w:shd w:val="clear" w:color="auto" w:fill="F2F2F2" w:themeFill="background1" w:themeFillShade="F2"/>
          </w:tcPr>
          <w:p w14:paraId="1DF417CE" w14:textId="77777777" w:rsidR="001A7610" w:rsidRDefault="001A7610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  <w:shd w:val="clear" w:color="auto" w:fill="F2F2F2" w:themeFill="background1" w:themeFillShade="F2"/>
          </w:tcPr>
          <w:p w14:paraId="38420045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14:paraId="57112704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shd w:val="clear" w:color="auto" w:fill="F2F2F2" w:themeFill="background1" w:themeFillShade="F2"/>
          </w:tcPr>
          <w:p w14:paraId="48129706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A7610" w14:paraId="35E909B5" w14:textId="77777777">
        <w:trPr>
          <w:jc w:val="center"/>
        </w:trPr>
        <w:tc>
          <w:tcPr>
            <w:tcW w:w="133" w:type="pct"/>
            <w:vAlign w:val="center"/>
          </w:tcPr>
          <w:p w14:paraId="7397155D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14:paraId="061B8767" w14:textId="2FA61792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MarkDescription</w:t>
            </w:r>
          </w:p>
        </w:tc>
        <w:tc>
          <w:tcPr>
            <w:tcW w:w="670" w:type="pct"/>
          </w:tcPr>
          <w:p w14:paraId="69261C35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idObjectType</w:t>
            </w:r>
          </w:p>
        </w:tc>
        <w:tc>
          <w:tcPr>
            <w:tcW w:w="581" w:type="pct"/>
          </w:tcPr>
          <w:p w14:paraId="76151A62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документа</w:t>
            </w:r>
          </w:p>
        </w:tc>
        <w:tc>
          <w:tcPr>
            <w:tcW w:w="313" w:type="pct"/>
          </w:tcPr>
          <w:p w14:paraId="22A2087B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14:paraId="3D2C194C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Md_declaration.doc_type_id</w:t>
            </w:r>
          </w:p>
        </w:tc>
        <w:tc>
          <w:tcPr>
            <w:tcW w:w="536" w:type="pct"/>
            <w:vAlign w:val="center"/>
          </w:tcPr>
          <w:p w14:paraId="5FD33E71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Вид ГТД</w:t>
            </w:r>
          </w:p>
        </w:tc>
        <w:tc>
          <w:tcPr>
            <w:tcW w:w="313" w:type="pct"/>
          </w:tcPr>
          <w:p w14:paraId="460F59FB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Uuid </w:t>
            </w:r>
          </w:p>
        </w:tc>
        <w:tc>
          <w:tcPr>
            <w:tcW w:w="1025" w:type="pct"/>
            <w:gridSpan w:val="2"/>
          </w:tcPr>
          <w:p w14:paraId="55FBBF5C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Вид ГТД: полная, временная</w:t>
            </w:r>
          </w:p>
        </w:tc>
      </w:tr>
      <w:tr w:rsidR="001A7610" w14:paraId="4853F3E9" w14:textId="77777777">
        <w:trPr>
          <w:jc w:val="center"/>
        </w:trPr>
        <w:tc>
          <w:tcPr>
            <w:tcW w:w="133" w:type="pct"/>
            <w:vAlign w:val="center"/>
          </w:tcPr>
          <w:p w14:paraId="48264410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7F0DF572" w14:textId="3E06ECDC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GTDNumber</w:t>
            </w:r>
          </w:p>
        </w:tc>
        <w:tc>
          <w:tcPr>
            <w:tcW w:w="670" w:type="pct"/>
          </w:tcPr>
          <w:p w14:paraId="558E1C3C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sNumDocIn</w:t>
            </w:r>
          </w:p>
        </w:tc>
        <w:tc>
          <w:tcPr>
            <w:tcW w:w="581" w:type="pct"/>
          </w:tcPr>
          <w:p w14:paraId="47DE1385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вх.</w:t>
            </w:r>
          </w:p>
        </w:tc>
        <w:tc>
          <w:tcPr>
            <w:tcW w:w="313" w:type="pct"/>
          </w:tcPr>
          <w:p w14:paraId="2D9FBA79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669" w:type="pct"/>
          </w:tcPr>
          <w:p w14:paraId="63C16FAC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Md_declaration.gtd_num</w:t>
            </w:r>
          </w:p>
        </w:tc>
        <w:tc>
          <w:tcPr>
            <w:tcW w:w="536" w:type="pct"/>
            <w:vAlign w:val="center"/>
          </w:tcPr>
          <w:p w14:paraId="0EE610C6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Номер ГТД</w:t>
            </w:r>
          </w:p>
        </w:tc>
        <w:tc>
          <w:tcPr>
            <w:tcW w:w="313" w:type="pct"/>
          </w:tcPr>
          <w:p w14:paraId="2B1E3600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Varchar(25)</w:t>
            </w:r>
          </w:p>
        </w:tc>
        <w:tc>
          <w:tcPr>
            <w:tcW w:w="1025" w:type="pct"/>
            <w:gridSpan w:val="2"/>
          </w:tcPr>
          <w:p w14:paraId="410A6F13" w14:textId="77777777" w:rsidR="001A7610" w:rsidRDefault="001A76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610" w14:paraId="484CED1A" w14:textId="77777777">
        <w:trPr>
          <w:jc w:val="center"/>
        </w:trPr>
        <w:tc>
          <w:tcPr>
            <w:tcW w:w="133" w:type="pct"/>
            <w:vAlign w:val="center"/>
          </w:tcPr>
          <w:p w14:paraId="57C0FA79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2155E314" w14:textId="08BB8595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RegistrationDate</w:t>
            </w:r>
          </w:p>
        </w:tc>
        <w:tc>
          <w:tcPr>
            <w:tcW w:w="670" w:type="pct"/>
          </w:tcPr>
          <w:p w14:paraId="76F5380D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dDocIn</w:t>
            </w:r>
          </w:p>
        </w:tc>
        <w:tc>
          <w:tcPr>
            <w:tcW w:w="581" w:type="pct"/>
          </w:tcPr>
          <w:p w14:paraId="387436FF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вх.</w:t>
            </w:r>
          </w:p>
        </w:tc>
        <w:tc>
          <w:tcPr>
            <w:tcW w:w="313" w:type="pct"/>
          </w:tcPr>
          <w:p w14:paraId="5D6E9A3E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Date</w:t>
            </w:r>
          </w:p>
        </w:tc>
        <w:tc>
          <w:tcPr>
            <w:tcW w:w="669" w:type="pct"/>
          </w:tcPr>
          <w:p w14:paraId="772032E8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Md_declaration.gtd_date</w:t>
            </w:r>
          </w:p>
        </w:tc>
        <w:tc>
          <w:tcPr>
            <w:tcW w:w="536" w:type="pct"/>
            <w:vAlign w:val="center"/>
          </w:tcPr>
          <w:p w14:paraId="294DEE30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Дата</w:t>
            </w:r>
          </w:p>
        </w:tc>
        <w:tc>
          <w:tcPr>
            <w:tcW w:w="313" w:type="pct"/>
          </w:tcPr>
          <w:p w14:paraId="2DB75D50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025" w:type="pct"/>
            <w:gridSpan w:val="2"/>
          </w:tcPr>
          <w:p w14:paraId="6E83908A" w14:textId="77777777" w:rsidR="001A7610" w:rsidRDefault="001A76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610" w14:paraId="026D132D" w14:textId="77777777">
        <w:trPr>
          <w:jc w:val="center"/>
        </w:trPr>
        <w:tc>
          <w:tcPr>
            <w:tcW w:w="133" w:type="pct"/>
          </w:tcPr>
          <w:p w14:paraId="4A30D8BC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4EF7796A" w14:textId="53EF7A1C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PeriodDecl</w:t>
            </w:r>
          </w:p>
        </w:tc>
        <w:tc>
          <w:tcPr>
            <w:tcW w:w="670" w:type="pct"/>
          </w:tcPr>
          <w:p w14:paraId="06F9BE8A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>idPeriodDecl</w:t>
            </w:r>
          </w:p>
        </w:tc>
        <w:tc>
          <w:tcPr>
            <w:tcW w:w="581" w:type="pct"/>
          </w:tcPr>
          <w:p w14:paraId="360F5E3E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Временная таможенная декларация</w:t>
            </w:r>
          </w:p>
        </w:tc>
        <w:tc>
          <w:tcPr>
            <w:tcW w:w="313" w:type="pct"/>
          </w:tcPr>
          <w:p w14:paraId="069F4D83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14:paraId="286D5E07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Md_declaration.gtd_tempopary</w:t>
            </w:r>
          </w:p>
        </w:tc>
        <w:tc>
          <w:tcPr>
            <w:tcW w:w="536" w:type="pct"/>
            <w:vAlign w:val="center"/>
          </w:tcPr>
          <w:p w14:paraId="06BCF84E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Временная</w:t>
            </w:r>
          </w:p>
        </w:tc>
        <w:tc>
          <w:tcPr>
            <w:tcW w:w="313" w:type="pct"/>
          </w:tcPr>
          <w:p w14:paraId="1A8E7FEF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025" w:type="pct"/>
            <w:gridSpan w:val="2"/>
          </w:tcPr>
          <w:p w14:paraId="67CEC51F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Ссылка на временную ГТД в полной ГТД</w:t>
            </w:r>
          </w:p>
        </w:tc>
      </w:tr>
      <w:tr w:rsidR="001A7610" w14:paraId="456C0ECB" w14:textId="77777777">
        <w:trPr>
          <w:jc w:val="center"/>
        </w:trPr>
        <w:tc>
          <w:tcPr>
            <w:tcW w:w="133" w:type="pct"/>
          </w:tcPr>
          <w:p w14:paraId="2D8561D1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710658CE" w14:textId="0BEFC0AF" w:rsidR="001A7610" w:rsidRDefault="000F49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Customer</w:t>
            </w:r>
            <w:r w:rsidR="00A37C73" w:rsidRPr="00A37C73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670" w:type="pct"/>
          </w:tcPr>
          <w:p w14:paraId="1B89CB6D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>gidSettler</w:t>
            </w:r>
          </w:p>
        </w:tc>
        <w:tc>
          <w:tcPr>
            <w:tcW w:w="581" w:type="pct"/>
          </w:tcPr>
          <w:p w14:paraId="104DE05A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Контрагент</w:t>
            </w:r>
          </w:p>
        </w:tc>
        <w:tc>
          <w:tcPr>
            <w:tcW w:w="313" w:type="pct"/>
          </w:tcPr>
          <w:p w14:paraId="16A4A8AD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</w:p>
        </w:tc>
        <w:tc>
          <w:tcPr>
            <w:tcW w:w="669" w:type="pct"/>
          </w:tcPr>
          <w:p w14:paraId="45E7AF5E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Md_declaration.buyer_id</w:t>
            </w:r>
          </w:p>
        </w:tc>
        <w:tc>
          <w:tcPr>
            <w:tcW w:w="536" w:type="pct"/>
          </w:tcPr>
          <w:p w14:paraId="643F7DAA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Покупатель</w:t>
            </w:r>
          </w:p>
        </w:tc>
        <w:tc>
          <w:tcPr>
            <w:tcW w:w="313" w:type="pct"/>
          </w:tcPr>
          <w:p w14:paraId="72C4DEC3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</w:p>
          <w:p w14:paraId="05A2D049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vAlign w:val="center"/>
          </w:tcPr>
          <w:p w14:paraId="521D344B" w14:textId="77777777" w:rsidR="001A7610" w:rsidRDefault="001A76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610" w14:paraId="031D2A49" w14:textId="77777777">
        <w:trPr>
          <w:jc w:val="center"/>
        </w:trPr>
        <w:tc>
          <w:tcPr>
            <w:tcW w:w="133" w:type="pct"/>
          </w:tcPr>
          <w:p w14:paraId="5D804AA6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1DBCB865" w14:textId="1683B0E3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Contract</w:t>
            </w:r>
            <w:r w:rsidR="00147581">
              <w:rPr>
                <w:rFonts w:ascii="Arial" w:hAnsi="Arial" w:cs="Arial"/>
                <w:sz w:val="20"/>
                <w:szCs w:val="20"/>
                <w:lang w:val="en-US"/>
              </w:rPr>
              <w:t>Id</w:t>
            </w:r>
          </w:p>
        </w:tc>
        <w:tc>
          <w:tcPr>
            <w:tcW w:w="670" w:type="pct"/>
          </w:tcPr>
          <w:p w14:paraId="6BFAB85B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gidContract</w:t>
            </w:r>
          </w:p>
        </w:tc>
        <w:tc>
          <w:tcPr>
            <w:tcW w:w="581" w:type="pct"/>
          </w:tcPr>
          <w:p w14:paraId="0C7F67B5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Договор</w:t>
            </w:r>
          </w:p>
        </w:tc>
        <w:tc>
          <w:tcPr>
            <w:tcW w:w="313" w:type="pct"/>
          </w:tcPr>
          <w:p w14:paraId="0EBA4CEB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669" w:type="pct"/>
          </w:tcPr>
          <w:p w14:paraId="1C2595C3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Md_declaration.dogovor_id</w:t>
            </w:r>
          </w:p>
          <w:p w14:paraId="68EF0AC4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</w:tcPr>
          <w:p w14:paraId="357CF27F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Договор</w:t>
            </w:r>
          </w:p>
        </w:tc>
        <w:tc>
          <w:tcPr>
            <w:tcW w:w="313" w:type="pct"/>
          </w:tcPr>
          <w:p w14:paraId="156FBE31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025" w:type="pct"/>
            <w:gridSpan w:val="2"/>
            <w:vAlign w:val="center"/>
          </w:tcPr>
          <w:p w14:paraId="7AE01F49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Ищем контракт по передаваемому идентификатору контракта Глобал</w:t>
            </w:r>
          </w:p>
        </w:tc>
      </w:tr>
      <w:tr w:rsidR="001A7610" w14:paraId="303CCA04" w14:textId="77777777">
        <w:trPr>
          <w:jc w:val="center"/>
        </w:trPr>
        <w:tc>
          <w:tcPr>
            <w:tcW w:w="133" w:type="pct"/>
          </w:tcPr>
          <w:p w14:paraId="10EBE241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14:paraId="44537FC7" w14:textId="4A7E491F" w:rsidR="001A7610" w:rsidRDefault="000F4934">
            <w:pPr>
              <w:rPr>
                <w:rFonts w:ascii="Arial" w:hAnsi="Arial" w:cs="Arial"/>
                <w:sz w:val="20"/>
                <w:szCs w:val="20"/>
              </w:rPr>
            </w:pPr>
            <w:r w:rsidRPr="000F4934">
              <w:rPr>
                <w:rFonts w:ascii="Arial" w:hAnsi="Arial" w:cs="Arial"/>
                <w:sz w:val="20"/>
                <w:szCs w:val="20"/>
              </w:rPr>
              <w:t>GrossWeightQuantity</w:t>
            </w:r>
          </w:p>
        </w:tc>
        <w:tc>
          <w:tcPr>
            <w:tcW w:w="670" w:type="pct"/>
          </w:tcPr>
          <w:p w14:paraId="5259CD8F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nQtyGross</w:t>
            </w:r>
          </w:p>
        </w:tc>
        <w:tc>
          <w:tcPr>
            <w:tcW w:w="581" w:type="pct"/>
          </w:tcPr>
          <w:p w14:paraId="5A2FBFBD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Разрешенный объем, т</w:t>
            </w:r>
          </w:p>
        </w:tc>
        <w:tc>
          <w:tcPr>
            <w:tcW w:w="313" w:type="pct"/>
          </w:tcPr>
          <w:p w14:paraId="74DB98DD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</w:p>
        </w:tc>
        <w:tc>
          <w:tcPr>
            <w:tcW w:w="669" w:type="pct"/>
          </w:tcPr>
          <w:p w14:paraId="27844302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Md_declaration.brutto</w:t>
            </w:r>
          </w:p>
        </w:tc>
        <w:tc>
          <w:tcPr>
            <w:tcW w:w="536" w:type="pct"/>
            <w:vAlign w:val="center"/>
          </w:tcPr>
          <w:p w14:paraId="180B6CC9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брутто</w:t>
            </w:r>
          </w:p>
        </w:tc>
        <w:tc>
          <w:tcPr>
            <w:tcW w:w="313" w:type="pct"/>
          </w:tcPr>
          <w:p w14:paraId="09591252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(16, 3) </w:t>
            </w:r>
          </w:p>
        </w:tc>
        <w:tc>
          <w:tcPr>
            <w:tcW w:w="1025" w:type="pct"/>
            <w:gridSpan w:val="2"/>
          </w:tcPr>
          <w:p w14:paraId="39208937" w14:textId="77777777" w:rsidR="001A7610" w:rsidRDefault="00EE54F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Вес брутто, т</w:t>
            </w:r>
          </w:p>
        </w:tc>
      </w:tr>
      <w:tr w:rsidR="001A7610" w14:paraId="368CEE81" w14:textId="77777777">
        <w:trPr>
          <w:jc w:val="center"/>
        </w:trPr>
        <w:tc>
          <w:tcPr>
            <w:tcW w:w="133" w:type="pct"/>
          </w:tcPr>
          <w:p w14:paraId="271EB66C" w14:textId="77777777" w:rsidR="001A7610" w:rsidRDefault="001A761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14:paraId="60492533" w14:textId="3E1CA43F" w:rsidR="001A7610" w:rsidRDefault="00A37C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37C73">
              <w:rPr>
                <w:rFonts w:ascii="Arial" w:hAnsi="Arial" w:cs="Arial"/>
                <w:sz w:val="20"/>
                <w:szCs w:val="20"/>
                <w:lang w:val="en-US"/>
              </w:rPr>
              <w:t>Custom</w:t>
            </w:r>
            <w:r w:rsidR="00147581">
              <w:rPr>
                <w:rFonts w:ascii="Arial" w:hAnsi="Arial" w:cs="Arial"/>
                <w:sz w:val="20"/>
                <w:szCs w:val="20"/>
                <w:lang w:val="en-US"/>
              </w:rPr>
              <w:t>sCost</w:t>
            </w:r>
          </w:p>
        </w:tc>
        <w:tc>
          <w:tcPr>
            <w:tcW w:w="670" w:type="pct"/>
          </w:tcPr>
          <w:p w14:paraId="7124F8CE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nCustomValue</w:t>
            </w:r>
          </w:p>
        </w:tc>
        <w:tc>
          <w:tcPr>
            <w:tcW w:w="581" w:type="pct"/>
          </w:tcPr>
          <w:p w14:paraId="3269EA87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Таможенная стоимость в НВ</w:t>
            </w:r>
          </w:p>
        </w:tc>
        <w:tc>
          <w:tcPr>
            <w:tcW w:w="313" w:type="pct"/>
          </w:tcPr>
          <w:p w14:paraId="245701E7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</w:p>
        </w:tc>
        <w:tc>
          <w:tcPr>
            <w:tcW w:w="669" w:type="pct"/>
            <w:shd w:val="clear" w:color="auto" w:fill="auto"/>
          </w:tcPr>
          <w:p w14:paraId="38F0D1FC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Md_declaration.customs_cost</w:t>
            </w:r>
          </w:p>
        </w:tc>
        <w:tc>
          <w:tcPr>
            <w:tcW w:w="536" w:type="pct"/>
          </w:tcPr>
          <w:p w14:paraId="09B48CF0" w14:textId="77777777" w:rsidR="001A7610" w:rsidRDefault="00EE54F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Таможенная стоимость</w:t>
            </w:r>
          </w:p>
        </w:tc>
        <w:tc>
          <w:tcPr>
            <w:tcW w:w="313" w:type="pct"/>
          </w:tcPr>
          <w:p w14:paraId="6E8F853D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(17, 2 </w:t>
            </w:r>
          </w:p>
        </w:tc>
        <w:tc>
          <w:tcPr>
            <w:tcW w:w="1025" w:type="pct"/>
            <w:gridSpan w:val="2"/>
          </w:tcPr>
          <w:p w14:paraId="12F75BE4" w14:textId="77777777" w:rsidR="001A7610" w:rsidRDefault="001A76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A698F0" w14:textId="77777777" w:rsidR="001A7610" w:rsidRDefault="001A7610"/>
    <w:p w14:paraId="2D46135E" w14:textId="77777777" w:rsidR="001A7610" w:rsidRDefault="00EE54F7">
      <w:pPr>
        <w:pStyle w:val="a8"/>
        <w:keepNext/>
        <w:spacing w:after="0"/>
        <w:jc w:val="right"/>
      </w:pPr>
      <w:r>
        <w:t xml:space="preserve">Таблица 2. </w:t>
      </w:r>
      <w:r>
        <w:t>Состав и описание данных для асинхронного интеграционного обмена сущности «Товары»</w:t>
      </w:r>
    </w:p>
    <w:tbl>
      <w:tblPr>
        <w:tblStyle w:val="afa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 w:rsidR="001A7610" w14:paraId="20243F31" w14:textId="77777777">
        <w:trPr>
          <w:tblHeader/>
          <w:jc w:val="center"/>
        </w:trPr>
        <w:tc>
          <w:tcPr>
            <w:tcW w:w="133" w:type="pct"/>
            <w:vMerge w:val="restart"/>
            <w:shd w:val="pct15" w:color="auto" w:fill="auto"/>
          </w:tcPr>
          <w:p w14:paraId="7461D15D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760" w:type="pct"/>
            <w:shd w:val="pct15" w:color="auto" w:fill="auto"/>
          </w:tcPr>
          <w:p w14:paraId="67A9E348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Class: Bs_ExportCustomDeclGoods</w:t>
            </w:r>
          </w:p>
        </w:tc>
        <w:tc>
          <w:tcPr>
            <w:tcW w:w="1564" w:type="pct"/>
            <w:gridSpan w:val="3"/>
            <w:shd w:val="pct15" w:color="auto" w:fill="auto"/>
          </w:tcPr>
          <w:p w14:paraId="7B811CCA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ERP</w:t>
            </w:r>
          </w:p>
        </w:tc>
        <w:tc>
          <w:tcPr>
            <w:tcW w:w="1521" w:type="pct"/>
            <w:gridSpan w:val="4"/>
            <w:shd w:val="pct15" w:color="auto" w:fill="auto"/>
          </w:tcPr>
          <w:p w14:paraId="233A7735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Аврора</w:t>
            </w:r>
          </w:p>
        </w:tc>
        <w:tc>
          <w:tcPr>
            <w:tcW w:w="1022" w:type="pct"/>
            <w:shd w:val="pct15" w:color="auto" w:fill="auto"/>
          </w:tcPr>
          <w:p w14:paraId="14FBEF9E" w14:textId="77777777" w:rsidR="001A7610" w:rsidRDefault="00EE54F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Примечание, преобразование данных</w:t>
            </w:r>
          </w:p>
        </w:tc>
      </w:tr>
      <w:tr w:rsidR="001A7610" w14:paraId="387EB4B3" w14:textId="77777777">
        <w:trPr>
          <w:tblHeader/>
          <w:jc w:val="center"/>
        </w:trPr>
        <w:tc>
          <w:tcPr>
            <w:tcW w:w="133" w:type="pct"/>
            <w:vMerge/>
            <w:shd w:val="pct15" w:color="auto" w:fill="auto"/>
          </w:tcPr>
          <w:p w14:paraId="2998F685" w14:textId="77777777" w:rsidR="001A7610" w:rsidRDefault="001A76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pct"/>
            <w:shd w:val="pct15" w:color="auto" w:fill="auto"/>
          </w:tcPr>
          <w:p w14:paraId="6C361D3D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Системное имя столбца</w:t>
            </w:r>
          </w:p>
        </w:tc>
        <w:tc>
          <w:tcPr>
            <w:tcW w:w="670" w:type="pct"/>
            <w:shd w:val="pct15" w:color="auto" w:fill="auto"/>
          </w:tcPr>
          <w:p w14:paraId="730C8D97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Класс.атрибут</w:t>
            </w:r>
          </w:p>
        </w:tc>
        <w:tc>
          <w:tcPr>
            <w:tcW w:w="581" w:type="pct"/>
            <w:shd w:val="pct15" w:color="auto" w:fill="auto"/>
          </w:tcPr>
          <w:p w14:paraId="43A0D15E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14:paraId="0B8CD234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69" w:type="pct"/>
            <w:shd w:val="pct15" w:color="auto" w:fill="auto"/>
          </w:tcPr>
          <w:p w14:paraId="3468BA35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Таблица.Поле</w:t>
            </w:r>
          </w:p>
        </w:tc>
        <w:tc>
          <w:tcPr>
            <w:tcW w:w="536" w:type="pct"/>
            <w:shd w:val="pct15" w:color="auto" w:fill="auto"/>
          </w:tcPr>
          <w:p w14:paraId="30BC4844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14:paraId="422D1758" w14:textId="77777777" w:rsidR="001A7610" w:rsidRDefault="00EE54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025" w:type="pct"/>
            <w:gridSpan w:val="2"/>
            <w:shd w:val="pct15" w:color="auto" w:fill="auto"/>
          </w:tcPr>
          <w:p w14:paraId="56E55F1D" w14:textId="77777777" w:rsidR="001A7610" w:rsidRDefault="001A76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A7610" w:rsidRPr="00A37C73" w14:paraId="425386BE" w14:textId="77777777">
        <w:trPr>
          <w:jc w:val="center"/>
        </w:trPr>
        <w:tc>
          <w:tcPr>
            <w:tcW w:w="133" w:type="pct"/>
            <w:shd w:val="clear" w:color="auto" w:fill="F2F2F2" w:themeFill="background1" w:themeFillShade="F2"/>
          </w:tcPr>
          <w:p w14:paraId="6FE716B5" w14:textId="77777777" w:rsidR="001A7610" w:rsidRDefault="001A7610">
            <w:pPr>
              <w:pStyle w:val="af9"/>
              <w:ind w:left="132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  <w:shd w:val="clear" w:color="auto" w:fill="F2F2F2" w:themeFill="background1" w:themeFillShade="F2"/>
          </w:tcPr>
          <w:p w14:paraId="0F5F1C3C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StrName: Bs_ExportCustomDeclGoods</w:t>
            </w:r>
          </w:p>
          <w:p w14:paraId="4ECAF4A6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ParentPart: null</w:t>
            </w:r>
          </w:p>
        </w:tc>
        <w:tc>
          <w:tcPr>
            <w:tcW w:w="670" w:type="pct"/>
            <w:shd w:val="clear" w:color="auto" w:fill="F2F2F2" w:themeFill="background1" w:themeFillShade="F2"/>
          </w:tcPr>
          <w:p w14:paraId="5B186FC0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1" w:type="pct"/>
            <w:shd w:val="clear" w:color="auto" w:fill="F2F2F2" w:themeFill="background1" w:themeFillShade="F2"/>
          </w:tcPr>
          <w:p w14:paraId="538404B9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14:paraId="0AB5FD3C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69" w:type="pct"/>
            <w:shd w:val="clear" w:color="auto" w:fill="F2F2F2" w:themeFill="background1" w:themeFillShade="F2"/>
          </w:tcPr>
          <w:p w14:paraId="02C099FA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  <w:shd w:val="clear" w:color="auto" w:fill="F2F2F2" w:themeFill="background1" w:themeFillShade="F2"/>
          </w:tcPr>
          <w:p w14:paraId="31DFC19F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14:paraId="7013B446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shd w:val="clear" w:color="auto" w:fill="F2F2F2" w:themeFill="background1" w:themeFillShade="F2"/>
          </w:tcPr>
          <w:p w14:paraId="3EF7C529" w14:textId="77777777" w:rsidR="001A7610" w:rsidRDefault="001A761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A7610" w14:paraId="3DE6FA5C" w14:textId="77777777">
        <w:trPr>
          <w:jc w:val="center"/>
        </w:trPr>
        <w:tc>
          <w:tcPr>
            <w:tcW w:w="133" w:type="pct"/>
          </w:tcPr>
          <w:p w14:paraId="1965007E" w14:textId="77777777" w:rsidR="001A7610" w:rsidRDefault="001A7610">
            <w:pPr>
              <w:pStyle w:val="af9"/>
              <w:numPr>
                <w:ilvl w:val="0"/>
                <w:numId w:val="5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14:paraId="52D0909A" w14:textId="76314B0E" w:rsidR="001A7610" w:rsidRDefault="000F49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4934">
              <w:rPr>
                <w:rFonts w:ascii="Arial" w:hAnsi="Arial" w:cs="Arial"/>
                <w:sz w:val="20"/>
                <w:szCs w:val="20"/>
                <w:lang w:val="en-US"/>
              </w:rPr>
              <w:t>GoodsDescription</w:t>
            </w:r>
          </w:p>
        </w:tc>
        <w:tc>
          <w:tcPr>
            <w:tcW w:w="670" w:type="pct"/>
          </w:tcPr>
          <w:p w14:paraId="264851F1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Bs_ExportCustomDeclGoods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gidGds</w:t>
            </w:r>
          </w:p>
        </w:tc>
        <w:tc>
          <w:tcPr>
            <w:tcW w:w="581" w:type="pct"/>
          </w:tcPr>
          <w:p w14:paraId="3F7C56E7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Товар</w:t>
            </w:r>
          </w:p>
        </w:tc>
        <w:tc>
          <w:tcPr>
            <w:tcW w:w="313" w:type="pct"/>
          </w:tcPr>
          <w:p w14:paraId="201EB948" w14:textId="77777777" w:rsidR="001A7610" w:rsidRDefault="00EE54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14:paraId="55B6BF12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Md_declaration.material_id</w:t>
            </w:r>
          </w:p>
        </w:tc>
        <w:tc>
          <w:tcPr>
            <w:tcW w:w="536" w:type="pct"/>
          </w:tcPr>
          <w:p w14:paraId="5ECCED0E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материал</w:t>
            </w:r>
          </w:p>
        </w:tc>
        <w:tc>
          <w:tcPr>
            <w:tcW w:w="313" w:type="pct"/>
          </w:tcPr>
          <w:p w14:paraId="76AF11EB" w14:textId="77777777" w:rsidR="001A7610" w:rsidRDefault="00EE54F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025" w:type="pct"/>
            <w:gridSpan w:val="2"/>
          </w:tcPr>
          <w:p w14:paraId="354F4A6D" w14:textId="77777777" w:rsidR="001A7610" w:rsidRDefault="001A76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1F6F31" w14:textId="77777777" w:rsidR="001A7610" w:rsidRDefault="001A7610"/>
    <w:sectPr w:rsidR="001A7610">
      <w:pgSz w:w="16838" w:h="11906" w:orient="landscape"/>
      <w:pgMar w:top="1418" w:right="1134" w:bottom="567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FE587" w14:textId="77777777" w:rsidR="00EE54F7" w:rsidRDefault="00EE54F7">
      <w:r>
        <w:separator/>
      </w:r>
    </w:p>
  </w:endnote>
  <w:endnote w:type="continuationSeparator" w:id="0">
    <w:p w14:paraId="27569104" w14:textId="77777777" w:rsidR="00EE54F7" w:rsidRDefault="00EE5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DBAC3" w14:textId="77777777" w:rsidR="00EE54F7" w:rsidRDefault="00EE54F7">
      <w:r>
        <w:separator/>
      </w:r>
    </w:p>
  </w:footnote>
  <w:footnote w:type="continuationSeparator" w:id="0">
    <w:p w14:paraId="58C6643F" w14:textId="77777777" w:rsidR="00EE54F7" w:rsidRDefault="00EE5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8E44" w14:textId="77777777" w:rsidR="001A7610" w:rsidRDefault="00EE54F7">
    <w:pPr>
      <w:pStyle w:val="af0"/>
      <w:jc w:val="right"/>
    </w:pPr>
    <w:r>
      <w:rPr>
        <w:rFonts w:ascii="Arial" w:eastAsia="Calibri" w:hAnsi="Arial" w:cs="Arial"/>
        <w:sz w:val="20"/>
        <w:szCs w:val="20"/>
        <w:lang w:eastAsia="en-US"/>
      </w:rPr>
      <w:t>ТТ Информационного обмена между системами Global ERP и Аврора в части данных по ГТД ПАО «Сургутнефтегаз»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0768" w14:textId="77777777" w:rsidR="001A7610" w:rsidRDefault="001A7610">
    <w:pPr>
      <w:pStyle w:val="af0"/>
      <w:jc w:val="right"/>
      <w:rPr>
        <w:rFonts w:ascii="Arial" w:hAnsi="Arial" w:cs="Arial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57234" w14:textId="77777777" w:rsidR="001A7610" w:rsidRDefault="00EE54F7">
    <w:pPr>
      <w:pStyle w:val="af0"/>
      <w:jc w:val="right"/>
      <w:rPr>
        <w:rFonts w:ascii="Arial" w:hAnsi="Arial" w:cs="Arial"/>
        <w:sz w:val="20"/>
        <w:szCs w:val="20"/>
      </w:rPr>
    </w:pPr>
    <w:r>
      <w:rPr>
        <w:rFonts w:ascii="Arial" w:eastAsia="Calibri" w:hAnsi="Arial" w:cs="Arial"/>
        <w:sz w:val="20"/>
        <w:szCs w:val="20"/>
        <w:lang w:eastAsia="en-US"/>
      </w:rPr>
      <w:t>ТТ Информационного обмена между системами Global ERP и Аврора в части данных по ГТД ПАО «Сургутне</w:t>
    </w:r>
    <w:r>
      <w:rPr>
        <w:rFonts w:ascii="Arial" w:eastAsia="Calibri" w:hAnsi="Arial" w:cs="Arial"/>
        <w:sz w:val="20"/>
        <w:szCs w:val="20"/>
        <w:lang w:eastAsia="en-US"/>
      </w:rPr>
      <w:t>фтегаз»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B28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D06409"/>
    <w:multiLevelType w:val="hybridMultilevel"/>
    <w:tmpl w:val="FCC0162E"/>
    <w:lvl w:ilvl="0" w:tplc="4F806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8CE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A69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0B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3E09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3AD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AC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8C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B0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434C5"/>
    <w:multiLevelType w:val="multilevel"/>
    <w:tmpl w:val="74DEF148"/>
    <w:lvl w:ilvl="0">
      <w:start w:val="1"/>
      <w:numFmt w:val="decimal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5B563EC2"/>
    <w:multiLevelType w:val="multilevel"/>
    <w:tmpl w:val="D368FACA"/>
    <w:lvl w:ilvl="0">
      <w:start w:val="1"/>
      <w:numFmt w:val="decimal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6B851578"/>
    <w:multiLevelType w:val="multilevel"/>
    <w:tmpl w:val="AC1E8970"/>
    <w:lvl w:ilvl="0">
      <w:start w:val="1"/>
      <w:numFmt w:val="decimal"/>
      <w:suff w:val="space"/>
      <w:lvlText w:val="%1."/>
      <w:lvlJc w:val="left"/>
      <w:pPr>
        <w:ind w:left="1352" w:hanging="1068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10"/>
    <w:rsid w:val="000F4934"/>
    <w:rsid w:val="00147581"/>
    <w:rsid w:val="001A7610"/>
    <w:rsid w:val="00A37C73"/>
    <w:rsid w:val="00EE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A491"/>
  <w15:docId w15:val="{D6C7E954-C4F3-4A35-BB02-15092FAF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theme="minorHAnsi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paragraph" w:styleId="2">
    <w:name w:val="heading 2"/>
    <w:basedOn w:val="1"/>
    <w:next w:val="1"/>
    <w:link w:val="20"/>
    <w:uiPriority w:val="9"/>
    <w:unhideWhenUsed/>
    <w:qFormat/>
    <w:pPr>
      <w:outlineLvl w:val="1"/>
    </w:pPr>
  </w:style>
  <w:style w:type="paragraph" w:styleId="3">
    <w:name w:val="heading 3"/>
    <w:basedOn w:val="2"/>
    <w:next w:val="4"/>
    <w:link w:val="30"/>
    <w:uiPriority w:val="9"/>
    <w:unhideWhenUsed/>
    <w:qFormat/>
    <w:pPr>
      <w:outlineLvl w:val="2"/>
    </w:pPr>
  </w:style>
  <w:style w:type="paragraph" w:styleId="4">
    <w:name w:val="heading 4"/>
    <w:basedOn w:val="a"/>
    <w:next w:val="3"/>
    <w:link w:val="40"/>
    <w:uiPriority w:val="9"/>
    <w:unhideWhenUsed/>
    <w:qFormat/>
    <w:pPr>
      <w:keepNext/>
      <w:keepLines/>
      <w:outlineLvl w:val="3"/>
    </w:pPr>
    <w:rPr>
      <w:rFonts w:ascii="Arial" w:eastAsiaTheme="majorEastAsia" w:hAnsi="Arial" w:cstheme="majorBidi"/>
      <w:i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  <w:rPr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header"/>
    <w:basedOn w:val="a"/>
    <w:link w:val="a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No Spacing"/>
    <w:uiPriority w:val="1"/>
    <w:qFormat/>
    <w:pPr>
      <w:ind w:firstLine="708"/>
    </w:pPr>
    <w:rPr>
      <w:rFonts w:cstheme="minorHAnsi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paragraph" w:styleId="af5">
    <w:name w:val="Title"/>
    <w:basedOn w:val="a"/>
    <w:next w:val="a"/>
    <w:link w:val="af6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6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i/>
      <w:iCs/>
      <w:color w:val="000000" w:themeColor="text1"/>
      <w:sz w:val="24"/>
      <w:lang w:eastAsia="ru-RU"/>
    </w:rPr>
  </w:style>
  <w:style w:type="paragraph" w:styleId="af7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right" w:leader="dot" w:pos="9628"/>
      </w:tabs>
      <w:spacing w:after="100"/>
    </w:pPr>
    <w:rPr>
      <w:rFonts w:ascii="Arial" w:hAnsi="Arial"/>
      <w:sz w:val="24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  <w:rPr>
      <w:rFonts w:ascii="Arial" w:hAnsi="Arial"/>
      <w:sz w:val="24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ascii="Arial" w:hAnsi="Arial"/>
      <w:sz w:val="24"/>
    </w:rPr>
  </w:style>
  <w:style w:type="paragraph" w:styleId="a8">
    <w:name w:val="caption"/>
    <w:basedOn w:val="a"/>
    <w:next w:val="a"/>
    <w:link w:val="a7"/>
    <w:uiPriority w:val="35"/>
    <w:unhideWhenUsed/>
    <w:qFormat/>
    <w:pPr>
      <w:spacing w:after="200"/>
    </w:pPr>
    <w:rPr>
      <w:rFonts w:ascii="Arial" w:hAnsi="Arial"/>
      <w:i/>
      <w:iCs/>
      <w:color w:val="000000" w:themeColor="text1"/>
      <w:sz w:val="18"/>
      <w:szCs w:val="18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cstheme="minorHAnsi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cstheme="minorHAnsi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hAnsi="Segoe UI" w:cs="Segoe UI"/>
      <w:sz w:val="18"/>
      <w:szCs w:val="18"/>
      <w:lang w:eastAsia="ru-RU"/>
    </w:rPr>
  </w:style>
  <w:style w:type="paragraph" w:styleId="aff2">
    <w:name w:val="Revision"/>
    <w:hidden/>
    <w:uiPriority w:val="99"/>
    <w:semiHidden/>
    <w:rPr>
      <w:rFonts w:cs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5003A-0CD5-4E9C-9757-09188EEDB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Судаков</dc:creator>
  <cp:keywords/>
  <dc:description/>
  <cp:lastModifiedBy>global</cp:lastModifiedBy>
  <cp:revision>5</cp:revision>
  <dcterms:created xsi:type="dcterms:W3CDTF">2025-10-29T12:58:00Z</dcterms:created>
  <dcterms:modified xsi:type="dcterms:W3CDTF">2025-12-01T08:01:00Z</dcterms:modified>
</cp:coreProperties>
</file>