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2A0" w:rsidRDefault="00ED3A4A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  <w:bookmarkStart w:id="0" w:name="_Hlk177465055"/>
      <w:r>
        <w:rPr>
          <w:rFonts w:ascii="Arial" w:hAnsi="Arial" w:cs="Arial"/>
          <w:b/>
          <w:bCs/>
          <w:color w:val="000000"/>
          <w:sz w:val="26"/>
          <w:szCs w:val="26"/>
        </w:rPr>
        <w:t>ПУБЛИЧНОЕ АКЦИОНЕРНОЕ ОБЩЕСТВО «СУРГУТНЕФТЕГАЗ»</w:t>
      </w:r>
    </w:p>
    <w:p w:rsidR="001962A0" w:rsidRDefault="00ED3A4A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ЕДИНАЯ ИНФОРМАЦИОННАЯ СИСТЕМА</w:t>
      </w:r>
    </w:p>
    <w:p w:rsidR="001962A0" w:rsidRDefault="00ED3A4A">
      <w:pPr>
        <w:shd w:val="clear" w:color="auto" w:fill="FFFFFF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Фонд проектно-технических документов на ИТ-решения</w:t>
      </w:r>
    </w:p>
    <w:p w:rsidR="001962A0" w:rsidRDefault="00ED3A4A">
      <w:pPr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>
                <wp:extent cx="6480810" cy="2540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480810" cy="25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510.30pt;height:2.00pt;mso-wrap-distance-left:0.00pt;mso-wrap-distance-top:0.00pt;mso-wrap-distance-right:0.00pt;mso-wrap-distance-bottom:0.00pt;visibility:visible;" fillcolor="#000000" stroked="f"/>
            </w:pict>
          </mc:Fallback>
        </mc:AlternateContent>
      </w: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  <w:bookmarkStart w:id="1" w:name="OLE_LINK5"/>
      <w:bookmarkStart w:id="2" w:name="OLE_LINK6"/>
    </w:p>
    <w:p w:rsidR="001962A0" w:rsidRDefault="001962A0">
      <w:pPr>
        <w:shd w:val="clear" w:color="auto" w:fill="FFFFFF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1962A0" w:rsidRDefault="001962A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1962A0" w:rsidRDefault="00ED3A4A">
      <w:pPr>
        <w:shd w:val="clear" w:color="auto" w:fill="FFFFFF"/>
        <w:contextualSpacing/>
        <w:jc w:val="center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Технические требования</w:t>
      </w:r>
    </w:p>
    <w:p w:rsidR="001962A0" w:rsidRDefault="00ED3A4A">
      <w:pPr>
        <w:shd w:val="clear" w:color="auto" w:fill="FFFFFF"/>
        <w:contextualSpacing/>
        <w:jc w:val="center"/>
        <w:rPr>
          <w:rFonts w:ascii="Arial" w:hAnsi="Arial" w:cs="Arial"/>
          <w:bCs/>
          <w:color w:val="000000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>
                <wp:extent cx="6122035" cy="1270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203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482.05pt;height:1.00pt;mso-wrap-distance-left:0.00pt;mso-wrap-distance-top:0.00pt;mso-wrap-distance-right:0.00pt;mso-wrap-distance-bottom:0.00pt;visibility:visible;" fillcolor="#000000" stroked="f"/>
            </w:pict>
          </mc:Fallback>
        </mc:AlternateContent>
      </w:r>
    </w:p>
    <w:p w:rsidR="001962A0" w:rsidRDefault="00ED3A4A">
      <w:pPr>
        <w:shd w:val="clear" w:color="auto" w:fill="FFFFFF"/>
        <w:contextualSpacing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ТТ Информационного обмена между системами </w:t>
      </w:r>
      <w:r>
        <w:rPr>
          <w:rFonts w:ascii="Arial" w:hAnsi="Arial" w:cs="Arial"/>
          <w:color w:val="000000"/>
          <w:sz w:val="26"/>
          <w:szCs w:val="26"/>
          <w:lang w:val="en-US"/>
        </w:rPr>
        <w:t>Global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color w:val="000000"/>
          <w:sz w:val="26"/>
          <w:szCs w:val="26"/>
        </w:rPr>
        <w:t xml:space="preserve"> и Аврора в части данных по ГТД ПАО «Сургутнефтегаз»</w:t>
      </w:r>
    </w:p>
    <w:p w:rsidR="001962A0" w:rsidRDefault="00ED3A4A">
      <w:pPr>
        <w:shd w:val="clear" w:color="auto" w:fill="FFFFFF"/>
        <w:contextualSpacing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(Редакция 0</w:t>
      </w:r>
      <w:r>
        <w:rPr>
          <w:rFonts w:ascii="Arial" w:hAnsi="Arial" w:cs="Arial"/>
          <w:color w:val="000000"/>
          <w:sz w:val="26"/>
          <w:szCs w:val="26"/>
          <w:lang w:val="en-US"/>
        </w:rPr>
        <w:t>1</w:t>
      </w:r>
      <w:r>
        <w:rPr>
          <w:rFonts w:ascii="Arial" w:hAnsi="Arial" w:cs="Arial"/>
          <w:color w:val="000000"/>
          <w:sz w:val="26"/>
          <w:szCs w:val="26"/>
        </w:rPr>
        <w:t xml:space="preserve"> от 22.10.2025)</w:t>
      </w:r>
    </w:p>
    <w:p w:rsidR="001962A0" w:rsidRDefault="00ED3A4A">
      <w:pPr>
        <w:shd w:val="clear" w:color="auto" w:fill="FFFFFF"/>
        <w:contextualSpacing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>
                <wp:extent cx="6122035" cy="1270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203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482.05pt;height:1.00pt;mso-wrap-distance-left:0.00pt;mso-wrap-distance-top:0.00pt;mso-wrap-distance-right:0.00pt;mso-wrap-distance-bottom:0.00pt;visibility:visible;" fillcolor="#000000" stroked="f"/>
            </w:pict>
          </mc:Fallback>
        </mc:AlternateContent>
      </w:r>
      <w:bookmarkEnd w:id="1"/>
      <w:bookmarkEnd w:id="2"/>
    </w:p>
    <w:p w:rsidR="001962A0" w:rsidRDefault="001962A0">
      <w:pP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</w:p>
    <w:p w:rsidR="001962A0" w:rsidRDefault="001962A0">
      <w:pP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</w:p>
    <w:p w:rsidR="001962A0" w:rsidRDefault="001962A0">
      <w:pPr>
        <w:shd w:val="clear" w:color="auto" w:fill="FFFFFF"/>
        <w:jc w:val="both"/>
        <w:rPr>
          <w:rFonts w:ascii="Arial" w:hAnsi="Arial" w:cs="Arial"/>
          <w:bCs/>
          <w:color w:val="000000"/>
          <w:sz w:val="26"/>
          <w:szCs w:val="26"/>
        </w:rPr>
      </w:pPr>
    </w:p>
    <w:p w:rsidR="001962A0" w:rsidRDefault="001962A0">
      <w:pPr>
        <w:rPr>
          <w:rFonts w:ascii="Arial" w:hAnsi="Arial" w:cs="Arial"/>
          <w:sz w:val="26"/>
          <w:szCs w:val="26"/>
        </w:rPr>
      </w:pPr>
    </w:p>
    <w:p w:rsidR="001962A0" w:rsidRDefault="001962A0">
      <w:pPr>
        <w:rPr>
          <w:rFonts w:ascii="Arial" w:hAnsi="Arial" w:cs="Arial"/>
          <w:sz w:val="26"/>
          <w:szCs w:val="26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1962A0">
      <w:pPr>
        <w:shd w:val="clear" w:color="auto" w:fill="FFFFFF"/>
        <w:rPr>
          <w:rFonts w:ascii="Arial" w:hAnsi="Arial" w:cs="Arial"/>
          <w:bCs/>
          <w:color w:val="000000"/>
          <w:sz w:val="26"/>
          <w:szCs w:val="26"/>
          <w:lang w:val="en-US"/>
        </w:rPr>
      </w:pPr>
    </w:p>
    <w:p w:rsidR="001962A0" w:rsidRDefault="00ED3A4A">
      <w:pPr>
        <w:shd w:val="clear" w:color="auto" w:fill="FFFFFF"/>
        <w:jc w:val="center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>г. Сургут</w:t>
      </w:r>
    </w:p>
    <w:p w:rsidR="001962A0" w:rsidRDefault="00ED3A4A">
      <w:pPr>
        <w:jc w:val="center"/>
        <w:rPr>
          <w:rFonts w:ascii="Arial" w:hAnsi="Arial" w:cs="Arial"/>
          <w:b/>
          <w:color w:val="000000"/>
          <w:sz w:val="26"/>
          <w:szCs w:val="26"/>
        </w:rPr>
        <w:sectPr w:rsidR="001962A0">
          <w:headerReference w:type="default" r:id="rId8"/>
          <w:head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color w:val="000000"/>
          <w:sz w:val="26"/>
          <w:szCs w:val="26"/>
        </w:rPr>
        <w:t>2025 г.</w:t>
      </w:r>
    </w:p>
    <w:p w:rsidR="001962A0" w:rsidRDefault="001962A0">
      <w:pPr>
        <w:jc w:val="both"/>
      </w:pPr>
    </w:p>
    <w:sdt>
      <w:sdtPr>
        <w:rPr>
          <w:sz w:val="24"/>
          <w:szCs w:val="24"/>
        </w:rPr>
        <w:id w:val="1138611915"/>
        <w:docPartObj>
          <w:docPartGallery w:val="Table of Contents"/>
          <w:docPartUnique/>
        </w:docPartObj>
      </w:sdtPr>
      <w:sdtEndPr/>
      <w:sdtContent>
        <w:p w:rsidR="001962A0" w:rsidRDefault="00ED3A4A">
          <w:pPr>
            <w:rPr>
              <w:rFonts w:ascii="Arial" w:hAnsi="Arial" w:cs="Arial"/>
              <w:b/>
              <w:bCs/>
              <w:sz w:val="26"/>
              <w:szCs w:val="26"/>
            </w:rPr>
          </w:pPr>
          <w:r>
            <w:rPr>
              <w:rFonts w:ascii="Arial" w:hAnsi="Arial" w:cs="Arial"/>
              <w:b/>
              <w:bCs/>
              <w:sz w:val="26"/>
              <w:szCs w:val="26"/>
            </w:rPr>
            <w:t>Оглавление</w:t>
          </w:r>
        </w:p>
        <w:p w:rsidR="001962A0" w:rsidRDefault="00ED3A4A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r>
            <w:rPr>
              <w:rFonts w:cs="Arial"/>
              <w:szCs w:val="24"/>
            </w:rPr>
            <w:fldChar w:fldCharType="begin"/>
          </w:r>
          <w:r>
            <w:rPr>
              <w:rFonts w:cs="Arial"/>
              <w:szCs w:val="24"/>
            </w:rPr>
            <w:instrText xml:space="preserve"> TOC \o "1-3" \h \z \u </w:instrText>
          </w:r>
          <w:r>
            <w:rPr>
              <w:rFonts w:cs="Arial"/>
              <w:szCs w:val="24"/>
            </w:rPr>
            <w:fldChar w:fldCharType="separate"/>
          </w:r>
          <w:hyperlink w:anchor="_Toc212019363" w:tooltip="#_Toc212019363" w:history="1">
            <w:r>
              <w:rPr>
                <w:rStyle w:val="af8"/>
              </w:rPr>
              <w:t>Определения, обозначения, сокращения, элементы нотации</w:t>
            </w:r>
            <w:r>
              <w:tab/>
            </w:r>
            <w:r>
              <w:fldChar w:fldCharType="begin"/>
            </w:r>
            <w:r>
              <w:instrText xml:space="preserve"> PAGEREF _Toc212019363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962A0" w:rsidRDefault="00ED3A4A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4" w:tooltip="#_Toc212019364" w:history="1">
            <w:r>
              <w:rPr>
                <w:rStyle w:val="af8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Основание</w:t>
            </w:r>
            <w:r>
              <w:tab/>
            </w:r>
            <w:r>
              <w:fldChar w:fldCharType="begin"/>
            </w:r>
            <w:r>
              <w:instrText xml:space="preserve"> PAGEREF _Toc212019364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962A0" w:rsidRDefault="00ED3A4A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5" w:tooltip="#_Toc212019365" w:history="1">
            <w:r>
              <w:rPr>
                <w:rStyle w:val="af8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Назначение и цель</w:t>
            </w:r>
            <w:r>
              <w:tab/>
            </w:r>
            <w:r>
              <w:fldChar w:fldCharType="begin"/>
            </w:r>
            <w:r>
              <w:instrText xml:space="preserve"> PAGEREF _Toc212019365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962A0" w:rsidRDefault="00ED3A4A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6" w:tooltip="#_Toc212019366" w:history="1">
            <w:r>
              <w:rPr>
                <w:rStyle w:val="af8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Механизмы передачи данных</w:t>
            </w:r>
            <w:r>
              <w:tab/>
            </w:r>
            <w:r>
              <w:fldChar w:fldCharType="begin"/>
            </w:r>
            <w:r>
              <w:instrText xml:space="preserve"> PAGEREF _Toc212019366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1962A0" w:rsidRDefault="00ED3A4A">
          <w:pPr>
            <w:pStyle w:val="12"/>
            <w:rPr>
              <w:rFonts w:asciiTheme="minorHAnsi" w:eastAsiaTheme="minorEastAsia" w:hAnsiTheme="minorHAnsi" w:cstheme="minorBidi"/>
              <w:sz w:val="22"/>
            </w:rPr>
          </w:pPr>
          <w:hyperlink w:anchor="_Toc212019367" w:tooltip="#_Toc212019367" w:history="1">
            <w:r>
              <w:rPr>
                <w:rStyle w:val="af8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Интеграция данных по ГТД</w:t>
            </w:r>
            <w:r>
              <w:tab/>
            </w:r>
            <w:r>
              <w:fldChar w:fldCharType="begin"/>
            </w:r>
            <w:r>
              <w:instrText xml:space="preserve"> PAGEREF _Toc21201</w:instrText>
            </w:r>
            <w:r>
              <w:instrText xml:space="preserve">9367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962A0" w:rsidRDefault="00ED3A4A">
          <w:pPr>
            <w:pStyle w:val="24"/>
            <w:tabs>
              <w:tab w:val="left" w:pos="880"/>
              <w:tab w:val="right" w:leader="dot" w:pos="9517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212019368" w:tooltip="#_Toc212019368" w:history="1">
            <w:r>
              <w:rPr>
                <w:rStyle w:val="af8"/>
              </w:rPr>
              <w:t>4.1.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Интеграция таможенных деклараций на экспорт</w:t>
            </w:r>
            <w:r>
              <w:tab/>
            </w:r>
            <w:r>
              <w:fldChar w:fldCharType="begin"/>
            </w:r>
            <w:r>
              <w:instrText xml:space="preserve"> PAGEREF _Toc212019368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962A0" w:rsidRDefault="00ED3A4A">
          <w:pPr>
            <w:pStyle w:val="32"/>
            <w:tabs>
              <w:tab w:val="left" w:pos="1320"/>
              <w:tab w:val="right" w:leader="dot" w:pos="9517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212019369" w:tooltip="#_Toc212019369" w:history="1">
            <w:r>
              <w:rPr>
                <w:rStyle w:val="af8"/>
              </w:rPr>
              <w:t>4.1.1.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Требования к начальной загрузке данных</w:t>
            </w:r>
            <w:r>
              <w:tab/>
            </w:r>
            <w:r>
              <w:fldChar w:fldCharType="begin"/>
            </w:r>
            <w:r>
              <w:instrText xml:space="preserve"> PAGEREF _Toc212019369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962A0" w:rsidRDefault="00ED3A4A">
          <w:pPr>
            <w:pStyle w:val="32"/>
            <w:tabs>
              <w:tab w:val="left" w:pos="1320"/>
              <w:tab w:val="right" w:leader="dot" w:pos="9517"/>
            </w:tabs>
            <w:rPr>
              <w:rFonts w:asciiTheme="minorHAnsi" w:eastAsiaTheme="minorEastAsia" w:hAnsiTheme="minorHAnsi" w:cstheme="minorBidi"/>
              <w:sz w:val="22"/>
            </w:rPr>
          </w:pPr>
          <w:hyperlink w:anchor="_Toc212019370" w:tooltip="#_Toc212019370" w:history="1">
            <w:r>
              <w:rPr>
                <w:rStyle w:val="af8"/>
              </w:rPr>
              <w:t>4.1.2.</w:t>
            </w:r>
            <w:r>
              <w:rPr>
                <w:rFonts w:asciiTheme="minorHAnsi" w:eastAsiaTheme="minorEastAsia" w:hAnsiTheme="minorHAnsi" w:cstheme="minorBidi"/>
                <w:sz w:val="22"/>
              </w:rPr>
              <w:tab/>
            </w:r>
            <w:r>
              <w:rPr>
                <w:rStyle w:val="af8"/>
              </w:rPr>
              <w:t>Правила асинхронного интеграционного взаимодействия</w:t>
            </w:r>
            <w:r>
              <w:tab/>
            </w:r>
            <w:r>
              <w:fldChar w:fldCharType="begin"/>
            </w:r>
            <w:r>
              <w:instrText xml:space="preserve"> PAGEREF _Toc212019370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1962A0" w:rsidRDefault="00ED3A4A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1962A0" w:rsidRDefault="001962A0"/>
    <w:p w:rsidR="001962A0" w:rsidRDefault="00ED3A4A">
      <w:pPr>
        <w:pStyle w:val="1"/>
        <w:rPr>
          <w:rFonts w:cs="Arial"/>
          <w:bCs/>
          <w:szCs w:val="26"/>
        </w:rPr>
      </w:pPr>
      <w:r>
        <w:br w:type="page" w:clear="all"/>
      </w:r>
    </w:p>
    <w:p w:rsidR="001962A0" w:rsidRDefault="00ED3A4A">
      <w:pPr>
        <w:pStyle w:val="1"/>
      </w:pPr>
      <w:bookmarkStart w:id="3" w:name="_Toc212019363"/>
      <w:r>
        <w:lastRenderedPageBreak/>
        <w:t>Определения, обозначения, сокращения, элементы нотации</w:t>
      </w:r>
      <w:bookmarkEnd w:id="3"/>
    </w:p>
    <w:p w:rsidR="001962A0" w:rsidRDefault="001962A0">
      <w:pPr>
        <w:rPr>
          <w:rFonts w:ascii="Arial" w:hAnsi="Arial" w:cs="Arial"/>
          <w:sz w:val="24"/>
          <w:szCs w:val="24"/>
        </w:rPr>
      </w:pPr>
    </w:p>
    <w:p w:rsidR="001962A0" w:rsidRDefault="00ED3A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Заказчик</w:t>
      </w:r>
      <w:r>
        <w:rPr>
          <w:rFonts w:ascii="Arial" w:hAnsi="Arial" w:cs="Arial"/>
          <w:sz w:val="24"/>
          <w:szCs w:val="24"/>
        </w:rPr>
        <w:t xml:space="preserve"> – ПАО «Сургутнефтегаз» (далее – Общество)</w:t>
      </w:r>
    </w:p>
    <w:p w:rsidR="001962A0" w:rsidRDefault="00ED3A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Исполнитель</w:t>
      </w:r>
      <w:r>
        <w:rPr>
          <w:rFonts w:ascii="Arial" w:hAnsi="Arial" w:cs="Arial"/>
          <w:sz w:val="24"/>
          <w:szCs w:val="24"/>
        </w:rPr>
        <w:t xml:space="preserve"> – ООО «Бизнес Технологии»</w:t>
      </w:r>
    </w:p>
    <w:p w:rsidR="001962A0" w:rsidRDefault="001962A0">
      <w:pPr>
        <w:rPr>
          <w:rFonts w:ascii="Arial" w:hAnsi="Arial" w:cs="Arial"/>
          <w:sz w:val="24"/>
          <w:szCs w:val="24"/>
        </w:rPr>
      </w:pPr>
    </w:p>
    <w:p w:rsidR="001962A0" w:rsidRDefault="00ED3A4A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Информационные системы и их модули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423"/>
        <w:gridCol w:w="7126"/>
      </w:tblGrid>
      <w:tr w:rsidR="001962A0">
        <w:tc>
          <w:tcPr>
            <w:tcW w:w="1978" w:type="dxa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Global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ERP</w:t>
            </w:r>
          </w:p>
        </w:tc>
        <w:tc>
          <w:tcPr>
            <w:tcW w:w="423" w:type="dxa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126" w:type="dxa"/>
          </w:tcPr>
          <w:p w:rsidR="001962A0" w:rsidRDefault="00ED3A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Система приемник.</w:t>
            </w:r>
          </w:p>
        </w:tc>
      </w:tr>
      <w:tr w:rsidR="001962A0">
        <w:tc>
          <w:tcPr>
            <w:tcW w:w="1978" w:type="dxa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Корпоративная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шина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СНГ</w:t>
            </w:r>
          </w:p>
        </w:tc>
        <w:tc>
          <w:tcPr>
            <w:tcW w:w="423" w:type="dxa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126" w:type="dxa"/>
          </w:tcPr>
          <w:p w:rsidR="001962A0" w:rsidRDefault="00ED3A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Тип канала интеграции</w:t>
            </w:r>
          </w:p>
        </w:tc>
      </w:tr>
      <w:tr w:rsidR="001962A0">
        <w:tc>
          <w:tcPr>
            <w:tcW w:w="1978" w:type="dxa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Аврора</w:t>
            </w:r>
          </w:p>
        </w:tc>
        <w:tc>
          <w:tcPr>
            <w:tcW w:w="423" w:type="dxa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126" w:type="dxa"/>
          </w:tcPr>
          <w:p w:rsidR="001962A0" w:rsidRDefault="00ED3A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Система источник.</w:t>
            </w:r>
          </w:p>
        </w:tc>
      </w:tr>
      <w:tr w:rsidR="001962A0">
        <w:tc>
          <w:tcPr>
            <w:tcW w:w="1978" w:type="dxa"/>
          </w:tcPr>
          <w:p w:rsidR="001962A0" w:rsidRDefault="001962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:rsidR="001962A0" w:rsidRDefault="001962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26" w:type="dxa"/>
          </w:tcPr>
          <w:p w:rsidR="001962A0" w:rsidRDefault="001962A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962A0" w:rsidRDefault="001962A0">
      <w:pPr>
        <w:rPr>
          <w:rFonts w:ascii="Arial" w:hAnsi="Arial" w:cs="Arial"/>
          <w:sz w:val="24"/>
          <w:szCs w:val="24"/>
        </w:rPr>
      </w:pPr>
    </w:p>
    <w:p w:rsidR="001962A0" w:rsidRDefault="00ED3A4A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Объекты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7"/>
        <w:gridCol w:w="423"/>
        <w:gridCol w:w="7127"/>
      </w:tblGrid>
      <w:tr w:rsidR="001962A0">
        <w:tc>
          <w:tcPr>
            <w:tcW w:w="1977" w:type="dxa"/>
            <w:shd w:val="clear" w:color="auto" w:fill="auto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Таможенная декларация на экспорт </w:t>
            </w:r>
          </w:p>
        </w:tc>
        <w:tc>
          <w:tcPr>
            <w:tcW w:w="423" w:type="dxa"/>
          </w:tcPr>
          <w:p w:rsidR="001962A0" w:rsidRDefault="00ED3A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7127" w:type="dxa"/>
          </w:tcPr>
          <w:p w:rsidR="001962A0" w:rsidRDefault="00ED3A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Бизнес-объект системы. Содержит информацию о товарах, покупателе, стоимости и характеристиках товаров.</w:t>
            </w:r>
          </w:p>
        </w:tc>
      </w:tr>
    </w:tbl>
    <w:p w:rsidR="001962A0" w:rsidRDefault="001962A0">
      <w:pPr>
        <w:rPr>
          <w:rFonts w:ascii="Arial" w:hAnsi="Arial" w:cs="Arial"/>
          <w:sz w:val="24"/>
          <w:szCs w:val="24"/>
        </w:rPr>
      </w:pPr>
    </w:p>
    <w:p w:rsidR="001962A0" w:rsidRDefault="00ED3A4A">
      <w:pPr>
        <w:pStyle w:val="1"/>
        <w:numPr>
          <w:ilvl w:val="0"/>
          <w:numId w:val="4"/>
        </w:numPr>
      </w:pPr>
      <w:bookmarkStart w:id="4" w:name="_Toc212019364"/>
      <w:r>
        <w:t>Основание</w:t>
      </w:r>
      <w:bookmarkEnd w:id="4"/>
    </w:p>
    <w:p w:rsidR="001962A0" w:rsidRDefault="00ED3A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4"/>
          <w:szCs w:val="24"/>
        </w:rPr>
        <w:t xml:space="preserve">План мероприятий по реализации проекта «20.14.22.271_7 Реализация в </w:t>
      </w:r>
      <w:proofErr w:type="spellStart"/>
      <w:r>
        <w:rPr>
          <w:rFonts w:ascii="Arial" w:hAnsi="Arial" w:cs="Arial"/>
          <w:sz w:val="24"/>
          <w:szCs w:val="24"/>
        </w:rPr>
        <w:t>импортонезависимой</w:t>
      </w:r>
      <w:proofErr w:type="spellEnd"/>
      <w:r>
        <w:rPr>
          <w:rFonts w:ascii="Arial" w:hAnsi="Arial" w:cs="Arial"/>
          <w:sz w:val="24"/>
          <w:szCs w:val="24"/>
        </w:rPr>
        <w:t xml:space="preserve"> информационной системе функциональности по учету НДС (верхний уровень) в ПАО "Сургутнефтегаз"».</w:t>
      </w:r>
    </w:p>
    <w:p w:rsidR="001962A0" w:rsidRDefault="00ED3A4A">
      <w:pPr>
        <w:pStyle w:val="1"/>
        <w:numPr>
          <w:ilvl w:val="0"/>
          <w:numId w:val="4"/>
        </w:numPr>
      </w:pPr>
      <w:bookmarkStart w:id="5" w:name="_Toc212019365"/>
      <w:r>
        <w:t>Назначение и цель</w:t>
      </w:r>
      <w:bookmarkEnd w:id="5"/>
    </w:p>
    <w:p w:rsidR="001962A0" w:rsidRDefault="00ED3A4A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Настоящие технические требования предназначены для описания механизмов и требований к интеграции в части данных по ГТД между системами Аврора</w:t>
      </w:r>
      <w:r>
        <w:rPr>
          <w:rFonts w:ascii="Arial" w:hAnsi="Arial" w:cs="Arial"/>
          <w:sz w:val="24"/>
          <w:szCs w:val="24"/>
        </w:rPr>
        <w:t xml:space="preserve"> и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>.</w:t>
      </w:r>
    </w:p>
    <w:p w:rsidR="001962A0" w:rsidRDefault="00ED3A4A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Информационный обмен служит для представления данных в системах в единообразном виде в части данных по ГТД ПАО «Сургутнефтегаз» в целом.</w:t>
      </w:r>
    </w:p>
    <w:p w:rsidR="001962A0" w:rsidRDefault="00ED3A4A">
      <w:pPr>
        <w:pStyle w:val="1"/>
        <w:numPr>
          <w:ilvl w:val="0"/>
          <w:numId w:val="4"/>
        </w:numPr>
      </w:pPr>
      <w:bookmarkStart w:id="6" w:name="_Toc212019366"/>
      <w:r>
        <w:t>Механизмы передачи данных</w:t>
      </w:r>
      <w:bookmarkEnd w:id="6"/>
    </w:p>
    <w:p w:rsidR="001962A0" w:rsidRDefault="00ED3A4A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 выполнению специальной операции / нажатии на кнопку выполняется запуск пере</w:t>
      </w:r>
      <w:r>
        <w:rPr>
          <w:rFonts w:ascii="Arial" w:hAnsi="Arial" w:cs="Arial"/>
          <w:sz w:val="24"/>
          <w:szCs w:val="24"/>
        </w:rPr>
        <w:t xml:space="preserve">дачи данных по ГТД (таможенной декларации на экспорт) из системы Аврора в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. Данные передаются в формате </w:t>
      </w:r>
      <w:r>
        <w:rPr>
          <w:rFonts w:ascii="Arial" w:hAnsi="Arial" w:cs="Arial"/>
          <w:sz w:val="24"/>
          <w:szCs w:val="24"/>
          <w:lang w:val="en-US"/>
        </w:rPr>
        <w:t>XML</w:t>
      </w:r>
      <w:r>
        <w:rPr>
          <w:rFonts w:ascii="Arial" w:hAnsi="Arial" w:cs="Arial"/>
          <w:sz w:val="24"/>
          <w:szCs w:val="24"/>
        </w:rPr>
        <w:t>.</w:t>
      </w:r>
    </w:p>
    <w:p w:rsidR="001962A0" w:rsidRDefault="00ED3A4A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Основным каналом интеграционного обмена является Корпоративная шина СНГ (далее шина). В </w:t>
      </w:r>
      <w:r>
        <w:rPr>
          <w:rFonts w:ascii="Arial" w:hAnsi="Arial" w:cs="Arial"/>
          <w:sz w:val="24"/>
          <w:szCs w:val="24"/>
          <w:lang w:val="en-US"/>
        </w:rPr>
        <w:t>Globa</w:t>
      </w:r>
      <w:bookmarkStart w:id="7" w:name="_Hlk186277886"/>
      <w:r>
        <w:rPr>
          <w:rFonts w:ascii="Arial" w:hAnsi="Arial" w:cs="Arial"/>
          <w:sz w:val="24"/>
          <w:szCs w:val="24"/>
          <w:lang w:val="en-US"/>
        </w:rPr>
        <w:t>l</w:t>
      </w:r>
      <w:bookmarkEnd w:id="7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 выполняется обработка полученных данны</w:t>
      </w:r>
      <w:r>
        <w:rPr>
          <w:rFonts w:ascii="Arial" w:hAnsi="Arial" w:cs="Arial"/>
          <w:sz w:val="24"/>
          <w:szCs w:val="24"/>
        </w:rPr>
        <w:t>х. Отправка сообщения с результатом обработки в систему источник не требуется.</w:t>
      </w:r>
    </w:p>
    <w:p w:rsidR="001962A0" w:rsidRDefault="00ED3A4A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Создание/изменение записей в системе приемнике производится под пользователем.</w:t>
      </w:r>
    </w:p>
    <w:p w:rsidR="001962A0" w:rsidRDefault="00ED3A4A">
      <w:pPr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Требования к порядку организации интеграции между системой Аврора и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с использованием шины о</w:t>
      </w:r>
      <w:r>
        <w:rPr>
          <w:rFonts w:ascii="Arial" w:hAnsi="Arial" w:cs="Arial"/>
          <w:sz w:val="24"/>
          <w:szCs w:val="24"/>
        </w:rPr>
        <w:t xml:space="preserve">снованы на требованиях к передаче с использованием </w:t>
      </w:r>
      <w:r>
        <w:rPr>
          <w:rFonts w:ascii="Arial" w:hAnsi="Arial" w:cs="Arial"/>
          <w:sz w:val="24"/>
          <w:szCs w:val="24"/>
          <w:lang w:val="en-US"/>
        </w:rPr>
        <w:t>RFC</w:t>
      </w:r>
      <w:r>
        <w:rPr>
          <w:rFonts w:ascii="Arial" w:hAnsi="Arial" w:cs="Arial"/>
          <w:sz w:val="24"/>
          <w:szCs w:val="24"/>
        </w:rPr>
        <w:t xml:space="preserve">, описанных в документе «ТТ ИО. </w:t>
      </w:r>
      <w:proofErr w:type="spellStart"/>
      <w:r>
        <w:rPr>
          <w:rFonts w:ascii="Arial" w:hAnsi="Arial" w:cs="Arial"/>
          <w:sz w:val="24"/>
          <w:szCs w:val="24"/>
        </w:rPr>
        <w:t>Global</w:t>
      </w:r>
      <w:proofErr w:type="spellEnd"/>
      <w:r>
        <w:rPr>
          <w:rFonts w:ascii="Arial" w:hAnsi="Arial" w:cs="Arial"/>
          <w:sz w:val="24"/>
          <w:szCs w:val="24"/>
        </w:rPr>
        <w:t xml:space="preserve"> - SAP ERP. Общие технические требования».</w:t>
      </w:r>
    </w:p>
    <w:p w:rsidR="001962A0" w:rsidRDefault="001962A0">
      <w:pPr>
        <w:ind w:firstLine="709"/>
        <w:jc w:val="both"/>
        <w:rPr>
          <w:rFonts w:ascii="Arial" w:hAnsi="Arial" w:cs="Arial"/>
          <w:sz w:val="24"/>
          <w:szCs w:val="24"/>
        </w:rPr>
        <w:sectPr w:rsidR="001962A0">
          <w:headerReference w:type="first" r:id="rId10"/>
          <w:pgSz w:w="11906" w:h="16838"/>
          <w:pgMar w:top="1134" w:right="678" w:bottom="1134" w:left="1701" w:header="709" w:footer="709" w:gutter="0"/>
          <w:cols w:space="708"/>
          <w:titlePg/>
          <w:docGrid w:linePitch="360"/>
        </w:sectPr>
      </w:pPr>
    </w:p>
    <w:p w:rsidR="001962A0" w:rsidRDefault="00ED3A4A">
      <w:pPr>
        <w:pStyle w:val="1"/>
        <w:numPr>
          <w:ilvl w:val="0"/>
          <w:numId w:val="4"/>
        </w:numPr>
      </w:pPr>
      <w:bookmarkStart w:id="8" w:name="_Toc212019367"/>
      <w:r>
        <w:lastRenderedPageBreak/>
        <w:t>Интеграция данных по ГТД</w:t>
      </w:r>
      <w:bookmarkEnd w:id="8"/>
    </w:p>
    <w:p w:rsidR="001962A0" w:rsidRDefault="00ED3A4A">
      <w:pPr>
        <w:pStyle w:val="2"/>
        <w:numPr>
          <w:ilvl w:val="1"/>
          <w:numId w:val="4"/>
        </w:numPr>
      </w:pPr>
      <w:bookmarkStart w:id="9" w:name="_Toc212019368"/>
      <w:bookmarkEnd w:id="0"/>
      <w:r>
        <w:t>Интеграция таможенных деклараций на экспорт</w:t>
      </w:r>
      <w:bookmarkEnd w:id="9"/>
    </w:p>
    <w:p w:rsidR="001962A0" w:rsidRDefault="00ED3A4A">
      <w:pPr>
        <w:pStyle w:val="3"/>
        <w:numPr>
          <w:ilvl w:val="2"/>
          <w:numId w:val="4"/>
        </w:numPr>
      </w:pPr>
      <w:bookmarkStart w:id="10" w:name="_Toc212019369"/>
      <w:r>
        <w:t>Требования к начальной загрузке данных</w:t>
      </w:r>
      <w:bookmarkEnd w:id="10"/>
    </w:p>
    <w:p w:rsidR="001962A0" w:rsidRDefault="00ED3A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Начальная загрузка таможенных деклараций на экспорт из системы Аврора в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 посредством интеграции не предполагается.</w:t>
      </w:r>
    </w:p>
    <w:p w:rsidR="001962A0" w:rsidRDefault="00ED3A4A">
      <w:pPr>
        <w:pStyle w:val="3"/>
        <w:numPr>
          <w:ilvl w:val="2"/>
          <w:numId w:val="4"/>
        </w:numPr>
      </w:pPr>
      <w:bookmarkStart w:id="11" w:name="_Toc212019370"/>
      <w:r>
        <w:t>Правила асинхронного интеграционного взаимодействия</w:t>
      </w:r>
      <w:bookmarkEnd w:id="11"/>
    </w:p>
    <w:p w:rsidR="001962A0" w:rsidRDefault="00ED3A4A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Правила обмена</w:t>
      </w:r>
    </w:p>
    <w:p w:rsidR="001962A0" w:rsidRDefault="00ED3A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Таможенные декларации на экспорт формируются в системе Аврора и передаются в </w:t>
      </w:r>
      <w:r>
        <w:rPr>
          <w:rFonts w:ascii="Arial" w:hAnsi="Arial" w:cs="Arial"/>
          <w:sz w:val="24"/>
          <w:szCs w:val="24"/>
          <w:lang w:val="en-US"/>
        </w:rPr>
        <w:t>Global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ERP</w:t>
      </w:r>
      <w:r>
        <w:rPr>
          <w:rFonts w:ascii="Arial" w:hAnsi="Arial" w:cs="Arial"/>
          <w:sz w:val="24"/>
          <w:szCs w:val="24"/>
        </w:rPr>
        <w:t xml:space="preserve"> периодически по настраиваемому расписанию (асинхронно).</w:t>
      </w:r>
    </w:p>
    <w:p w:rsidR="001962A0" w:rsidRDefault="001962A0">
      <w:pPr>
        <w:rPr>
          <w:rFonts w:ascii="Arial" w:hAnsi="Arial" w:cs="Arial"/>
          <w:sz w:val="24"/>
          <w:szCs w:val="24"/>
        </w:rPr>
      </w:pPr>
    </w:p>
    <w:p w:rsidR="001962A0" w:rsidRDefault="00ED3A4A">
      <w:pPr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Состав и описание данных</w:t>
      </w:r>
    </w:p>
    <w:p w:rsidR="001962A0" w:rsidRDefault="00ED3A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Бизнес-объект: Та</w:t>
      </w:r>
      <w:r>
        <w:rPr>
          <w:rFonts w:ascii="Arial" w:hAnsi="Arial" w:cs="Arial"/>
          <w:sz w:val="24"/>
          <w:szCs w:val="24"/>
        </w:rPr>
        <w:t>моженная декларация на экспорт. Содержит информацию о товарах, покупателе, стоимости и характеристиках товаров.</w:t>
      </w:r>
    </w:p>
    <w:p w:rsidR="001962A0" w:rsidRDefault="00ED3A4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Сущности, содержащие данные, необходимые для интеграции:</w:t>
      </w:r>
    </w:p>
    <w:p w:rsidR="001962A0" w:rsidRDefault="00ED3A4A">
      <w:pPr>
        <w:pStyle w:val="af9"/>
        <w:numPr>
          <w:ilvl w:val="0"/>
          <w:numId w:val="2"/>
        </w:numPr>
        <w:spacing w:after="240"/>
        <w:ind w:hanging="1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Заголовок таможенной декларации на экспорт (номер, дата, покупатель, контракт);</w:t>
      </w:r>
    </w:p>
    <w:p w:rsidR="001962A0" w:rsidRDefault="00ED3A4A">
      <w:pPr>
        <w:pStyle w:val="af9"/>
        <w:numPr>
          <w:ilvl w:val="0"/>
          <w:numId w:val="2"/>
        </w:numPr>
        <w:ind w:hanging="1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Товары</w:t>
      </w:r>
      <w:r>
        <w:rPr>
          <w:rFonts w:ascii="Arial" w:hAnsi="Arial" w:cs="Arial"/>
          <w:sz w:val="24"/>
          <w:szCs w:val="24"/>
        </w:rPr>
        <w:t xml:space="preserve"> (наименование товара, код товара).</w:t>
      </w:r>
    </w:p>
    <w:p w:rsidR="001962A0" w:rsidRDefault="001962A0">
      <w:pPr>
        <w:rPr>
          <w:rFonts w:ascii="Arial" w:hAnsi="Arial" w:cs="Arial"/>
          <w:sz w:val="24"/>
          <w:szCs w:val="24"/>
        </w:rPr>
      </w:pPr>
    </w:p>
    <w:p w:rsidR="001962A0" w:rsidRDefault="00ED3A4A">
      <w:pPr>
        <w:pStyle w:val="a8"/>
        <w:keepNext/>
        <w:spacing w:after="0"/>
        <w:jc w:val="right"/>
      </w:pPr>
      <w:r>
        <w:t xml:space="preserve">Таблица </w:t>
      </w:r>
      <w:r>
        <w:fldChar w:fldCharType="begin"/>
      </w:r>
      <w:r>
        <w:instrText xml:space="preserve">SEQ Таблица \* ARABIC </w:instrText>
      </w:r>
      <w:r>
        <w:fldChar w:fldCharType="separate"/>
      </w:r>
      <w:r>
        <w:t>1</w:t>
      </w:r>
      <w:r>
        <w:fldChar w:fldCharType="end"/>
      </w:r>
      <w:r>
        <w:t>. Состав и описание данных для асинхронного интеграционного обмена сущности «Заголовок таможенной декларации на экспорт»</w:t>
      </w:r>
    </w:p>
    <w:tbl>
      <w:tblPr>
        <w:tblStyle w:val="afa"/>
        <w:tblW w:w="5452" w:type="pct"/>
        <w:jc w:val="center"/>
        <w:tblLayout w:type="fixed"/>
        <w:tblLook w:val="04A0" w:firstRow="1" w:lastRow="0" w:firstColumn="1" w:lastColumn="0" w:noHBand="0" w:noVBand="1"/>
      </w:tblPr>
      <w:tblGrid>
        <w:gridCol w:w="422"/>
        <w:gridCol w:w="2413"/>
        <w:gridCol w:w="2127"/>
        <w:gridCol w:w="1845"/>
        <w:gridCol w:w="994"/>
        <w:gridCol w:w="2124"/>
        <w:gridCol w:w="1702"/>
        <w:gridCol w:w="994"/>
        <w:gridCol w:w="10"/>
        <w:gridCol w:w="3245"/>
      </w:tblGrid>
      <w:tr w:rsidR="001962A0">
        <w:trPr>
          <w:tblHeader/>
          <w:jc w:val="center"/>
        </w:trPr>
        <w:tc>
          <w:tcPr>
            <w:tcW w:w="133" w:type="pct"/>
            <w:vMerge w:val="restart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760" w:type="pct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Class: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Bs_ExportCustomDeclaration</w:t>
            </w:r>
            <w:proofErr w:type="spellEnd"/>
          </w:p>
        </w:tc>
        <w:tc>
          <w:tcPr>
            <w:tcW w:w="1564" w:type="pct"/>
            <w:gridSpan w:val="3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Global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ERP</w:t>
            </w:r>
          </w:p>
        </w:tc>
        <w:tc>
          <w:tcPr>
            <w:tcW w:w="1521" w:type="pct"/>
            <w:gridSpan w:val="4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Аврора</w:t>
            </w:r>
          </w:p>
        </w:tc>
        <w:tc>
          <w:tcPr>
            <w:tcW w:w="1022" w:type="pct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Примечание, преобразование данных</w:t>
            </w:r>
          </w:p>
        </w:tc>
      </w:tr>
      <w:tr w:rsidR="001962A0">
        <w:trPr>
          <w:tblHeader/>
          <w:jc w:val="center"/>
        </w:trPr>
        <w:tc>
          <w:tcPr>
            <w:tcW w:w="133" w:type="pct"/>
            <w:vMerge/>
            <w:shd w:val="pct15" w:color="auto" w:fill="auto"/>
          </w:tcPr>
          <w:p w:rsidR="001962A0" w:rsidRDefault="001962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0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Системное имя столбца</w:t>
            </w:r>
          </w:p>
        </w:tc>
        <w:tc>
          <w:tcPr>
            <w:tcW w:w="670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Класс.атрибут</w:t>
            </w:r>
            <w:proofErr w:type="spellEnd"/>
          </w:p>
        </w:tc>
        <w:tc>
          <w:tcPr>
            <w:tcW w:w="581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69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Таблица.Поле</w:t>
            </w:r>
            <w:proofErr w:type="spellEnd"/>
          </w:p>
        </w:tc>
        <w:tc>
          <w:tcPr>
            <w:tcW w:w="536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025" w:type="pct"/>
            <w:gridSpan w:val="2"/>
            <w:shd w:val="pct15" w:color="auto" w:fill="auto"/>
          </w:tcPr>
          <w:p w:rsidR="001962A0" w:rsidRDefault="001962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962A0" w:rsidRPr="00D278B3">
        <w:trPr>
          <w:jc w:val="center"/>
        </w:trPr>
        <w:tc>
          <w:tcPr>
            <w:tcW w:w="133" w:type="pct"/>
            <w:shd w:val="clear" w:color="auto" w:fill="F2F2F2" w:themeFill="background1" w:themeFillShade="F2"/>
          </w:tcPr>
          <w:p w:rsidR="001962A0" w:rsidRDefault="001962A0">
            <w:pPr>
              <w:pStyle w:val="af9"/>
              <w:ind w:left="106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  <w:shd w:val="clear" w:color="auto" w:fill="F2F2F2" w:themeFill="background1" w:themeFillShade="F2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StrName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</w:p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ParentPart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 null</w:t>
            </w:r>
          </w:p>
        </w:tc>
        <w:tc>
          <w:tcPr>
            <w:tcW w:w="670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81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69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36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25" w:type="pct"/>
            <w:gridSpan w:val="2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962A0" w:rsidRPr="00D278B3">
        <w:trPr>
          <w:jc w:val="center"/>
        </w:trPr>
        <w:tc>
          <w:tcPr>
            <w:tcW w:w="133" w:type="pct"/>
            <w:vAlign w:val="center"/>
          </w:tcPr>
          <w:p w:rsidR="001962A0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MarkDescription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idObjectType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документа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Ссылочный</w:t>
            </w:r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Md_declaration.doc_type_id</w:t>
            </w:r>
            <w:proofErr w:type="spellEnd"/>
          </w:p>
        </w:tc>
        <w:tc>
          <w:tcPr>
            <w:tcW w:w="536" w:type="pct"/>
            <w:vAlign w:val="center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Вид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ГТД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25" w:type="pct"/>
            <w:gridSpan w:val="2"/>
          </w:tcPr>
          <w:p w:rsidR="001962A0" w:rsidRPr="00D278B3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02A34">
              <w:rPr>
                <w:rFonts w:ascii="Arial" w:hAnsi="Arial" w:cs="Arial"/>
                <w:strike/>
                <w:sz w:val="20"/>
                <w:szCs w:val="20"/>
              </w:rPr>
              <w:t>Ссылка. Можем передавать как ВД, ПД, КТС. Либо</w:t>
            </w:r>
            <w:r w:rsidRPr="00602A34">
              <w:rPr>
                <w:rFonts w:ascii="Arial" w:hAnsi="Arial" w:cs="Arial"/>
                <w:strike/>
                <w:sz w:val="20"/>
                <w:szCs w:val="20"/>
                <w:lang w:val="en-US"/>
              </w:rPr>
              <w:t xml:space="preserve"> </w:t>
            </w:r>
            <w:r w:rsidRPr="00602A34">
              <w:rPr>
                <w:rFonts w:ascii="Arial" w:hAnsi="Arial" w:cs="Arial"/>
                <w:strike/>
                <w:sz w:val="20"/>
                <w:szCs w:val="20"/>
              </w:rPr>
              <w:t>сигнатурами</w:t>
            </w:r>
            <w:r w:rsidRPr="00D278B3">
              <w:rPr>
                <w:rFonts w:ascii="Arial" w:hAnsi="Arial" w:cs="Arial"/>
                <w:sz w:val="20"/>
                <w:szCs w:val="20"/>
                <w:lang w:val="en-US"/>
              </w:rPr>
              <w:t xml:space="preserve"> TEMP_DECLARATION</w:t>
            </w:r>
            <w:r w:rsidRPr="00D278B3">
              <w:rPr>
                <w:rFonts w:ascii="Arial" w:hAnsi="Arial" w:cs="Arial"/>
                <w:sz w:val="20"/>
                <w:szCs w:val="20"/>
                <w:lang w:val="en-US"/>
              </w:rPr>
              <w:br/>
              <w:t>F</w:t>
            </w:r>
            <w:bookmarkStart w:id="12" w:name="_GoBack"/>
            <w:bookmarkEnd w:id="12"/>
            <w:r w:rsidRPr="00D278B3">
              <w:rPr>
                <w:rFonts w:ascii="Arial" w:hAnsi="Arial" w:cs="Arial"/>
                <w:sz w:val="20"/>
                <w:szCs w:val="20"/>
                <w:lang w:val="en-US"/>
              </w:rPr>
              <w:t>ULL_DECLARATION</w:t>
            </w:r>
            <w:r w:rsidRPr="00D278B3">
              <w:rPr>
                <w:rFonts w:ascii="Arial" w:hAnsi="Arial" w:cs="Arial"/>
                <w:sz w:val="20"/>
                <w:szCs w:val="20"/>
                <w:lang w:val="en-US"/>
              </w:rPr>
              <w:br/>
              <w:t>CORRECTIVE_DECLARATION</w:t>
            </w:r>
          </w:p>
        </w:tc>
      </w:tr>
      <w:tr w:rsidR="001962A0">
        <w:trPr>
          <w:jc w:val="center"/>
        </w:trPr>
        <w:tc>
          <w:tcPr>
            <w:tcW w:w="133" w:type="pct"/>
            <w:vAlign w:val="center"/>
          </w:tcPr>
          <w:p w:rsidR="001962A0" w:rsidRPr="00D278B3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GTDNumber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sNumDocIn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Номер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вх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Md_declaration.gtd_num</w:t>
            </w:r>
            <w:proofErr w:type="spellEnd"/>
          </w:p>
        </w:tc>
        <w:tc>
          <w:tcPr>
            <w:tcW w:w="536" w:type="pct"/>
            <w:vAlign w:val="center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Номер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ГТД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Varchar(25)</w:t>
            </w:r>
          </w:p>
        </w:tc>
        <w:tc>
          <w:tcPr>
            <w:tcW w:w="1025" w:type="pct"/>
            <w:gridSpan w:val="2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t>10006060/010925/5076529</w:t>
            </w:r>
          </w:p>
        </w:tc>
      </w:tr>
      <w:tr w:rsidR="001962A0">
        <w:trPr>
          <w:jc w:val="center"/>
        </w:trPr>
        <w:tc>
          <w:tcPr>
            <w:tcW w:w="133" w:type="pct"/>
            <w:vAlign w:val="center"/>
          </w:tcPr>
          <w:p w:rsidR="001962A0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RegistrationDate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dDocIn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Дата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вх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Date</w:t>
            </w:r>
            <w:proofErr w:type="spellEnd"/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Md_declaration.gtd_date</w:t>
            </w:r>
            <w:proofErr w:type="spellEnd"/>
          </w:p>
        </w:tc>
        <w:tc>
          <w:tcPr>
            <w:tcW w:w="536" w:type="pct"/>
            <w:vAlign w:val="center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Дата</w:t>
            </w:r>
            <w:proofErr w:type="spellEnd"/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025" w:type="pct"/>
            <w:gridSpan w:val="2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t>01.09.2025</w:t>
            </w:r>
          </w:p>
        </w:tc>
      </w:tr>
      <w:tr w:rsidR="001962A0">
        <w:trPr>
          <w:jc w:val="center"/>
        </w:trPr>
        <w:tc>
          <w:tcPr>
            <w:tcW w:w="133" w:type="pct"/>
          </w:tcPr>
          <w:p w:rsidR="001962A0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PeriodDecl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0F8FF"/>
              </w:rPr>
              <w:t>idPeriodDecl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Временная таможенная декларация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Ссылочный</w:t>
            </w:r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Md_declaration.gtd_tempopary</w:t>
            </w:r>
            <w:proofErr w:type="spellEnd"/>
          </w:p>
        </w:tc>
        <w:tc>
          <w:tcPr>
            <w:tcW w:w="536" w:type="pct"/>
            <w:vAlign w:val="center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Временная</w:t>
            </w:r>
            <w:proofErr w:type="spellEnd"/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025" w:type="pct"/>
            <w:gridSpan w:val="2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Cсылка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Можем передавать номер </w:t>
            </w:r>
            <w:r>
              <w:t>10006060/290725/5065498</w:t>
            </w:r>
          </w:p>
        </w:tc>
      </w:tr>
      <w:tr w:rsidR="001962A0">
        <w:trPr>
          <w:jc w:val="center"/>
        </w:trPr>
        <w:tc>
          <w:tcPr>
            <w:tcW w:w="133" w:type="pct"/>
          </w:tcPr>
          <w:p w:rsidR="001962A0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Customer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0F8FF"/>
              </w:rPr>
              <w:t>gidSettler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Контрагент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Number</w:t>
            </w:r>
            <w:proofErr w:type="spellEnd"/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Md_declaration.buyer_id</w:t>
            </w:r>
            <w:proofErr w:type="spellEnd"/>
          </w:p>
        </w:tc>
        <w:tc>
          <w:tcPr>
            <w:tcW w:w="536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Покупатель</w:t>
            </w:r>
            <w:proofErr w:type="spellEnd"/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  <w:proofErr w:type="spellEnd"/>
          </w:p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25" w:type="pct"/>
            <w:gridSpan w:val="2"/>
            <w:vAlign w:val="center"/>
          </w:tcPr>
          <w:p w:rsidR="001962A0" w:rsidRDefault="00ED3A4A" w:rsidP="00EF42DE">
            <w:pPr>
              <w:rPr>
                <w:rFonts w:ascii="Arial" w:hAnsi="Arial" w:cs="Arial"/>
                <w:sz w:val="20"/>
                <w:szCs w:val="20"/>
              </w:rPr>
            </w:pPr>
            <w:r w:rsidRPr="00A974DA">
              <w:rPr>
                <w:rFonts w:ascii="Arial" w:hAnsi="Arial" w:cs="Arial"/>
                <w:strike/>
                <w:sz w:val="20"/>
                <w:szCs w:val="20"/>
              </w:rPr>
              <w:t xml:space="preserve">Ссылка. Можем передавать как наименование - </w:t>
            </w:r>
            <w:proofErr w:type="spellStart"/>
            <w:r w:rsidRPr="00A974DA">
              <w:rPr>
                <w:rFonts w:ascii="Arial" w:hAnsi="Arial" w:cs="Arial"/>
                <w:strike/>
                <w:sz w:val="20"/>
                <w:szCs w:val="20"/>
              </w:rPr>
              <w:t>TradeStream</w:t>
            </w:r>
            <w:proofErr w:type="spellEnd"/>
            <w:r w:rsidRPr="00A974DA">
              <w:rPr>
                <w:rFonts w:ascii="Arial" w:hAnsi="Arial" w:cs="Arial"/>
                <w:strike/>
                <w:sz w:val="20"/>
                <w:szCs w:val="20"/>
              </w:rPr>
              <w:t xml:space="preserve"> </w:t>
            </w:r>
            <w:proofErr w:type="spellStart"/>
            <w:r w:rsidRPr="00A974DA">
              <w:rPr>
                <w:rFonts w:ascii="Arial" w:hAnsi="Arial" w:cs="Arial"/>
                <w:strike/>
                <w:sz w:val="20"/>
                <w:szCs w:val="20"/>
              </w:rPr>
              <w:t>Global</w:t>
            </w:r>
            <w:proofErr w:type="spellEnd"/>
            <w:r w:rsidRPr="00A974DA">
              <w:rPr>
                <w:rFonts w:ascii="Arial" w:hAnsi="Arial" w:cs="Arial"/>
                <w:strike/>
                <w:sz w:val="20"/>
                <w:szCs w:val="20"/>
              </w:rPr>
              <w:t xml:space="preserve"> FZE</w:t>
            </w:r>
            <w:r w:rsidRPr="00A974DA">
              <w:rPr>
                <w:rFonts w:ascii="Arial" w:hAnsi="Arial" w:cs="Arial"/>
                <w:strike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Так и при наличие, вытаскивать </w:t>
            </w:r>
            <w:r w:rsidRPr="00A974DA">
              <w:rPr>
                <w:rFonts w:ascii="Arial" w:hAnsi="Arial" w:cs="Arial"/>
                <w:sz w:val="20"/>
                <w:szCs w:val="20"/>
                <w:highlight w:val="yellow"/>
              </w:rPr>
              <w:t xml:space="preserve">внешний ключ, код </w:t>
            </w:r>
            <w:r w:rsidR="00EF42DE">
              <w:rPr>
                <w:rFonts w:ascii="Arial" w:hAnsi="Arial" w:cs="Arial"/>
                <w:sz w:val="20"/>
                <w:szCs w:val="20"/>
                <w:highlight w:val="yellow"/>
              </w:rPr>
              <w:t>ДМДМ</w:t>
            </w:r>
            <w:r w:rsidRPr="00A974DA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- </w:t>
            </w:r>
            <w:r w:rsidRPr="00A974DA">
              <w:rPr>
                <w:rFonts w:ascii="Liberation Sans" w:eastAsia="Liberation Sans" w:hAnsi="Liberation Sans" w:cs="Liberation Sans"/>
                <w:color w:val="3D424C"/>
                <w:sz w:val="18"/>
                <w:highlight w:val="yellow"/>
              </w:rPr>
              <w:t>302765</w:t>
            </w:r>
          </w:p>
        </w:tc>
      </w:tr>
      <w:tr w:rsidR="001962A0">
        <w:trPr>
          <w:jc w:val="center"/>
        </w:trPr>
        <w:tc>
          <w:tcPr>
            <w:tcW w:w="133" w:type="pct"/>
          </w:tcPr>
          <w:p w:rsidR="001962A0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ContractId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gidContract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Договор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Md_declaration.dogovor_id</w:t>
            </w:r>
            <w:proofErr w:type="spellEnd"/>
          </w:p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36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Договор</w:t>
            </w:r>
            <w:proofErr w:type="spellEnd"/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025" w:type="pct"/>
            <w:gridSpan w:val="2"/>
            <w:vAlign w:val="center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Cсылка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Можем передавать номер 1240</w:t>
            </w:r>
          </w:p>
          <w:p w:rsidR="00230CA2" w:rsidRPr="00230CA2" w:rsidRDefault="00230CA2" w:rsidP="00230CA2">
            <w:pPr>
              <w:rPr>
                <w:rFonts w:ascii="Arial" w:hAnsi="Arial" w:cs="Arial"/>
                <w:sz w:val="20"/>
                <w:szCs w:val="20"/>
              </w:rPr>
            </w:pPr>
            <w:r w:rsidRPr="00230CA2">
              <w:rPr>
                <w:rFonts w:ascii="Arial" w:hAnsi="Arial" w:cs="Arial"/>
                <w:sz w:val="20"/>
                <w:szCs w:val="20"/>
                <w:highlight w:val="yellow"/>
              </w:rPr>
              <w:t>Вопрос – можете передавать ИД договора?</w:t>
            </w:r>
          </w:p>
        </w:tc>
      </w:tr>
      <w:tr w:rsidR="001962A0">
        <w:trPr>
          <w:jc w:val="center"/>
        </w:trPr>
        <w:tc>
          <w:tcPr>
            <w:tcW w:w="133" w:type="pct"/>
          </w:tcPr>
          <w:p w:rsidR="001962A0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GrossWeightQuantity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nQtyGross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Разрешенный объем, т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Number</w:t>
            </w:r>
            <w:proofErr w:type="spellEnd"/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Md_declaration.brutto</w:t>
            </w:r>
            <w:proofErr w:type="spellEnd"/>
          </w:p>
        </w:tc>
        <w:tc>
          <w:tcPr>
            <w:tcW w:w="536" w:type="pct"/>
            <w:vAlign w:val="center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брутто</w:t>
            </w:r>
            <w:proofErr w:type="spellEnd"/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Numeric (16, 3) </w:t>
            </w:r>
          </w:p>
        </w:tc>
        <w:tc>
          <w:tcPr>
            <w:tcW w:w="1025" w:type="pct"/>
            <w:gridSpan w:val="2"/>
          </w:tcPr>
          <w:p w:rsidR="001962A0" w:rsidRDefault="00ED3A4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688.388,783</w:t>
            </w:r>
          </w:p>
        </w:tc>
      </w:tr>
      <w:tr w:rsidR="001962A0">
        <w:trPr>
          <w:jc w:val="center"/>
        </w:trPr>
        <w:tc>
          <w:tcPr>
            <w:tcW w:w="133" w:type="pct"/>
          </w:tcPr>
          <w:p w:rsidR="001962A0" w:rsidRDefault="001962A0">
            <w:pPr>
              <w:pStyle w:val="af9"/>
              <w:numPr>
                <w:ilvl w:val="0"/>
                <w:numId w:val="3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CustomsCost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Bs_ExportCustomDeclaration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nCustomValue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Таможенная стоимость в НВ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Number</w:t>
            </w:r>
            <w:proofErr w:type="spellEnd"/>
          </w:p>
        </w:tc>
        <w:tc>
          <w:tcPr>
            <w:tcW w:w="669" w:type="pct"/>
            <w:shd w:val="clear" w:color="auto" w:fill="auto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Md_declaration.customs_cost</w:t>
            </w:r>
            <w:proofErr w:type="spellEnd"/>
          </w:p>
        </w:tc>
        <w:tc>
          <w:tcPr>
            <w:tcW w:w="536" w:type="pct"/>
          </w:tcPr>
          <w:p w:rsidR="001962A0" w:rsidRDefault="00ED3A4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Таможенная стоимость</w:t>
            </w: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Numeric (17, 2 </w:t>
            </w:r>
          </w:p>
        </w:tc>
        <w:tc>
          <w:tcPr>
            <w:tcW w:w="1025" w:type="pct"/>
            <w:gridSpan w:val="2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t>27.534.047.622,58</w:t>
            </w:r>
          </w:p>
        </w:tc>
      </w:tr>
    </w:tbl>
    <w:p w:rsidR="001962A0" w:rsidRDefault="001962A0"/>
    <w:p w:rsidR="001962A0" w:rsidRDefault="00ED3A4A">
      <w:pPr>
        <w:pStyle w:val="a8"/>
        <w:keepNext/>
        <w:spacing w:after="0"/>
        <w:jc w:val="right"/>
      </w:pPr>
      <w:r>
        <w:t>Таблица 2. Состав и описание данных для асинхронного интеграционного обмена сущности «Товары»</w:t>
      </w:r>
    </w:p>
    <w:tbl>
      <w:tblPr>
        <w:tblStyle w:val="afa"/>
        <w:tblW w:w="5452" w:type="pct"/>
        <w:jc w:val="center"/>
        <w:tblLayout w:type="fixed"/>
        <w:tblLook w:val="04A0" w:firstRow="1" w:lastRow="0" w:firstColumn="1" w:lastColumn="0" w:noHBand="0" w:noVBand="1"/>
      </w:tblPr>
      <w:tblGrid>
        <w:gridCol w:w="422"/>
        <w:gridCol w:w="2413"/>
        <w:gridCol w:w="2127"/>
        <w:gridCol w:w="1845"/>
        <w:gridCol w:w="994"/>
        <w:gridCol w:w="2124"/>
        <w:gridCol w:w="1702"/>
        <w:gridCol w:w="994"/>
        <w:gridCol w:w="10"/>
        <w:gridCol w:w="3245"/>
      </w:tblGrid>
      <w:tr w:rsidR="001962A0">
        <w:trPr>
          <w:tblHeader/>
          <w:jc w:val="center"/>
        </w:trPr>
        <w:tc>
          <w:tcPr>
            <w:tcW w:w="133" w:type="pct"/>
            <w:vMerge w:val="restart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760" w:type="pct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Class: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Bs_ExportCustomDeclGoods</w:t>
            </w:r>
            <w:proofErr w:type="spellEnd"/>
          </w:p>
        </w:tc>
        <w:tc>
          <w:tcPr>
            <w:tcW w:w="1564" w:type="pct"/>
            <w:gridSpan w:val="3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Global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ERP</w:t>
            </w:r>
          </w:p>
        </w:tc>
        <w:tc>
          <w:tcPr>
            <w:tcW w:w="1521" w:type="pct"/>
            <w:gridSpan w:val="4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Аврора</w:t>
            </w:r>
          </w:p>
        </w:tc>
        <w:tc>
          <w:tcPr>
            <w:tcW w:w="1022" w:type="pct"/>
            <w:shd w:val="pct15" w:color="auto" w:fill="auto"/>
          </w:tcPr>
          <w:p w:rsidR="001962A0" w:rsidRDefault="00ED3A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Примечание, преобразование данных</w:t>
            </w:r>
          </w:p>
        </w:tc>
      </w:tr>
      <w:tr w:rsidR="001962A0">
        <w:trPr>
          <w:tblHeader/>
          <w:jc w:val="center"/>
        </w:trPr>
        <w:tc>
          <w:tcPr>
            <w:tcW w:w="133" w:type="pct"/>
            <w:vMerge/>
            <w:shd w:val="pct15" w:color="auto" w:fill="auto"/>
          </w:tcPr>
          <w:p w:rsidR="001962A0" w:rsidRDefault="001962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0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Системное имя столбца</w:t>
            </w:r>
          </w:p>
        </w:tc>
        <w:tc>
          <w:tcPr>
            <w:tcW w:w="670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Класс.атрибут</w:t>
            </w:r>
            <w:proofErr w:type="spellEnd"/>
          </w:p>
        </w:tc>
        <w:tc>
          <w:tcPr>
            <w:tcW w:w="581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69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Таблица.Поле</w:t>
            </w:r>
            <w:proofErr w:type="spellEnd"/>
          </w:p>
        </w:tc>
        <w:tc>
          <w:tcPr>
            <w:tcW w:w="536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3" w:type="pct"/>
            <w:shd w:val="pct15" w:color="auto" w:fill="auto"/>
          </w:tcPr>
          <w:p w:rsidR="001962A0" w:rsidRDefault="00ED3A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025" w:type="pct"/>
            <w:gridSpan w:val="2"/>
            <w:shd w:val="pct15" w:color="auto" w:fill="auto"/>
          </w:tcPr>
          <w:p w:rsidR="001962A0" w:rsidRDefault="001962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962A0" w:rsidRPr="00D278B3">
        <w:trPr>
          <w:jc w:val="center"/>
        </w:trPr>
        <w:tc>
          <w:tcPr>
            <w:tcW w:w="133" w:type="pct"/>
            <w:shd w:val="clear" w:color="auto" w:fill="F2F2F2" w:themeFill="background1" w:themeFillShade="F2"/>
          </w:tcPr>
          <w:p w:rsidR="001962A0" w:rsidRDefault="001962A0">
            <w:pPr>
              <w:pStyle w:val="af9"/>
              <w:ind w:left="132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  <w:shd w:val="clear" w:color="auto" w:fill="F2F2F2" w:themeFill="background1" w:themeFillShade="F2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StrName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Bs_ExportCustomDeclGoods</w:t>
            </w:r>
            <w:proofErr w:type="spellEnd"/>
          </w:p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ParentPart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 null</w:t>
            </w:r>
          </w:p>
        </w:tc>
        <w:tc>
          <w:tcPr>
            <w:tcW w:w="670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81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69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36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13" w:type="pct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25" w:type="pct"/>
            <w:gridSpan w:val="2"/>
            <w:shd w:val="clear" w:color="auto" w:fill="F2F2F2" w:themeFill="background1" w:themeFillShade="F2"/>
          </w:tcPr>
          <w:p w:rsidR="001962A0" w:rsidRDefault="001962A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962A0">
        <w:trPr>
          <w:jc w:val="center"/>
        </w:trPr>
        <w:tc>
          <w:tcPr>
            <w:tcW w:w="133" w:type="pct"/>
          </w:tcPr>
          <w:p w:rsidR="001962A0" w:rsidRDefault="001962A0">
            <w:pPr>
              <w:pStyle w:val="af9"/>
              <w:numPr>
                <w:ilvl w:val="0"/>
                <w:numId w:val="5"/>
              </w:numPr>
              <w:ind w:hanging="1318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GoodsDescription</w:t>
            </w:r>
            <w:proofErr w:type="spellEnd"/>
          </w:p>
        </w:tc>
        <w:tc>
          <w:tcPr>
            <w:tcW w:w="670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Bs_ExportCustomDeclGoods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gidGds</w:t>
            </w:r>
            <w:proofErr w:type="spellEnd"/>
          </w:p>
        </w:tc>
        <w:tc>
          <w:tcPr>
            <w:tcW w:w="581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Товар</w:t>
            </w:r>
          </w:p>
          <w:p w:rsidR="00EF42DE" w:rsidRDefault="00EF42D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Значения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иогт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быть</w:t>
            </w:r>
          </w:p>
          <w:p w:rsidR="00EF42DE" w:rsidRPr="00A974DA" w:rsidRDefault="00EF42DE" w:rsidP="00EF42DE">
            <w:pPr>
              <w:rPr>
                <w:highlight w:val="yellow"/>
              </w:rPr>
            </w:pPr>
            <w:r w:rsidRPr="00A974DA">
              <w:rPr>
                <w:highlight w:val="yellow"/>
              </w:rPr>
              <w:t>UKSDN – нефть</w:t>
            </w:r>
          </w:p>
          <w:p w:rsidR="00EF42DE" w:rsidRPr="00A974DA" w:rsidRDefault="00EF42DE" w:rsidP="00EF42DE">
            <w:r w:rsidRPr="00A974DA">
              <w:rPr>
                <w:highlight w:val="yellow"/>
              </w:rPr>
              <w:t>UKSDNP - продукты</w:t>
            </w:r>
          </w:p>
          <w:p w:rsidR="00EF42DE" w:rsidRDefault="00EF42D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Ссылочный</w:t>
            </w:r>
          </w:p>
        </w:tc>
        <w:tc>
          <w:tcPr>
            <w:tcW w:w="669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Md_declaration.material_id</w:t>
            </w:r>
            <w:proofErr w:type="spellEnd"/>
          </w:p>
        </w:tc>
        <w:tc>
          <w:tcPr>
            <w:tcW w:w="536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материал</w:t>
            </w:r>
            <w:proofErr w:type="spellEnd"/>
          </w:p>
        </w:tc>
        <w:tc>
          <w:tcPr>
            <w:tcW w:w="313" w:type="pct"/>
          </w:tcPr>
          <w:p w:rsidR="001962A0" w:rsidRDefault="00ED3A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025" w:type="pct"/>
            <w:gridSpan w:val="2"/>
          </w:tcPr>
          <w:p w:rsidR="001962A0" w:rsidRDefault="00ED3A4A">
            <w:pPr>
              <w:rPr>
                <w:strike/>
              </w:rPr>
            </w:pPr>
            <w:r w:rsidRPr="00A974DA">
              <w:rPr>
                <w:rFonts w:ascii="Arial" w:hAnsi="Arial" w:cs="Arial"/>
                <w:strike/>
                <w:sz w:val="20"/>
                <w:szCs w:val="20"/>
              </w:rPr>
              <w:t xml:space="preserve">Ссылка. Можем передавать как наименование Нефть, так и внешний ключ, код </w:t>
            </w:r>
            <w:proofErr w:type="spellStart"/>
            <w:r w:rsidRPr="00A974DA">
              <w:rPr>
                <w:rFonts w:ascii="Arial" w:hAnsi="Arial" w:cs="Arial"/>
                <w:strike/>
                <w:sz w:val="20"/>
                <w:szCs w:val="20"/>
              </w:rPr>
              <w:t>sap</w:t>
            </w:r>
            <w:proofErr w:type="spellEnd"/>
            <w:r w:rsidRPr="00A974DA">
              <w:rPr>
                <w:rFonts w:ascii="Arial" w:hAnsi="Arial" w:cs="Arial"/>
                <w:strike/>
                <w:sz w:val="20"/>
                <w:szCs w:val="20"/>
              </w:rPr>
              <w:t xml:space="preserve"> </w:t>
            </w:r>
            <w:r w:rsidRPr="00A974DA">
              <w:rPr>
                <w:strike/>
              </w:rPr>
              <w:t>50022092</w:t>
            </w:r>
          </w:p>
          <w:p w:rsidR="00A974DA" w:rsidRPr="00A974DA" w:rsidRDefault="00A974DA">
            <w:r w:rsidRPr="00A974DA">
              <w:rPr>
                <w:highlight w:val="yellow"/>
              </w:rPr>
              <w:t>UKSDN</w:t>
            </w:r>
          </w:p>
          <w:p w:rsidR="00A974DA" w:rsidRPr="00A974DA" w:rsidRDefault="00A974DA">
            <w:pPr>
              <w:rPr>
                <w:rFonts w:ascii="Arial" w:hAnsi="Arial" w:cs="Arial"/>
                <w:strike/>
                <w:sz w:val="20"/>
                <w:szCs w:val="20"/>
              </w:rPr>
            </w:pPr>
          </w:p>
        </w:tc>
      </w:tr>
    </w:tbl>
    <w:p w:rsidR="001962A0" w:rsidRDefault="001962A0"/>
    <w:p w:rsidR="00EF42DE" w:rsidRPr="00EF42DE" w:rsidRDefault="00EF42DE"/>
    <w:sectPr w:rsidR="00EF42DE" w:rsidRPr="00EF42DE">
      <w:pgSz w:w="16838" w:h="11906" w:orient="landscape"/>
      <w:pgMar w:top="1418" w:right="1134" w:bottom="567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A4A" w:rsidRDefault="00ED3A4A">
      <w:r>
        <w:separator/>
      </w:r>
    </w:p>
  </w:endnote>
  <w:endnote w:type="continuationSeparator" w:id="0">
    <w:p w:rsidR="00ED3A4A" w:rsidRDefault="00ED3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A4A" w:rsidRDefault="00ED3A4A">
      <w:r>
        <w:separator/>
      </w:r>
    </w:p>
  </w:footnote>
  <w:footnote w:type="continuationSeparator" w:id="0">
    <w:p w:rsidR="00ED3A4A" w:rsidRDefault="00ED3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2A0" w:rsidRDefault="00ED3A4A">
    <w:pPr>
      <w:pStyle w:val="af0"/>
      <w:jc w:val="right"/>
    </w:pPr>
    <w:r>
      <w:rPr>
        <w:rFonts w:ascii="Arial" w:eastAsia="Calibri" w:hAnsi="Arial" w:cs="Arial"/>
        <w:sz w:val="20"/>
        <w:szCs w:val="20"/>
        <w:lang w:eastAsia="en-US"/>
      </w:rPr>
      <w:t xml:space="preserve">ТТ Информационного обмена между системами </w:t>
    </w:r>
    <w:proofErr w:type="spellStart"/>
    <w:r>
      <w:rPr>
        <w:rFonts w:ascii="Arial" w:eastAsia="Calibri" w:hAnsi="Arial" w:cs="Arial"/>
        <w:sz w:val="20"/>
        <w:szCs w:val="20"/>
        <w:lang w:eastAsia="en-US"/>
      </w:rPr>
      <w:t>Global</w:t>
    </w:r>
    <w:proofErr w:type="spellEnd"/>
    <w:r>
      <w:rPr>
        <w:rFonts w:ascii="Arial" w:eastAsia="Calibri" w:hAnsi="Arial" w:cs="Arial"/>
        <w:sz w:val="20"/>
        <w:szCs w:val="20"/>
        <w:lang w:eastAsia="en-US"/>
      </w:rPr>
      <w:t xml:space="preserve"> ERP и Аврора в части данных по ГТД ПАО «Сургутнефтегаз»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2A0" w:rsidRDefault="001962A0">
    <w:pPr>
      <w:pStyle w:val="af0"/>
      <w:jc w:val="right"/>
      <w:rPr>
        <w:rFonts w:ascii="Arial" w:hAnsi="Arial" w:cs="Arial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2A0" w:rsidRDefault="00ED3A4A">
    <w:pPr>
      <w:pStyle w:val="af0"/>
      <w:jc w:val="right"/>
      <w:rPr>
        <w:rFonts w:ascii="Arial" w:hAnsi="Arial" w:cs="Arial"/>
        <w:sz w:val="20"/>
        <w:szCs w:val="20"/>
      </w:rPr>
    </w:pPr>
    <w:r>
      <w:rPr>
        <w:rFonts w:ascii="Arial" w:eastAsia="Calibri" w:hAnsi="Arial" w:cs="Arial"/>
        <w:sz w:val="20"/>
        <w:szCs w:val="20"/>
        <w:lang w:eastAsia="en-US"/>
      </w:rPr>
      <w:t xml:space="preserve">ТТ Информационного обмена между системами </w:t>
    </w:r>
    <w:proofErr w:type="spellStart"/>
    <w:r>
      <w:rPr>
        <w:rFonts w:ascii="Arial" w:eastAsia="Calibri" w:hAnsi="Arial" w:cs="Arial"/>
        <w:sz w:val="20"/>
        <w:szCs w:val="20"/>
        <w:lang w:eastAsia="en-US"/>
      </w:rPr>
      <w:t>Global</w:t>
    </w:r>
    <w:proofErr w:type="spellEnd"/>
    <w:r>
      <w:rPr>
        <w:rFonts w:ascii="Arial" w:eastAsia="Calibri" w:hAnsi="Arial" w:cs="Arial"/>
        <w:sz w:val="20"/>
        <w:szCs w:val="20"/>
        <w:lang w:eastAsia="en-US"/>
      </w:rPr>
      <w:t xml:space="preserve"> ERP и Аврора в части данных по ГТД ПАО «Сургутнефтегаз»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264"/>
    <w:multiLevelType w:val="hybridMultilevel"/>
    <w:tmpl w:val="8CB206F0"/>
    <w:lvl w:ilvl="0" w:tplc="89608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AD8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66E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E6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4CD9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6EC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E3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E649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CA1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41A0"/>
    <w:multiLevelType w:val="multilevel"/>
    <w:tmpl w:val="679672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4679B2"/>
    <w:multiLevelType w:val="multilevel"/>
    <w:tmpl w:val="1F822A64"/>
    <w:lvl w:ilvl="0">
      <w:start w:val="1"/>
      <w:numFmt w:val="decimal"/>
      <w:suff w:val="space"/>
      <w:lvlText w:val="%1."/>
      <w:lvlJc w:val="left"/>
      <w:pPr>
        <w:ind w:left="1352" w:hanging="1068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57A1055A"/>
    <w:multiLevelType w:val="multilevel"/>
    <w:tmpl w:val="A692D614"/>
    <w:lvl w:ilvl="0">
      <w:start w:val="1"/>
      <w:numFmt w:val="decimal"/>
      <w:suff w:val="space"/>
      <w:lvlText w:val="%1."/>
      <w:lvlJc w:val="left"/>
      <w:pPr>
        <w:ind w:left="1324" w:hanging="1182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5DF67215"/>
    <w:multiLevelType w:val="multilevel"/>
    <w:tmpl w:val="70BC800C"/>
    <w:lvl w:ilvl="0">
      <w:start w:val="1"/>
      <w:numFmt w:val="decimal"/>
      <w:suff w:val="space"/>
      <w:lvlText w:val="%1."/>
      <w:lvlJc w:val="left"/>
      <w:pPr>
        <w:ind w:left="1324" w:hanging="1182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2A0"/>
    <w:rsid w:val="001962A0"/>
    <w:rsid w:val="00230CA2"/>
    <w:rsid w:val="002A0F76"/>
    <w:rsid w:val="00602A34"/>
    <w:rsid w:val="00743942"/>
    <w:rsid w:val="00A974DA"/>
    <w:rsid w:val="00D278B3"/>
    <w:rsid w:val="00ED3A4A"/>
    <w:rsid w:val="00EF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2193B"/>
  <w15:docId w15:val="{DABBB858-9457-46EC-9138-5E3BB25E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theme="minorHAnsi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6"/>
      <w:szCs w:val="32"/>
    </w:rPr>
  </w:style>
  <w:style w:type="paragraph" w:styleId="2">
    <w:name w:val="heading 2"/>
    <w:basedOn w:val="1"/>
    <w:next w:val="1"/>
    <w:link w:val="20"/>
    <w:uiPriority w:val="9"/>
    <w:unhideWhenUsed/>
    <w:qFormat/>
    <w:pPr>
      <w:outlineLvl w:val="1"/>
    </w:pPr>
  </w:style>
  <w:style w:type="paragraph" w:styleId="3">
    <w:name w:val="heading 3"/>
    <w:basedOn w:val="2"/>
    <w:next w:val="4"/>
    <w:link w:val="30"/>
    <w:uiPriority w:val="9"/>
    <w:unhideWhenUsed/>
    <w:qFormat/>
    <w:pPr>
      <w:outlineLvl w:val="2"/>
    </w:pPr>
  </w:style>
  <w:style w:type="paragraph" w:styleId="4">
    <w:name w:val="heading 4"/>
    <w:basedOn w:val="a"/>
    <w:next w:val="3"/>
    <w:link w:val="40"/>
    <w:uiPriority w:val="9"/>
    <w:unhideWhenUsed/>
    <w:qFormat/>
    <w:pPr>
      <w:keepNext/>
      <w:keepLines/>
      <w:outlineLvl w:val="3"/>
    </w:pPr>
    <w:rPr>
      <w:rFonts w:ascii="Arial" w:eastAsiaTheme="majorEastAsia" w:hAnsi="Arial" w:cstheme="majorBidi"/>
      <w:i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472C4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3">
    <w:name w:val="Subtitle"/>
    <w:basedOn w:val="a"/>
    <w:next w:val="a"/>
    <w:link w:val="a4"/>
    <w:uiPriority w:val="11"/>
    <w:qFormat/>
    <w:pPr>
      <w:spacing w:before="200" w:after="200"/>
    </w:pPr>
    <w:rPr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header"/>
    <w:basedOn w:val="a"/>
    <w:link w:val="a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No Spacing"/>
    <w:uiPriority w:val="1"/>
    <w:qFormat/>
    <w:pPr>
      <w:ind w:firstLine="708"/>
    </w:pPr>
    <w:rPr>
      <w:rFonts w:cstheme="minorHAnsi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ajorEastAsia" w:hAnsi="Arial" w:cstheme="majorBidi"/>
      <w:b/>
      <w:color w:val="000000" w:themeColor="text1"/>
      <w:sz w:val="2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Theme="majorEastAsia" w:hAnsi="Arial" w:cstheme="majorBidi"/>
      <w:b/>
      <w:color w:val="000000" w:themeColor="text1"/>
      <w:sz w:val="26"/>
      <w:szCs w:val="32"/>
      <w:lang w:eastAsia="ru-RU"/>
    </w:rPr>
  </w:style>
  <w:style w:type="paragraph" w:styleId="af5">
    <w:name w:val="Title"/>
    <w:basedOn w:val="a"/>
    <w:next w:val="a"/>
    <w:link w:val="af6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6">
    <w:name w:val="Заголовок Знак"/>
    <w:basedOn w:val="a0"/>
    <w:link w:val="af5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Theme="majorEastAsia" w:hAnsi="Arial" w:cstheme="majorBidi"/>
      <w:b/>
      <w:color w:val="000000" w:themeColor="text1"/>
      <w:sz w:val="26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Theme="majorEastAsia" w:hAnsi="Arial" w:cstheme="majorBidi"/>
      <w:i/>
      <w:iCs/>
      <w:color w:val="000000" w:themeColor="text1"/>
      <w:sz w:val="24"/>
      <w:lang w:eastAsia="ru-RU"/>
    </w:rPr>
  </w:style>
  <w:style w:type="paragraph" w:styleId="af7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right" w:leader="dot" w:pos="9628"/>
      </w:tabs>
      <w:spacing w:after="100"/>
    </w:pPr>
    <w:rPr>
      <w:rFonts w:ascii="Arial" w:hAnsi="Arial"/>
      <w:sz w:val="24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  <w:rPr>
      <w:rFonts w:ascii="Arial" w:hAnsi="Arial"/>
      <w:sz w:val="24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  <w:rPr>
      <w:rFonts w:ascii="Arial" w:hAnsi="Arial"/>
      <w:sz w:val="24"/>
    </w:rPr>
  </w:style>
  <w:style w:type="paragraph" w:styleId="a8">
    <w:name w:val="caption"/>
    <w:basedOn w:val="a"/>
    <w:next w:val="a"/>
    <w:link w:val="a7"/>
    <w:uiPriority w:val="35"/>
    <w:unhideWhenUsed/>
    <w:qFormat/>
    <w:pPr>
      <w:spacing w:after="200"/>
    </w:pPr>
    <w:rPr>
      <w:rFonts w:ascii="Arial" w:hAnsi="Arial"/>
      <w:i/>
      <w:iCs/>
      <w:color w:val="000000" w:themeColor="text1"/>
      <w:sz w:val="18"/>
      <w:szCs w:val="18"/>
    </w:r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cstheme="minorHAnsi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rFonts w:cstheme="minorHAnsi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hAnsi="Segoe UI" w:cs="Segoe UI"/>
      <w:sz w:val="18"/>
      <w:szCs w:val="18"/>
      <w:lang w:eastAsia="ru-RU"/>
    </w:rPr>
  </w:style>
  <w:style w:type="paragraph" w:styleId="aff2">
    <w:name w:val="Revision"/>
    <w:hidden/>
    <w:uiPriority w:val="99"/>
    <w:semiHidden/>
    <w:rPr>
      <w:rFonts w:cs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4A54D-47AD-4B84-9978-9C37AF975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Судаков</dc:creator>
  <cp:keywords/>
  <dc:description/>
  <cp:lastModifiedBy>ПАА</cp:lastModifiedBy>
  <cp:revision>5</cp:revision>
  <dcterms:created xsi:type="dcterms:W3CDTF">2025-12-03T10:24:00Z</dcterms:created>
  <dcterms:modified xsi:type="dcterms:W3CDTF">2025-12-03T11:10:00Z</dcterms:modified>
</cp:coreProperties>
</file>