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76" w:rsidRDefault="00626076" w:rsidP="002E62DF">
      <w:pPr>
        <w:pStyle w:val="Title"/>
      </w:pPr>
      <w:r>
        <w:t>BU-</w:t>
      </w:r>
      <w:r w:rsidRPr="00626076">
        <w:t>HIPERWALL USER’S MANUAL</w:t>
      </w:r>
    </w:p>
    <w:p w:rsidR="002E62DF" w:rsidRPr="007F2575" w:rsidRDefault="002E62DF" w:rsidP="002E62DF">
      <w:pPr>
        <w:pStyle w:val="Heading1"/>
        <w:rPr>
          <w:color w:val="auto"/>
        </w:rPr>
      </w:pPr>
      <w:r w:rsidRPr="007F2575">
        <w:rPr>
          <w:color w:val="auto"/>
        </w:rPr>
        <w:t>Start-up (Local)</w:t>
      </w:r>
    </w:p>
    <w:p w:rsidR="0012715F" w:rsidRPr="0012715F" w:rsidRDefault="0012715F" w:rsidP="0012715F">
      <w:r>
        <w:t>Assuming that all the Hiperwall</w:t>
      </w:r>
      <w:r w:rsidR="006B0BED">
        <w:t xml:space="preserve"> Display</w:t>
      </w:r>
      <w:bookmarkStart w:id="0" w:name="_GoBack"/>
      <w:bookmarkEnd w:id="0"/>
      <w:r>
        <w:t xml:space="preserve"> monitors are setup, running, and </w:t>
      </w:r>
      <w:r w:rsidR="00D23C57">
        <w:t xml:space="preserve">the </w:t>
      </w:r>
      <w:r>
        <w:t>Hiperwall Controller is running</w:t>
      </w:r>
      <w:r w:rsidR="00D23C57">
        <w:t xml:space="preserve"> (see &lt;&lt;figure picture of Hiperwall waiting for information&gt;&gt;</w:t>
      </w:r>
      <w:r>
        <w:t xml:space="preserve">, follow these directions to “broadcast” or show what the user wants to display on the Hiperwall from their own </w:t>
      </w:r>
      <w:r w:rsidR="00D23C57">
        <w:t>monitors. See</w:t>
      </w:r>
      <w:r>
        <w:t xml:space="preserve"> </w:t>
      </w:r>
      <w:r>
        <w:fldChar w:fldCharType="begin"/>
      </w:r>
      <w:r>
        <w:instrText xml:space="preserve"> REF _Ref387060189 \h </w:instrText>
      </w:r>
      <w:r>
        <w:fldChar w:fldCharType="separate"/>
      </w:r>
      <w:r w:rsidR="008B6C28">
        <w:t xml:space="preserve">Figure </w:t>
      </w:r>
      <w:r w:rsidR="008B6C28">
        <w:rPr>
          <w:noProof/>
        </w:rPr>
        <w:t>5</w:t>
      </w:r>
      <w:r w:rsidR="008B6C28">
        <w:t>.  Display wall Screen Nomenclature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_Ref387060233 \h </w:instrText>
      </w:r>
      <w:r>
        <w:fldChar w:fldCharType="separate"/>
      </w:r>
      <w:r w:rsidR="008B6C28">
        <w:t xml:space="preserve">Figure </w:t>
      </w:r>
      <w:r w:rsidR="008B6C28">
        <w:rPr>
          <w:noProof/>
        </w:rPr>
        <w:t>4</w:t>
      </w:r>
      <w:r w:rsidR="008B6C28">
        <w:t>.  Desktop Monitor and Naming convention</w:t>
      </w:r>
      <w:r>
        <w:fldChar w:fldCharType="end"/>
      </w:r>
      <w:r>
        <w:t xml:space="preserve"> for help with nomenclature and the naming conventions used in this document.</w:t>
      </w:r>
    </w:p>
    <w:p w:rsidR="00A97CF8" w:rsidRDefault="00E37C3F" w:rsidP="007C4E5A">
      <w:pPr>
        <w:pStyle w:val="ListParagraph"/>
        <w:keepNext/>
        <w:numPr>
          <w:ilvl w:val="0"/>
          <w:numId w:val="2"/>
        </w:numPr>
        <w:spacing w:after="0"/>
      </w:pPr>
      <w:r>
        <w:t xml:space="preserve">Start Hiperwall by clicking on the Hiperwall </w:t>
      </w:r>
      <w:r w:rsidR="00B64D30">
        <w:t xml:space="preserve">Sender </w:t>
      </w:r>
      <w:r>
        <w:t>icon</w:t>
      </w:r>
      <w:r w:rsidR="00D23C57">
        <w:t xml:space="preserve"> </w:t>
      </w:r>
      <w:r w:rsidR="00013A1C">
        <w:t>(</w:t>
      </w:r>
      <w:r w:rsidR="0012715F">
        <w:fldChar w:fldCharType="begin"/>
      </w:r>
      <w:r w:rsidR="0012715F">
        <w:instrText xml:space="preserve"> REF _Ref387059985 \h </w:instrText>
      </w:r>
      <w:r w:rsidR="0012715F">
        <w:fldChar w:fldCharType="separate"/>
      </w:r>
      <w:r w:rsidR="008B6C28">
        <w:t xml:space="preserve">Figure </w:t>
      </w:r>
      <w:r w:rsidR="008B6C28">
        <w:rPr>
          <w:noProof/>
        </w:rPr>
        <w:t>1</w:t>
      </w:r>
      <w:r w:rsidR="008B6C28">
        <w:t>.  Hiperwall Sender Icon</w:t>
      </w:r>
      <w:r w:rsidR="0012715F">
        <w:fldChar w:fldCharType="end"/>
      </w:r>
      <w:proofErr w:type="gramStart"/>
      <w:r w:rsidR="00013A1C">
        <w:t>)</w:t>
      </w:r>
      <w:r w:rsidR="007C4E5A">
        <w:t>or</w:t>
      </w:r>
      <w:proofErr w:type="gramEnd"/>
      <w:r w:rsidR="007C4E5A">
        <w:t xml:space="preserve"> desktop shortcut</w:t>
      </w:r>
      <w:r w:rsidR="0012715F">
        <w:t>.  The icon should be on the Windows task</w:t>
      </w:r>
      <w:r w:rsidR="007C4E5A">
        <w:t>bar at the bottom of the screen</w:t>
      </w:r>
    </w:p>
    <w:p w:rsidR="008750B2" w:rsidRDefault="008750B2" w:rsidP="008750B2">
      <w:pPr>
        <w:pStyle w:val="ListParagraph"/>
        <w:keepNext/>
        <w:spacing w:after="0"/>
      </w:pPr>
    </w:p>
    <w:p w:rsidR="00013A1C" w:rsidRDefault="00A97CF8" w:rsidP="00D23C5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8148A08" wp14:editId="5700242E">
            <wp:extent cx="750498" cy="750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er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86" cy="7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C3F">
        <w:t>.</w:t>
      </w:r>
    </w:p>
    <w:p w:rsidR="00013A1C" w:rsidRDefault="00013A1C" w:rsidP="00D23C57">
      <w:pPr>
        <w:pStyle w:val="Caption"/>
        <w:jc w:val="center"/>
      </w:pPr>
      <w:bookmarkStart w:id="1" w:name="_Ref387059985"/>
      <w:r>
        <w:t xml:space="preserve">Figure </w:t>
      </w:r>
      <w:fldSimple w:instr=" SEQ Figure \* ARABIC ">
        <w:r w:rsidR="008B6C28">
          <w:rPr>
            <w:noProof/>
          </w:rPr>
          <w:t>1</w:t>
        </w:r>
      </w:fldSimple>
      <w:r>
        <w:t>.  Hiperwall Sender Icon</w:t>
      </w:r>
      <w:bookmarkEnd w:id="1"/>
    </w:p>
    <w:p w:rsidR="00013A1C" w:rsidRDefault="00013A1C" w:rsidP="00013A1C">
      <w:pPr>
        <w:pStyle w:val="ListParagraph"/>
        <w:spacing w:after="0"/>
      </w:pPr>
    </w:p>
    <w:p w:rsidR="00782E67" w:rsidRDefault="00782E67" w:rsidP="00A97CF8">
      <w:pPr>
        <w:pStyle w:val="ListParagraph"/>
        <w:numPr>
          <w:ilvl w:val="0"/>
          <w:numId w:val="2"/>
        </w:numPr>
        <w:spacing w:after="0"/>
      </w:pPr>
      <w:r>
        <w:t>Wait a few seconds until the out</w:t>
      </w:r>
      <w:r w:rsidR="00865D07">
        <w:t>er</w:t>
      </w:r>
      <w:r>
        <w:t xml:space="preserve"> border of the Hiperwall Sender window turns green</w:t>
      </w:r>
      <w:r w:rsidR="00D23C57">
        <w:t xml:space="preserve"> (</w:t>
      </w:r>
      <w:proofErr w:type="gramStart"/>
      <w:r w:rsidR="00D23C57">
        <w:t xml:space="preserve">See </w:t>
      </w:r>
      <w:proofErr w:type="gramEnd"/>
      <w:r w:rsidR="00D23C57">
        <w:fldChar w:fldCharType="begin"/>
      </w:r>
      <w:r w:rsidR="00D23C57">
        <w:instrText xml:space="preserve"> REF _Ref387065303 \h </w:instrText>
      </w:r>
      <w:r w:rsidR="00D23C57">
        <w:fldChar w:fldCharType="separate"/>
      </w:r>
      <w:r w:rsidR="008B6C28">
        <w:t xml:space="preserve">Figure </w:t>
      </w:r>
      <w:r w:rsidR="008B6C28">
        <w:rPr>
          <w:noProof/>
        </w:rPr>
        <w:t>2</w:t>
      </w:r>
      <w:r w:rsidR="008B6C28">
        <w:t>.  Hiperwall Sender Window</w:t>
      </w:r>
      <w:r w:rsidR="00D23C57">
        <w:fldChar w:fldCharType="end"/>
      </w:r>
      <w:r>
        <w:t>.</w:t>
      </w:r>
      <w:r w:rsidR="00D23C57">
        <w:t>)</w:t>
      </w:r>
    </w:p>
    <w:p w:rsidR="00A97CF8" w:rsidRDefault="00A97CF8" w:rsidP="00A97CF8">
      <w:pPr>
        <w:pStyle w:val="ListParagraph"/>
        <w:spacing w:after="0"/>
      </w:pPr>
    </w:p>
    <w:p w:rsidR="00E37C3F" w:rsidRDefault="00E37C3F" w:rsidP="00A97CF8">
      <w:pPr>
        <w:pStyle w:val="ListParagraph"/>
        <w:numPr>
          <w:ilvl w:val="0"/>
          <w:numId w:val="2"/>
        </w:numPr>
        <w:spacing w:after="0"/>
      </w:pPr>
      <w:r>
        <w:t>Click on Configure Sender Windows</w:t>
      </w:r>
      <w:r w:rsidR="00D23C57">
        <w:t xml:space="preserve"> Button</w:t>
      </w:r>
      <w:r w:rsidR="00C92EF4">
        <w:t>--</w:t>
      </w:r>
      <w:r w:rsidR="00D23C57">
        <w:t>the right most button</w:t>
      </w:r>
      <w:r w:rsidR="00C92EF4">
        <w:t>--</w:t>
      </w:r>
      <w:r w:rsidR="00D23C57">
        <w:t>in the center of the Sender window</w:t>
      </w:r>
      <w:r w:rsidR="00782E67">
        <w:t>.</w:t>
      </w:r>
    </w:p>
    <w:p w:rsidR="00496D37" w:rsidRDefault="00496D37" w:rsidP="00496D37">
      <w:pPr>
        <w:pStyle w:val="ListParagraph"/>
      </w:pPr>
    </w:p>
    <w:p w:rsidR="00E37C3F" w:rsidRDefault="00E37C3F" w:rsidP="00A97CF8">
      <w:pPr>
        <w:pStyle w:val="ListParagraph"/>
        <w:numPr>
          <w:ilvl w:val="0"/>
          <w:numId w:val="2"/>
        </w:numPr>
        <w:spacing w:after="0"/>
      </w:pPr>
      <w:r>
        <w:t>Decide on how many monitors to project</w:t>
      </w:r>
      <w:r w:rsidR="00A97CF8">
        <w:t xml:space="preserve"> </w:t>
      </w:r>
      <w:r w:rsidR="008D7D68">
        <w:t xml:space="preserve">(called </w:t>
      </w:r>
      <w:r w:rsidR="00A97CF8">
        <w:t>“</w:t>
      </w:r>
      <w:r w:rsidR="00A97CF8" w:rsidRPr="00496D37">
        <w:rPr>
          <w:b/>
          <w:i/>
        </w:rPr>
        <w:t>sending</w:t>
      </w:r>
      <w:r w:rsidR="00A97CF8">
        <w:t>”)</w:t>
      </w:r>
      <w:r w:rsidR="00496D37">
        <w:t xml:space="preserve"> see</w:t>
      </w:r>
      <w:r w:rsidR="00A97CF8">
        <w:rPr>
          <w:rStyle w:val="IntenseQuoteChar"/>
        </w:rPr>
        <w:t xml:space="preserve"> </w:t>
      </w:r>
      <w:r w:rsidR="008D7D68">
        <w:fldChar w:fldCharType="begin"/>
      </w:r>
      <w:r w:rsidR="008D7D68">
        <w:instrText xml:space="preserve"> REF _Ref381880309 \h </w:instrText>
      </w:r>
      <w:r w:rsidR="008D7D68">
        <w:fldChar w:fldCharType="separate"/>
      </w:r>
      <w:r w:rsidR="008B6C28">
        <w:t xml:space="preserve">Figure </w:t>
      </w:r>
      <w:r w:rsidR="008B6C28">
        <w:rPr>
          <w:noProof/>
        </w:rPr>
        <w:t>4</w:t>
      </w:r>
      <w:r w:rsidR="008D7D68">
        <w:fldChar w:fldCharType="end"/>
      </w:r>
      <w:r w:rsidR="00013A1C">
        <w:t xml:space="preserve"> and how you want them displayed (</w:t>
      </w:r>
      <w:r w:rsidR="00013A1C">
        <w:fldChar w:fldCharType="begin"/>
      </w:r>
      <w:r w:rsidR="00013A1C">
        <w:instrText xml:space="preserve"> REF _Ref381880897 \h </w:instrText>
      </w:r>
      <w:r w:rsidR="00013A1C">
        <w:fldChar w:fldCharType="separate"/>
      </w:r>
      <w:r w:rsidR="008B6C28">
        <w:t xml:space="preserve">Figure </w:t>
      </w:r>
      <w:r w:rsidR="008B6C28">
        <w:rPr>
          <w:noProof/>
        </w:rPr>
        <w:t>5</w:t>
      </w:r>
      <w:r w:rsidR="00013A1C">
        <w:fldChar w:fldCharType="end"/>
      </w:r>
      <w:r w:rsidR="00013A1C">
        <w:t>).</w:t>
      </w:r>
    </w:p>
    <w:p w:rsidR="00A97CF8" w:rsidRDefault="00C92EF4" w:rsidP="00A97CF8">
      <w:pPr>
        <w:pStyle w:val="NoSpacing"/>
      </w:pPr>
      <w:r>
        <w:rPr>
          <w:noProof/>
        </w:rPr>
        <w:drawing>
          <wp:inline distT="0" distB="0" distL="0" distR="0" wp14:anchorId="55DF4C60" wp14:editId="7281CF92">
            <wp:extent cx="5796951" cy="2496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perwall Sender Wind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086" cy="24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F4" w:rsidRDefault="00C92EF4" w:rsidP="00A97CF8">
      <w:pPr>
        <w:pStyle w:val="NoSpacing"/>
      </w:pPr>
    </w:p>
    <w:p w:rsidR="00C92EF4" w:rsidRDefault="00C92EF4" w:rsidP="00C92EF4">
      <w:pPr>
        <w:pStyle w:val="Caption"/>
      </w:pPr>
      <w:bookmarkStart w:id="2" w:name="_Ref387065303"/>
      <w:r>
        <w:t xml:space="preserve">Figure </w:t>
      </w:r>
      <w:fldSimple w:instr=" SEQ Figure \* ARABIC ">
        <w:r w:rsidR="008B6C28">
          <w:rPr>
            <w:noProof/>
          </w:rPr>
          <w:t>2</w:t>
        </w:r>
      </w:fldSimple>
      <w:r>
        <w:t>.  Hiperwall Sender Window</w:t>
      </w:r>
      <w:bookmarkEnd w:id="2"/>
    </w:p>
    <w:p w:rsidR="00B54D10" w:rsidRDefault="00B54D10" w:rsidP="00B54D10">
      <w:pPr>
        <w:pStyle w:val="Caption"/>
      </w:pPr>
      <w:r>
        <w:rPr>
          <w:i/>
          <w:noProof/>
        </w:rPr>
        <w:lastRenderedPageBreak/>
        <w:drawing>
          <wp:inline distT="0" distB="0" distL="0" distR="0" wp14:anchorId="65F498E9" wp14:editId="739B0A6B">
            <wp:extent cx="4710022" cy="375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erSiz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57" cy="376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Ref387235781"/>
      <w:bookmarkStart w:id="4" w:name="_Ref387065519"/>
      <w:r w:rsidRPr="00B54D10">
        <w:t xml:space="preserve"> </w:t>
      </w:r>
    </w:p>
    <w:p w:rsidR="00B54D10" w:rsidRDefault="00B54D10" w:rsidP="00B54D10">
      <w:pPr>
        <w:pStyle w:val="Caption"/>
      </w:pPr>
      <w:r>
        <w:t xml:space="preserve">Figure </w:t>
      </w:r>
      <w:fldSimple w:instr=" SEQ Figure \* ARABIC ">
        <w:r w:rsidR="008B6C28">
          <w:rPr>
            <w:noProof/>
          </w:rPr>
          <w:t>3</w:t>
        </w:r>
      </w:fldSimple>
      <w:bookmarkEnd w:id="3"/>
      <w:r>
        <w:t>.  SenderSizer Window</w:t>
      </w:r>
      <w:bookmarkEnd w:id="4"/>
    </w:p>
    <w:p w:rsidR="00C92EF4" w:rsidRDefault="00C92EF4" w:rsidP="00A97CF8">
      <w:pPr>
        <w:pStyle w:val="NoSpacing"/>
      </w:pPr>
    </w:p>
    <w:p w:rsidR="00D23C57" w:rsidRPr="00C92EF4" w:rsidRDefault="00C92EF4" w:rsidP="00C92EF4">
      <w:pPr>
        <w:pStyle w:val="Heading3"/>
        <w:rPr>
          <w:color w:val="auto"/>
        </w:rPr>
      </w:pPr>
      <w:r>
        <w:rPr>
          <w:color w:val="auto"/>
        </w:rPr>
        <w:t>If you want to display all of your monitors…</w:t>
      </w:r>
    </w:p>
    <w:p w:rsidR="008B6C28" w:rsidRDefault="00496D37" w:rsidP="00B54D10">
      <w:pPr>
        <w:pStyle w:val="Caption"/>
      </w:pPr>
      <w:r>
        <w:rPr>
          <w:i/>
        </w:rPr>
        <w:t xml:space="preserve">…choose </w:t>
      </w:r>
      <w:r w:rsidR="00865D07">
        <w:rPr>
          <w:i/>
        </w:rPr>
        <w:t xml:space="preserve">on the Hiperwall SenderSizer </w:t>
      </w:r>
      <w:r w:rsidR="00865D07" w:rsidRPr="00B54D10">
        <w:t>Full Desktop(All Screens)</w:t>
      </w:r>
      <w:r w:rsidR="00B54D10">
        <w:rPr>
          <w:i/>
        </w:rPr>
        <w:t xml:space="preserve">.  See  </w:t>
      </w:r>
      <w:r w:rsidR="00B54D10">
        <w:rPr>
          <w:i/>
        </w:rPr>
        <w:fldChar w:fldCharType="begin"/>
      </w:r>
      <w:r w:rsidR="00B54D10">
        <w:rPr>
          <w:i/>
        </w:rPr>
        <w:instrText xml:space="preserve"> REF _Ref387235781 \h </w:instrText>
      </w:r>
      <w:r w:rsidR="00B54D10">
        <w:rPr>
          <w:i/>
        </w:rPr>
      </w:r>
      <w:r w:rsidR="00B54D10">
        <w:rPr>
          <w:i/>
        </w:rPr>
        <w:fldChar w:fldCharType="separate"/>
      </w:r>
      <w:r w:rsidR="008B6C28" w:rsidRPr="00B54D10">
        <w:t xml:space="preserve"> </w:t>
      </w:r>
    </w:p>
    <w:p w:rsidR="00C92EF4" w:rsidRDefault="008B6C28" w:rsidP="00B54D10">
      <w:pPr>
        <w:spacing w:after="0"/>
        <w:ind w:firstLine="720"/>
        <w:rPr>
          <w:i/>
        </w:rPr>
      </w:pPr>
      <w:r>
        <w:t xml:space="preserve">Figure </w:t>
      </w:r>
      <w:r>
        <w:rPr>
          <w:noProof/>
        </w:rPr>
        <w:t>3</w:t>
      </w:r>
      <w:r w:rsidR="00B54D10">
        <w:rPr>
          <w:i/>
        </w:rPr>
        <w:fldChar w:fldCharType="end"/>
      </w:r>
      <w:r w:rsidR="00B54D10">
        <w:rPr>
          <w:i/>
        </w:rPr>
        <w:t xml:space="preserve">.  See </w:t>
      </w:r>
      <w:r w:rsidR="00B54D10">
        <w:rPr>
          <w:i/>
        </w:rPr>
        <w:fldChar w:fldCharType="begin"/>
      </w:r>
      <w:r w:rsidR="00B54D10">
        <w:rPr>
          <w:i/>
        </w:rPr>
        <w:instrText xml:space="preserve"> REF _Ref381882895 \h </w:instrText>
      </w:r>
      <w:r w:rsidR="00B54D10">
        <w:rPr>
          <w:i/>
        </w:rPr>
      </w:r>
      <w:r w:rsidR="00B54D10">
        <w:rPr>
          <w:i/>
        </w:rPr>
        <w:fldChar w:fldCharType="separate"/>
      </w:r>
      <w:r>
        <w:t>Sending All Monitors (Option LCR)</w:t>
      </w:r>
      <w:r w:rsidR="00B54D10">
        <w:rPr>
          <w:i/>
        </w:rPr>
        <w:fldChar w:fldCharType="end"/>
      </w:r>
    </w:p>
    <w:p w:rsidR="00865D07" w:rsidRPr="00C92EF4" w:rsidRDefault="00865D07" w:rsidP="00C92EF4">
      <w:pPr>
        <w:pStyle w:val="Heading3"/>
        <w:rPr>
          <w:color w:val="auto"/>
        </w:rPr>
      </w:pPr>
      <w:r w:rsidRPr="00C92EF4">
        <w:rPr>
          <w:color w:val="auto"/>
        </w:rPr>
        <w:t>If you want to display just one monitor…</w:t>
      </w:r>
    </w:p>
    <w:p w:rsidR="00865D07" w:rsidRDefault="00865D07" w:rsidP="0085334B">
      <w:pPr>
        <w:spacing w:after="0"/>
        <w:rPr>
          <w:i/>
        </w:rPr>
      </w:pPr>
      <w:r>
        <w:rPr>
          <w:i/>
        </w:rPr>
        <w:t xml:space="preserve">           …move SenderSizer to the monitor you want to send and maximize the window, then click Commit All.</w:t>
      </w:r>
    </w:p>
    <w:p w:rsidR="008750B2" w:rsidRDefault="008750B2" w:rsidP="00B54D10">
      <w:pPr>
        <w:pStyle w:val="Heading3"/>
        <w:rPr>
          <w:color w:val="auto"/>
        </w:rPr>
      </w:pPr>
      <w:r w:rsidRPr="00B54D10">
        <w:rPr>
          <w:color w:val="auto"/>
        </w:rPr>
        <w:t>If you want to display two monitors or a custom area…</w:t>
      </w:r>
    </w:p>
    <w:p w:rsidR="00B54D10" w:rsidRPr="00B54D10" w:rsidRDefault="00B54D10" w:rsidP="00B54D10">
      <w:pPr>
        <w:ind w:firstLine="720"/>
      </w:pPr>
      <w:r>
        <w:t>….Move SenderSizer to upper left of the area that you want to broadcast and click and drag bottom right corner to include the user’s chosen area.</w:t>
      </w:r>
    </w:p>
    <w:p w:rsidR="00B10B72" w:rsidRDefault="002E62DF" w:rsidP="002E62DF">
      <w:pPr>
        <w:pStyle w:val="Heading2"/>
      </w:pPr>
      <w:bookmarkStart w:id="5" w:name="_Ref381882837"/>
      <w:r>
        <w:t>Displaying options</w:t>
      </w:r>
      <w:bookmarkEnd w:id="5"/>
    </w:p>
    <w:p w:rsidR="00B10B72" w:rsidRDefault="00013A1C" w:rsidP="00865D07">
      <w:pPr>
        <w:pStyle w:val="Heading3"/>
      </w:pPr>
      <w:bookmarkStart w:id="6" w:name="_Ref381882895"/>
      <w:r>
        <w:t>Sending All Monitors (Option LCR)</w:t>
      </w:r>
      <w:bookmarkEnd w:id="6"/>
    </w:p>
    <w:p w:rsidR="00A97CF8" w:rsidRDefault="00013A1C" w:rsidP="00496D37">
      <w:pPr>
        <w:spacing w:after="0"/>
      </w:pPr>
      <w:r>
        <w:t>4.</w:t>
      </w:r>
      <w:r w:rsidR="00E37C3F">
        <w:t xml:space="preserve"> Click Full Desktop (All Screens)</w:t>
      </w:r>
      <w:r w:rsidR="00C00BFD">
        <w:t xml:space="preserve"> on the SenderSizer Window</w:t>
      </w:r>
      <w:r w:rsidR="00782E67">
        <w:t xml:space="preserve"> (You will see the Hiperwall Sender Window on the</w:t>
      </w:r>
      <w:r>
        <w:t xml:space="preserve"> Center Monitor (C).    </w:t>
      </w:r>
    </w:p>
    <w:p w:rsidR="00782E67" w:rsidRDefault="00782E67" w:rsidP="0085334B">
      <w:pPr>
        <w:spacing w:after="0"/>
      </w:pPr>
    </w:p>
    <w:p w:rsidR="00E37C3F" w:rsidRDefault="00E37C3F" w:rsidP="0085334B">
      <w:pPr>
        <w:spacing w:after="0"/>
      </w:pPr>
      <w:r>
        <w:t>5. Minimize the Hiperwall Sender Window</w:t>
      </w:r>
      <w:r w:rsidR="003F283B">
        <w:t>.</w:t>
      </w:r>
    </w:p>
    <w:p w:rsidR="003F283B" w:rsidRDefault="003F283B" w:rsidP="0085334B">
      <w:pPr>
        <w:spacing w:after="0"/>
      </w:pPr>
      <w:r>
        <w:t xml:space="preserve"> </w:t>
      </w:r>
    </w:p>
    <w:p w:rsidR="00E37C3F" w:rsidRDefault="00BC7645" w:rsidP="0085334B">
      <w:pPr>
        <w:spacing w:after="0"/>
      </w:pPr>
      <w:r>
        <w:t>6. Double Click P209-0# URL Explorer Shortcut</w:t>
      </w:r>
      <w:r w:rsidR="003F283B">
        <w:t xml:space="preserve"> on bottom Task bar.</w:t>
      </w:r>
    </w:p>
    <w:p w:rsidR="003F283B" w:rsidRDefault="003F283B" w:rsidP="0085334B">
      <w:pPr>
        <w:spacing w:after="0"/>
      </w:pPr>
    </w:p>
    <w:p w:rsidR="00BC7645" w:rsidRDefault="00BC7645" w:rsidP="0085334B">
      <w:pPr>
        <w:spacing w:after="0"/>
      </w:pPr>
      <w:r>
        <w:lastRenderedPageBreak/>
        <w:t xml:space="preserve">7. </w:t>
      </w:r>
      <w:r w:rsidR="00013A1C">
        <w:t xml:space="preserve">Navigate to the Send All Windows Folder.  </w:t>
      </w:r>
      <w:r>
        <w:t>Click on the Clear All Button</w:t>
      </w:r>
    </w:p>
    <w:p w:rsidR="003F283B" w:rsidRDefault="003F283B" w:rsidP="0085334B">
      <w:pPr>
        <w:spacing w:after="0"/>
      </w:pPr>
    </w:p>
    <w:p w:rsidR="00BC7645" w:rsidRDefault="00BC7645" w:rsidP="0085334B">
      <w:pPr>
        <w:spacing w:after="0"/>
      </w:pPr>
      <w:r>
        <w:t>8. Chose option P209-0#-LCR.hwe</w:t>
      </w:r>
      <w:r w:rsidR="003F283B">
        <w:t xml:space="preserve"> (you will see the display on Hiperwall Display)</w:t>
      </w:r>
    </w:p>
    <w:p w:rsidR="003F283B" w:rsidRDefault="003F283B" w:rsidP="0085334B">
      <w:pPr>
        <w:spacing w:after="0"/>
      </w:pPr>
    </w:p>
    <w:p w:rsidR="00B64D30" w:rsidRDefault="00B64D30" w:rsidP="0085334B">
      <w:pPr>
        <w:spacing w:after="0"/>
      </w:pPr>
      <w:r>
        <w:t>9. If you want to zoom in to fi</w:t>
      </w:r>
      <w:r w:rsidR="003F283B">
        <w:t xml:space="preserve">ll the full Display wall, then click in the Zoom folder. </w:t>
      </w:r>
    </w:p>
    <w:p w:rsidR="003F283B" w:rsidRDefault="003F283B" w:rsidP="0085334B">
      <w:pPr>
        <w:spacing w:after="0"/>
      </w:pPr>
    </w:p>
    <w:p w:rsidR="003F283B" w:rsidRDefault="00B64D30" w:rsidP="0085334B">
      <w:pPr>
        <w:spacing w:after="0"/>
      </w:pPr>
      <w:r>
        <w:t xml:space="preserve">10. </w:t>
      </w:r>
      <w:r w:rsidR="0085334B">
        <w:t>C</w:t>
      </w:r>
      <w:r w:rsidR="00B10B72">
        <w:t xml:space="preserve">lick on </w:t>
      </w:r>
      <w:r w:rsidR="00600E9B">
        <w:t>the one of the three</w:t>
      </w:r>
      <w:r w:rsidR="003F283B">
        <w:t xml:space="preserve"> LCR zoom options as desired-</w:t>
      </w:r>
    </w:p>
    <w:p w:rsidR="003F283B" w:rsidRDefault="003F283B" w:rsidP="0085334B">
      <w:pPr>
        <w:spacing w:after="0"/>
      </w:pPr>
    </w:p>
    <w:p w:rsidR="00B10B72" w:rsidRDefault="003F283B" w:rsidP="0085334B">
      <w:pPr>
        <w:spacing w:after="0"/>
      </w:pPr>
      <w:r>
        <w:t xml:space="preserve">          </w:t>
      </w:r>
      <w:r w:rsidR="00B10B72">
        <w:t>P209-0#-LCR-Zoom.hwe</w:t>
      </w:r>
      <w:r w:rsidR="00A52CDF">
        <w:t xml:space="preserve">  will zoom in the center </w:t>
      </w:r>
      <w:r w:rsidR="00600E9B">
        <w:t>display</w:t>
      </w:r>
      <w:r w:rsidR="00A52CDF">
        <w:t>(C)</w:t>
      </w:r>
    </w:p>
    <w:p w:rsidR="00600E9B" w:rsidRDefault="00600E9B" w:rsidP="0085334B">
      <w:pPr>
        <w:spacing w:after="0"/>
      </w:pPr>
      <w:r>
        <w:t xml:space="preserve">          P209-0#-LCR-L.hwe will zoom the left monitor </w:t>
      </w:r>
    </w:p>
    <w:p w:rsidR="003F283B" w:rsidRDefault="003F283B" w:rsidP="0085334B">
      <w:pPr>
        <w:spacing w:after="0"/>
      </w:pPr>
    </w:p>
    <w:p w:rsidR="00B10B72" w:rsidRDefault="00B10B72" w:rsidP="0085334B">
      <w:pPr>
        <w:spacing w:after="0"/>
      </w:pPr>
      <w:r>
        <w:t xml:space="preserve">11. If you want to zoom out and go back to your original mode, then click close. </w:t>
      </w:r>
    </w:p>
    <w:p w:rsidR="00600E9B" w:rsidRDefault="00600E9B" w:rsidP="0085334B">
      <w:pPr>
        <w:spacing w:after="0"/>
      </w:pPr>
    </w:p>
    <w:p w:rsidR="00B64D30" w:rsidRDefault="00FA6D6E" w:rsidP="0085334B">
      <w:pPr>
        <w:spacing w:after="0"/>
      </w:pPr>
      <w:r>
        <w:t>12</w:t>
      </w:r>
      <w:r w:rsidR="00B10B72">
        <w:t>. Click on the p209-0# folder to go back to main menu</w:t>
      </w:r>
      <w:r w:rsidR="00B64D30">
        <w:t xml:space="preserve"> </w:t>
      </w:r>
    </w:p>
    <w:p w:rsidR="00B10B72" w:rsidRDefault="00B10B72" w:rsidP="0085334B">
      <w:pPr>
        <w:spacing w:after="0"/>
      </w:pPr>
    </w:p>
    <w:p w:rsidR="00B10B72" w:rsidRDefault="00BC7645" w:rsidP="00D23C57">
      <w:pPr>
        <w:pStyle w:val="Heading3"/>
      </w:pPr>
      <w:r>
        <w:t>OPTION CR:</w:t>
      </w:r>
    </w:p>
    <w:p w:rsidR="00FA6D6E" w:rsidRDefault="00FA6D6E" w:rsidP="0085334B">
      <w:pPr>
        <w:spacing w:after="0"/>
      </w:pPr>
    </w:p>
    <w:p w:rsidR="00EA56EC" w:rsidRDefault="00FA6D6E" w:rsidP="0085334B">
      <w:pPr>
        <w:spacing w:after="0"/>
      </w:pPr>
      <w:r>
        <w:t>13</w:t>
      </w:r>
      <w:r w:rsidR="00C00BFD">
        <w:t>. Close the P209-0#.</w:t>
      </w:r>
      <w:r w:rsidR="00EA56EC">
        <w:t xml:space="preserve">CR.hwe option (you will notice that the </w:t>
      </w:r>
      <w:r w:rsidR="00C00BFD">
        <w:t>Display Wall is dark)</w:t>
      </w:r>
    </w:p>
    <w:p w:rsidR="00C00BFD" w:rsidRDefault="00FA6D6E" w:rsidP="00C00BFD">
      <w:pPr>
        <w:spacing w:after="0"/>
      </w:pPr>
      <w:r>
        <w:t>14</w:t>
      </w:r>
      <w:r w:rsidR="00C00BFD">
        <w:t xml:space="preserve">. Display the Hiperwall Sender window and click on the Configure Sender Windows (then minimize the Hiperwall </w:t>
      </w:r>
    </w:p>
    <w:p w:rsidR="00C00BFD" w:rsidRDefault="00C00BFD" w:rsidP="00C00BFD">
      <w:pPr>
        <w:spacing w:after="0"/>
      </w:pPr>
      <w:r>
        <w:t xml:space="preserve">        </w:t>
      </w:r>
      <w:r w:rsidR="00FA6D6E">
        <w:t xml:space="preserve"> </w:t>
      </w:r>
      <w:r>
        <w:t xml:space="preserve">Sender) </w:t>
      </w:r>
    </w:p>
    <w:p w:rsidR="00FA6D6E" w:rsidRDefault="00FA6D6E" w:rsidP="0085334B">
      <w:pPr>
        <w:spacing w:after="0"/>
      </w:pPr>
      <w:r>
        <w:t>15</w:t>
      </w:r>
      <w:r w:rsidR="001E183B">
        <w:t xml:space="preserve">. Move the SenderSizer Window to upper left hand corner of the center monitor </w:t>
      </w:r>
      <w:r w:rsidR="00381C46">
        <w:t xml:space="preserve">and drag the bottom right hand </w:t>
      </w:r>
    </w:p>
    <w:p w:rsidR="00BC7645" w:rsidRDefault="00FA6D6E" w:rsidP="0085334B">
      <w:pPr>
        <w:spacing w:after="0"/>
      </w:pPr>
      <w:r>
        <w:t xml:space="preserve">         </w:t>
      </w:r>
      <w:r w:rsidR="00381C46">
        <w:t>corner all the way to the bottom right hand corner of the Right monitor.</w:t>
      </w:r>
    </w:p>
    <w:p w:rsidR="00BC7645" w:rsidRDefault="00FA6D6E" w:rsidP="0085334B">
      <w:pPr>
        <w:spacing w:after="0"/>
      </w:pPr>
      <w:r>
        <w:t>16</w:t>
      </w:r>
      <w:r w:rsidR="00BC7645">
        <w:t>. Double Click P209-0# URL Explorer Shortcut</w:t>
      </w:r>
    </w:p>
    <w:p w:rsidR="00BC7645" w:rsidRDefault="00FA6D6E" w:rsidP="0085334B">
      <w:pPr>
        <w:spacing w:after="0"/>
      </w:pPr>
      <w:r>
        <w:t>1</w:t>
      </w:r>
      <w:r w:rsidR="00BC7645">
        <w:t>7. Click on the Clear All Button</w:t>
      </w:r>
    </w:p>
    <w:p w:rsidR="00BC7645" w:rsidRDefault="00FA6D6E" w:rsidP="0085334B">
      <w:pPr>
        <w:spacing w:after="0"/>
      </w:pPr>
      <w:r>
        <w:t>1</w:t>
      </w:r>
      <w:r w:rsidR="00381C46">
        <w:t>8. Chose option P209-0#-</w:t>
      </w:r>
      <w:r w:rsidR="00BC7645">
        <w:t>CR.hwe</w:t>
      </w:r>
    </w:p>
    <w:p w:rsidR="00FA6D6E" w:rsidRDefault="00FA6D6E" w:rsidP="00FA6D6E">
      <w:pPr>
        <w:spacing w:after="0"/>
      </w:pPr>
      <w:r>
        <w:t>19. If you want to zoom in to fill the full Display wall, then double click the P209-0# URL Explorer Shortcut</w:t>
      </w:r>
    </w:p>
    <w:p w:rsidR="00FA6D6E" w:rsidRDefault="00FA6D6E" w:rsidP="00FA6D6E">
      <w:pPr>
        <w:spacing w:after="0"/>
      </w:pPr>
      <w:r>
        <w:t>20. Click on the environments path and choose P209-0#-CR-Zoom.hwe</w:t>
      </w:r>
    </w:p>
    <w:p w:rsidR="00FA6D6E" w:rsidRDefault="00FA6D6E" w:rsidP="00FA6D6E">
      <w:pPr>
        <w:spacing w:after="0"/>
      </w:pPr>
      <w:r>
        <w:t xml:space="preserve">21. If you want to zoom out and go back to your original mode, then click close. </w:t>
      </w:r>
    </w:p>
    <w:p w:rsidR="00FA6D6E" w:rsidRDefault="00FA6D6E" w:rsidP="00FA6D6E">
      <w:pPr>
        <w:spacing w:after="0"/>
      </w:pPr>
      <w:r>
        <w:t xml:space="preserve">22. Click on the p209-0# folder to go back to main menu </w:t>
      </w:r>
    </w:p>
    <w:p w:rsidR="00611088" w:rsidRDefault="00611088" w:rsidP="00FA6D6E">
      <w:pPr>
        <w:spacing w:after="0"/>
      </w:pPr>
    </w:p>
    <w:p w:rsidR="00782E67" w:rsidRDefault="00782E67" w:rsidP="00782E67">
      <w:pPr>
        <w:spacing w:after="0"/>
      </w:pPr>
      <w:r>
        <w:t>*(The control head doesn’t know anything about what screens are being sent</w:t>
      </w:r>
      <w:r w:rsidR="00D23C57">
        <w:t xml:space="preserve"> </w:t>
      </w:r>
      <w:r>
        <w:t xml:space="preserve">(that is… the environment might be </w:t>
      </w:r>
      <w:r w:rsidRPr="00023D90">
        <w:rPr>
          <w:b/>
          <w:i/>
        </w:rPr>
        <w:t>labeled</w:t>
      </w:r>
      <w:r>
        <w:t xml:space="preserve"> CR, but the control node doesn’t know or care if you are actually </w:t>
      </w:r>
      <w:r w:rsidRPr="00023D90">
        <w:rPr>
          <w:b/>
          <w:i/>
        </w:rPr>
        <w:t>sending</w:t>
      </w:r>
      <w:r>
        <w:t xml:space="preserve"> LCR), so the environment only requires that there is a computer with the same sender name sending</w:t>
      </w:r>
      <w:r w:rsidR="00D23C57">
        <w:t xml:space="preserve">. So, </w:t>
      </w:r>
      <w:r>
        <w:t xml:space="preserve">the naming conventions of LCR, CR,etc is </w:t>
      </w:r>
      <w:r w:rsidRPr="00D23C57">
        <w:rPr>
          <w:b/>
          <w:i/>
        </w:rPr>
        <w:t>only</w:t>
      </w:r>
      <w:r>
        <w:t xml:space="preserve"> for  human use…)  </w:t>
      </w:r>
      <w:r>
        <w:rPr>
          <w:i/>
        </w:rPr>
        <w:t>also note…</w:t>
      </w:r>
      <w:r>
        <w:t xml:space="preserve"> that if there is a sender name change, none of the url’s or environments will work… not the end of the world, just need to rename inside each of the environment</w:t>
      </w:r>
      <w:r w:rsidR="00D23C57">
        <w:t xml:space="preserve"> variables</w:t>
      </w:r>
      <w:r>
        <w:t>…</w:t>
      </w:r>
    </w:p>
    <w:p w:rsidR="00782E67" w:rsidRDefault="00782E67" w:rsidP="00782E67">
      <w:pPr>
        <w:spacing w:after="0"/>
      </w:pPr>
    </w:p>
    <w:p w:rsidR="00782E67" w:rsidRPr="00712EF0" w:rsidRDefault="00782E67" w:rsidP="00782E67">
      <w:pPr>
        <w:spacing w:after="0"/>
      </w:pPr>
    </w:p>
    <w:p w:rsidR="00782E67" w:rsidRDefault="00782E67" w:rsidP="00782E67">
      <w:pPr>
        <w:spacing w:after="0"/>
      </w:pPr>
      <w:r>
        <w:t>*if using the url to control displays, there isn’t a screen asking to clear the display, so a lot of different screens can be broadcasting at the same time…</w:t>
      </w:r>
    </w:p>
    <w:p w:rsidR="00782E67" w:rsidRDefault="00782E67" w:rsidP="00782E67">
      <w:pPr>
        <w:spacing w:after="0"/>
      </w:pPr>
    </w:p>
    <w:p w:rsidR="008D7D68" w:rsidRDefault="008D7D68" w:rsidP="008D7D68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F5AA605" wp14:editId="039FF320">
            <wp:extent cx="667512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 Moni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6E" w:rsidRDefault="008D7D68" w:rsidP="008D7D68">
      <w:pPr>
        <w:pStyle w:val="Caption"/>
      </w:pPr>
      <w:bookmarkStart w:id="7" w:name="_Ref381880309"/>
      <w:bookmarkStart w:id="8" w:name="_Ref387060233"/>
      <w:r>
        <w:t xml:space="preserve">Figure </w:t>
      </w:r>
      <w:fldSimple w:instr=" SEQ Figure \* ARABIC ">
        <w:r w:rsidR="008B6C28">
          <w:rPr>
            <w:noProof/>
          </w:rPr>
          <w:t>4</w:t>
        </w:r>
      </w:fldSimple>
      <w:bookmarkEnd w:id="7"/>
      <w:r>
        <w:t>.  Desktop Monitor and Naming convention</w:t>
      </w:r>
      <w:bookmarkEnd w:id="8"/>
    </w:p>
    <w:p w:rsidR="008D7D68" w:rsidRDefault="008D7D68" w:rsidP="008D7D68">
      <w:pPr>
        <w:keepNext/>
        <w:spacing w:after="0"/>
      </w:pPr>
      <w:r>
        <w:rPr>
          <w:noProof/>
        </w:rPr>
        <w:drawing>
          <wp:inline distT="0" distB="0" distL="0" distR="0" wp14:anchorId="5FECFA0C" wp14:editId="21417641">
            <wp:extent cx="667512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3F" w:rsidRDefault="008D7D68" w:rsidP="008D7D68">
      <w:pPr>
        <w:pStyle w:val="Caption"/>
      </w:pPr>
      <w:bookmarkStart w:id="9" w:name="_Ref381880897"/>
      <w:bookmarkStart w:id="10" w:name="_Ref387060189"/>
      <w:r>
        <w:t xml:space="preserve">Figure </w:t>
      </w:r>
      <w:fldSimple w:instr=" SEQ Figure \* ARABIC ">
        <w:r w:rsidR="008B6C28">
          <w:rPr>
            <w:noProof/>
          </w:rPr>
          <w:t>5</w:t>
        </w:r>
      </w:fldSimple>
      <w:bookmarkEnd w:id="9"/>
      <w:r>
        <w:t>.  Display wall Screen Nomenclature</w:t>
      </w:r>
      <w:bookmarkEnd w:id="10"/>
    </w:p>
    <w:p w:rsidR="00B54D10" w:rsidRDefault="00B54D10">
      <w:pPr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color w:val="FF0000"/>
        </w:rPr>
        <w:br w:type="page"/>
      </w:r>
    </w:p>
    <w:p w:rsidR="00794EEE" w:rsidRPr="007F2575" w:rsidRDefault="00B54D10" w:rsidP="007F2575">
      <w:pPr>
        <w:pStyle w:val="Heading1"/>
        <w:rPr>
          <w:color w:val="auto"/>
        </w:rPr>
      </w:pPr>
      <w:r w:rsidRPr="007F2575">
        <w:rPr>
          <w:color w:val="auto"/>
        </w:rPr>
        <w:lastRenderedPageBreak/>
        <w:t>T</w:t>
      </w:r>
      <w:r w:rsidR="00794EEE" w:rsidRPr="007F2575">
        <w:rPr>
          <w:color w:val="auto"/>
        </w:rPr>
        <w:t>o tile multiple web pages per screen and broadcast them</w:t>
      </w:r>
      <w:r w:rsidR="007C4E5A">
        <w:rPr>
          <w:color w:val="auto"/>
        </w:rPr>
        <w:t xml:space="preserve"> on the Hiperwall</w:t>
      </w:r>
    </w:p>
    <w:p w:rsidR="00794EEE" w:rsidRDefault="00794EEE" w:rsidP="00794EEE">
      <w:pPr>
        <w:spacing w:after="0"/>
      </w:pPr>
    </w:p>
    <w:p w:rsidR="00794EEE" w:rsidRDefault="00794EEE" w:rsidP="00794EEE">
      <w:pPr>
        <w:spacing w:after="0"/>
      </w:pPr>
      <w:r>
        <w:t>1.  Open the browsers that you want up (I find that readability limits to 6 pages per desktop screen—I suggest to keep it to 4 per desktop screen</w:t>
      </w:r>
    </w:p>
    <w:p w:rsidR="00794EEE" w:rsidRDefault="00794EEE" w:rsidP="00794EEE">
      <w:pPr>
        <w:spacing w:after="0"/>
      </w:pPr>
      <w:r>
        <w:t xml:space="preserve">2. </w:t>
      </w:r>
      <w:proofErr w:type="gramStart"/>
      <w:r>
        <w:t>put</w:t>
      </w:r>
      <w:proofErr w:type="gramEnd"/>
      <w:r>
        <w:t xml:space="preserve"> them opened in small windows on the monitor that you want</w:t>
      </w:r>
    </w:p>
    <w:p w:rsidR="00794EEE" w:rsidRDefault="00794EEE" w:rsidP="00794EEE">
      <w:pPr>
        <w:spacing w:after="0"/>
      </w:pPr>
      <w:r>
        <w:t xml:space="preserve">3. </w:t>
      </w:r>
      <w:proofErr w:type="gramStart"/>
      <w:r>
        <w:t>open</w:t>
      </w:r>
      <w:proofErr w:type="gramEnd"/>
      <w:r>
        <w:t xml:space="preserve"> task manager (CTRL-ALT-DEL)</w:t>
      </w:r>
    </w:p>
    <w:p w:rsidR="00794EEE" w:rsidRDefault="00794EEE" w:rsidP="00794EEE">
      <w:pPr>
        <w:spacing w:after="0"/>
      </w:pPr>
      <w:r>
        <w:t xml:space="preserve">4. </w:t>
      </w:r>
      <w:proofErr w:type="gramStart"/>
      <w:r>
        <w:t>select</w:t>
      </w:r>
      <w:proofErr w:type="gramEnd"/>
      <w:r>
        <w:t xml:space="preserve"> all of the browser windows you want to tile in task manager applications tab and right click and select  Tile Vertically…the windows should tile automatically the way you want</w:t>
      </w:r>
    </w:p>
    <w:p w:rsidR="00794EEE" w:rsidRDefault="00794EEE" w:rsidP="00794EEE">
      <w:pPr>
        <w:spacing w:after="0"/>
      </w:pPr>
      <w:r>
        <w:t>6. (Using method you prefer to control Hiperwall</w:t>
      </w:r>
      <w:proofErr w:type="gramStart"/>
      <w:r>
        <w:t>)  Broadcast</w:t>
      </w:r>
      <w:proofErr w:type="gramEnd"/>
      <w:r>
        <w:t xml:space="preserve"> what you wanted from sender sizer and chose appropriate choice from url menus</w:t>
      </w:r>
    </w:p>
    <w:p w:rsidR="00794EEE" w:rsidRDefault="00794EEE" w:rsidP="00794EEE">
      <w:pPr>
        <w:spacing w:after="0"/>
      </w:pPr>
    </w:p>
    <w:p w:rsidR="009C24A4" w:rsidRDefault="009C24A4">
      <w:r>
        <w:br w:type="page"/>
      </w:r>
    </w:p>
    <w:p w:rsidR="00794EEE" w:rsidRPr="007F2575" w:rsidRDefault="00794EEE" w:rsidP="007F2575">
      <w:pPr>
        <w:pStyle w:val="Heading1"/>
        <w:rPr>
          <w:color w:val="auto"/>
        </w:rPr>
      </w:pPr>
      <w:r w:rsidRPr="007F2575">
        <w:rPr>
          <w:color w:val="auto"/>
        </w:rPr>
        <w:lastRenderedPageBreak/>
        <w:t>DaVinci instructions</w:t>
      </w:r>
    </w:p>
    <w:p w:rsidR="009C24A4" w:rsidRDefault="009C24A4" w:rsidP="00794EEE">
      <w:pPr>
        <w:spacing w:after="0"/>
      </w:pPr>
      <w:r>
        <w:t>On the desktop there should be an icon for the DaVinci-</w:t>
      </w:r>
      <w:proofErr w:type="spellStart"/>
      <w:r>
        <w:t>VisLab</w:t>
      </w:r>
      <w:proofErr w:type="spellEnd"/>
      <w:r>
        <w:t xml:space="preserve"> Audio Control</w:t>
      </w:r>
      <w:r w:rsidR="007F2575">
        <w:fldChar w:fldCharType="begin"/>
      </w:r>
      <w:r w:rsidR="007F2575">
        <w:instrText xml:space="preserve"> REF _Ref388601921 \p \h </w:instrText>
      </w:r>
      <w:r w:rsidR="007F2575">
        <w:fldChar w:fldCharType="separate"/>
      </w:r>
      <w:r w:rsidR="008B6C28">
        <w:t>below</w:t>
      </w:r>
      <w:r w:rsidR="007F2575">
        <w:fldChar w:fldCharType="end"/>
      </w:r>
      <w:r w:rsidR="007F2575">
        <w:t>.   Double-clicking will bring up</w:t>
      </w:r>
      <w:r w:rsidR="003F654E">
        <w:fldChar w:fldCharType="begin"/>
      </w:r>
      <w:r w:rsidR="003F654E">
        <w:instrText xml:space="preserve"> REF _Ref388603056 \p \h </w:instrText>
      </w:r>
      <w:r w:rsidR="003F654E">
        <w:fldChar w:fldCharType="separate"/>
      </w:r>
      <w:r w:rsidR="008B6C28">
        <w:t>below</w:t>
      </w:r>
      <w:r w:rsidR="003F654E">
        <w:fldChar w:fldCharType="end"/>
      </w:r>
      <w:r w:rsidR="003F654E">
        <w:t xml:space="preserve"> the daVinci Audio Control.</w:t>
      </w:r>
      <w:r w:rsidR="007F2575">
        <w:t xml:space="preserve"> </w:t>
      </w:r>
      <w:r>
        <w:t xml:space="preserve"> This is the way to control the audio capabilities of P209A.  Audio is broadcast over traditional wiring to the amplifier in the bottom of the </w:t>
      </w:r>
      <w:r w:rsidR="007F2575">
        <w:t>display node cabinet.</w:t>
      </w:r>
      <w:r w:rsidR="00491DDA">
        <w:t xml:space="preserve">  The important thing to remember is that all the workstations broadcast their audio at the same time.  What this means is that it can become a cacophony very quickly if workstations start playing audio at the same time.</w:t>
      </w:r>
    </w:p>
    <w:p w:rsidR="007F2575" w:rsidRDefault="009C24A4" w:rsidP="007F2575">
      <w:pPr>
        <w:keepNext/>
        <w:spacing w:after="0"/>
      </w:pPr>
      <w:r>
        <w:rPr>
          <w:noProof/>
        </w:rPr>
        <w:drawing>
          <wp:inline distT="0" distB="0" distL="0" distR="0" wp14:anchorId="7A27DF9B" wp14:editId="66BA38A3">
            <wp:extent cx="724001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nci shortcut 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EE" w:rsidRDefault="007F2575" w:rsidP="007F2575">
      <w:pPr>
        <w:pStyle w:val="Caption"/>
      </w:pPr>
      <w:bookmarkStart w:id="11" w:name="_Ref388601921"/>
      <w:r>
        <w:t xml:space="preserve">Figure </w:t>
      </w:r>
      <w:r w:rsidR="008B6C28">
        <w:fldChar w:fldCharType="begin"/>
      </w:r>
      <w:r w:rsidR="008B6C28">
        <w:instrText xml:space="preserve"> SEQ Figure \* ARABIC </w:instrText>
      </w:r>
      <w:r w:rsidR="008B6C28">
        <w:fldChar w:fldCharType="separate"/>
      </w:r>
      <w:r w:rsidR="008B6C28">
        <w:rPr>
          <w:noProof/>
        </w:rPr>
        <w:t>6</w:t>
      </w:r>
      <w:r w:rsidR="008B6C28">
        <w:rPr>
          <w:noProof/>
        </w:rPr>
        <w:fldChar w:fldCharType="end"/>
      </w:r>
      <w:r>
        <w:t>.  daVinci Desktop Shortcut</w:t>
      </w:r>
      <w:bookmarkEnd w:id="11"/>
    </w:p>
    <w:p w:rsidR="00491DDA" w:rsidRDefault="00491DDA" w:rsidP="003F654E">
      <w:pPr>
        <w:keepNext/>
        <w:spacing w:after="0"/>
      </w:pPr>
    </w:p>
    <w:p w:rsidR="00491DDA" w:rsidRDefault="00491DDA" w:rsidP="003F654E">
      <w:pPr>
        <w:keepNext/>
        <w:spacing w:after="0"/>
      </w:pPr>
    </w:p>
    <w:p w:rsidR="00491DDA" w:rsidRDefault="00491DDA" w:rsidP="003F654E">
      <w:pPr>
        <w:keepNext/>
        <w:spacing w:after="0"/>
      </w:pPr>
    </w:p>
    <w:p w:rsidR="003F654E" w:rsidRDefault="009C24A4" w:rsidP="003F654E">
      <w:pPr>
        <w:keepNext/>
        <w:spacing w:after="0"/>
      </w:pPr>
      <w:r>
        <w:rPr>
          <w:noProof/>
        </w:rPr>
        <w:drawing>
          <wp:inline distT="0" distB="0" distL="0" distR="0" wp14:anchorId="111BC4D2" wp14:editId="715A6C93">
            <wp:extent cx="4166558" cy="3422983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nci Screen 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82" cy="34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EE" w:rsidRDefault="003F654E" w:rsidP="003F654E">
      <w:pPr>
        <w:pStyle w:val="Caption"/>
      </w:pPr>
      <w:bookmarkStart w:id="12" w:name="_Ref388603056"/>
      <w:r>
        <w:t xml:space="preserve">Figure </w:t>
      </w:r>
      <w:r w:rsidR="008B6C28">
        <w:fldChar w:fldCharType="begin"/>
      </w:r>
      <w:r w:rsidR="008B6C28">
        <w:instrText xml:space="preserve"> SEQ Figure \* ARABIC </w:instrText>
      </w:r>
      <w:r w:rsidR="008B6C28">
        <w:fldChar w:fldCharType="separate"/>
      </w:r>
      <w:r w:rsidR="008B6C28">
        <w:rPr>
          <w:noProof/>
        </w:rPr>
        <w:t>7</w:t>
      </w:r>
      <w:r w:rsidR="008B6C28">
        <w:rPr>
          <w:noProof/>
        </w:rPr>
        <w:fldChar w:fldCharType="end"/>
      </w:r>
      <w:r>
        <w:t>.  daVinci Audio Control</w:t>
      </w:r>
      <w:bookmarkEnd w:id="12"/>
    </w:p>
    <w:p w:rsidR="00794EEE" w:rsidRDefault="00794EEE" w:rsidP="00794EEE">
      <w:pPr>
        <w:spacing w:after="0"/>
      </w:pPr>
      <w:r>
        <w:t>*to close after short cut to DaVinci is opened press &lt;ctrl-F9&gt; then close from x button in upper right corner</w:t>
      </w:r>
    </w:p>
    <w:p w:rsidR="00794EEE" w:rsidRDefault="00794EEE" w:rsidP="00794EEE">
      <w:pPr>
        <w:spacing w:after="0"/>
      </w:pPr>
      <w:r>
        <w:t>(x button might be highlightable, but will not work…) if &lt;ctrl-F9&gt; doesn’t work then try &lt;alt-F9&gt;</w:t>
      </w:r>
    </w:p>
    <w:p w:rsidR="00794EEE" w:rsidRDefault="00794EEE" w:rsidP="00794EEE">
      <w:pPr>
        <w:spacing w:after="0"/>
      </w:pPr>
    </w:p>
    <w:p w:rsidR="00794EEE" w:rsidRPr="00794EEE" w:rsidRDefault="00794EEE" w:rsidP="00794EEE"/>
    <w:sectPr w:rsidR="00794EEE" w:rsidRPr="00794EEE" w:rsidSect="0085334B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90C"/>
    <w:multiLevelType w:val="hybridMultilevel"/>
    <w:tmpl w:val="522C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72F15"/>
    <w:multiLevelType w:val="hybridMultilevel"/>
    <w:tmpl w:val="30E0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69"/>
    <w:rsid w:val="00013A1C"/>
    <w:rsid w:val="00023D90"/>
    <w:rsid w:val="0012715F"/>
    <w:rsid w:val="001E183B"/>
    <w:rsid w:val="002E62DF"/>
    <w:rsid w:val="00381C46"/>
    <w:rsid w:val="003C5D72"/>
    <w:rsid w:val="003F283B"/>
    <w:rsid w:val="003F654E"/>
    <w:rsid w:val="00491DDA"/>
    <w:rsid w:val="00496D37"/>
    <w:rsid w:val="004A1B18"/>
    <w:rsid w:val="004B7A85"/>
    <w:rsid w:val="005A63D7"/>
    <w:rsid w:val="00600E9B"/>
    <w:rsid w:val="00611088"/>
    <w:rsid w:val="00626076"/>
    <w:rsid w:val="006B0BED"/>
    <w:rsid w:val="00712EF0"/>
    <w:rsid w:val="00782E67"/>
    <w:rsid w:val="00794EEE"/>
    <w:rsid w:val="007C4E5A"/>
    <w:rsid w:val="007F2575"/>
    <w:rsid w:val="00832EB1"/>
    <w:rsid w:val="00836F7C"/>
    <w:rsid w:val="0085334B"/>
    <w:rsid w:val="00865D07"/>
    <w:rsid w:val="008750B2"/>
    <w:rsid w:val="008B6C28"/>
    <w:rsid w:val="008D7D68"/>
    <w:rsid w:val="00942769"/>
    <w:rsid w:val="009C24A4"/>
    <w:rsid w:val="009F1699"/>
    <w:rsid w:val="00A52CDF"/>
    <w:rsid w:val="00A97CF8"/>
    <w:rsid w:val="00AB3431"/>
    <w:rsid w:val="00B10B72"/>
    <w:rsid w:val="00B54D10"/>
    <w:rsid w:val="00B64D30"/>
    <w:rsid w:val="00B82E09"/>
    <w:rsid w:val="00B8434D"/>
    <w:rsid w:val="00BC7645"/>
    <w:rsid w:val="00C0030D"/>
    <w:rsid w:val="00C00BFD"/>
    <w:rsid w:val="00C01693"/>
    <w:rsid w:val="00C92EF4"/>
    <w:rsid w:val="00D23C57"/>
    <w:rsid w:val="00D5337F"/>
    <w:rsid w:val="00E02885"/>
    <w:rsid w:val="00E37C3F"/>
    <w:rsid w:val="00EA56EC"/>
    <w:rsid w:val="00F84B11"/>
    <w:rsid w:val="00F93BA0"/>
    <w:rsid w:val="00FA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F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6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6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7D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7D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D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C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CF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97CF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36F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F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6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6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7D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7D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D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C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CF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97CF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36F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4E14-60FD-4120-A96C-499DBD6B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Bellarmine University</dc:creator>
  <cp:lastModifiedBy>Bellarmine University</cp:lastModifiedBy>
  <cp:revision>11</cp:revision>
  <cp:lastPrinted>2014-08-11T15:36:00Z</cp:lastPrinted>
  <dcterms:created xsi:type="dcterms:W3CDTF">2014-05-05T19:11:00Z</dcterms:created>
  <dcterms:modified xsi:type="dcterms:W3CDTF">2014-08-11T15:37:00Z</dcterms:modified>
</cp:coreProperties>
</file>