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6031B8">
      <w:pPr>
        <w:pageBreakBefore w:val="0"/>
        <w:kinsoku/>
        <w:wordWrap/>
        <w:overflowPunct/>
        <w:topLinePunct w:val="0"/>
        <w:autoSpaceDE/>
        <w:autoSpaceDN/>
        <w:bidi w:val="0"/>
        <w:spacing w:line="240" w:lineRule="auto"/>
        <w:ind w:left="0"/>
        <w:jc w:val="center"/>
        <w:rPr>
          <w:rFonts w:hint="eastAsia" w:ascii="宋体" w:eastAsia="宋体"/>
          <w:sz w:val="24"/>
        </w:rPr>
      </w:pPr>
    </w:p>
    <w:p w14:paraId="26E27DC6">
      <w:pPr>
        <w:pageBreakBefore w:val="0"/>
        <w:kinsoku/>
        <w:wordWrap/>
        <w:overflowPunct/>
        <w:topLinePunct w:val="0"/>
        <w:autoSpaceDE/>
        <w:autoSpaceDN/>
        <w:bidi w:val="0"/>
        <w:spacing w:line="240" w:lineRule="auto"/>
        <w:ind w:left="0"/>
        <w:rPr>
          <w:rFonts w:hint="eastAsia" w:ascii="宋体"/>
          <w:b/>
        </w:rPr>
      </w:pPr>
      <w:r>
        <w:rPr>
          <w:rFonts w:hint="eastAsia" w:ascii="宋体"/>
          <w:b/>
        </w:rPr>
        <w:t xml:space="preserve">                                        </w:t>
      </w:r>
      <w:r>
        <w:rPr>
          <w:rFonts w:hint="eastAsia"/>
          <w:sz w:val="21"/>
        </w:rPr>
        <w:t>项目编号：</w:t>
      </w:r>
      <w:r>
        <w:rPr>
          <w:rFonts w:hint="eastAsia"/>
          <w:sz w:val="21"/>
          <w:u w:val="single"/>
        </w:rPr>
        <w:t>T020PRP48039</w:t>
      </w:r>
    </w:p>
    <w:p w14:paraId="7D87526B">
      <w:pPr>
        <w:pageBreakBefore w:val="0"/>
        <w:kinsoku/>
        <w:wordWrap/>
        <w:overflowPunct/>
        <w:topLinePunct w:val="0"/>
        <w:autoSpaceDE/>
        <w:autoSpaceDN/>
        <w:bidi w:val="0"/>
        <w:spacing w:line="240" w:lineRule="auto"/>
        <w:ind w:left="0"/>
        <w:rPr>
          <w:rFonts w:hint="eastAsia"/>
          <w:szCs w:val="21"/>
        </w:rPr>
      </w:pPr>
      <w:r>
        <w:rPr>
          <w:rFonts w:hint="eastAsia"/>
          <w:sz w:val="24"/>
        </w:rPr>
        <w:t xml:space="preserve">      </w:t>
      </w:r>
      <w:r>
        <w:rPr>
          <w:rFonts w:hint="eastAsia"/>
          <w:szCs w:val="21"/>
        </w:rPr>
        <w:t xml:space="preserve">                                                                              </w:t>
      </w:r>
    </w:p>
    <w:p w14:paraId="1C944772">
      <w:pPr>
        <w:pageBreakBefore w:val="0"/>
        <w:kinsoku/>
        <w:wordWrap/>
        <w:overflowPunct/>
        <w:topLinePunct w:val="0"/>
        <w:autoSpaceDE/>
        <w:autoSpaceDN/>
        <w:bidi w:val="0"/>
        <w:spacing w:line="240" w:lineRule="auto"/>
        <w:ind w:left="0"/>
        <w:rPr>
          <w:rFonts w:hint="eastAsia" w:ascii="黑体" w:eastAsia="黑体"/>
          <w:sz w:val="24"/>
          <w:szCs w:val="24"/>
        </w:rPr>
      </w:pPr>
      <w:r>
        <w:rPr>
          <w:rFonts w:hint="eastAsia"/>
          <w:bCs/>
          <w:szCs w:val="21"/>
        </w:rPr>
        <w:t xml:space="preserve">                                                  </w:t>
      </w:r>
    </w:p>
    <w:p w14:paraId="0439A763">
      <w:pPr>
        <w:pageBreakBefore w:val="0"/>
        <w:kinsoku/>
        <w:wordWrap/>
        <w:overflowPunct/>
        <w:topLinePunct w:val="0"/>
        <w:autoSpaceDE/>
        <w:autoSpaceDN/>
        <w:bidi w:val="0"/>
        <w:spacing w:line="240" w:lineRule="auto"/>
        <w:ind w:left="0"/>
        <w:jc w:val="center"/>
        <w:rPr>
          <w:rFonts w:hint="eastAsia" w:ascii="黑体" w:eastAsia="黑体"/>
          <w:b/>
          <w:bCs/>
          <w:sz w:val="36"/>
          <w:szCs w:val="28"/>
        </w:rPr>
      </w:pPr>
      <w:r>
        <w:object>
          <v:shape id="_x0000_i1025" o:spt="75" type="#_x0000_t75" style="height:59.55pt;width:233.05pt;" o:ole="t" filled="f" stroked="f" coordsize="21600,21600">
            <v:path/>
            <v:fill on="f" alignshape="1" focussize="0,0"/>
            <v:stroke on="f"/>
            <v:imagedata r:id="rId12" grayscale="f" bilevel="f" o:title=""/>
            <o:lock v:ext="edit" aspectratio="t"/>
            <w10:wrap type="none"/>
            <w10:anchorlock/>
          </v:shape>
          <o:OLEObject Type="Embed" ProgID="CorelDRAW.Graphic.9" ShapeID="_x0000_i1025" DrawAspect="Content" ObjectID="_1468075725" r:id="rId11">
            <o:LockedField>false</o:LockedField>
          </o:OLEObject>
        </w:object>
      </w:r>
    </w:p>
    <w:p w14:paraId="4055B346">
      <w:pPr>
        <w:pageBreakBefore w:val="0"/>
        <w:kinsoku/>
        <w:wordWrap/>
        <w:overflowPunct/>
        <w:topLinePunct w:val="0"/>
        <w:autoSpaceDE/>
        <w:autoSpaceDN/>
        <w:bidi w:val="0"/>
        <w:spacing w:line="240" w:lineRule="auto"/>
        <w:ind w:left="0"/>
        <w:jc w:val="center"/>
        <w:rPr>
          <w:rFonts w:hint="eastAsia" w:ascii="黑体" w:eastAsia="黑体"/>
          <w:b/>
          <w:bCs/>
          <w:sz w:val="36"/>
          <w:szCs w:val="28"/>
        </w:rPr>
      </w:pPr>
    </w:p>
    <w:p w14:paraId="046F119E">
      <w:pPr>
        <w:pageBreakBefore w:val="0"/>
        <w:kinsoku/>
        <w:wordWrap/>
        <w:overflowPunct/>
        <w:topLinePunct w:val="0"/>
        <w:autoSpaceDE/>
        <w:autoSpaceDN/>
        <w:bidi w:val="0"/>
        <w:spacing w:line="240" w:lineRule="auto"/>
        <w:ind w:left="0"/>
        <w:jc w:val="center"/>
        <w:rPr>
          <w:rFonts w:hint="eastAsia" w:ascii="黑体" w:eastAsia="黑体"/>
          <w:b/>
          <w:bCs/>
          <w:sz w:val="48"/>
          <w:szCs w:val="48"/>
        </w:rPr>
      </w:pPr>
      <w:r>
        <w:rPr>
          <w:rFonts w:hint="eastAsia" w:ascii="黑体" w:eastAsia="黑体"/>
          <w:b/>
          <w:bCs/>
          <w:sz w:val="48"/>
          <w:szCs w:val="48"/>
        </w:rPr>
        <w:t>本科生研究计划（PRP）研究论文</w:t>
      </w:r>
    </w:p>
    <w:p w14:paraId="6282A26D">
      <w:pPr>
        <w:pageBreakBefore w:val="0"/>
        <w:kinsoku/>
        <w:wordWrap/>
        <w:overflowPunct/>
        <w:topLinePunct w:val="0"/>
        <w:autoSpaceDE/>
        <w:autoSpaceDN/>
        <w:bidi w:val="0"/>
        <w:spacing w:line="240" w:lineRule="auto"/>
        <w:ind w:left="0"/>
        <w:jc w:val="center"/>
        <w:rPr>
          <w:rFonts w:hint="eastAsia" w:ascii="黑体" w:eastAsia="黑体"/>
          <w:sz w:val="48"/>
          <w:szCs w:val="48"/>
        </w:rPr>
      </w:pPr>
      <w:r>
        <w:rPr>
          <w:rFonts w:hint="eastAsia" w:ascii="黑体" w:eastAsia="黑体"/>
          <w:sz w:val="48"/>
          <w:szCs w:val="48"/>
        </w:rPr>
        <w:t>(第</w:t>
      </w:r>
      <w:r>
        <w:rPr>
          <w:rFonts w:hint="eastAsia" w:ascii="黑体" w:eastAsia="黑体"/>
          <w:sz w:val="48"/>
          <w:szCs w:val="48"/>
          <w:lang w:val="en-US" w:eastAsia="zh-CN"/>
        </w:rPr>
        <w:t>49</w:t>
      </w:r>
      <w:r>
        <w:rPr>
          <w:rFonts w:hint="eastAsia" w:ascii="黑体" w:eastAsia="黑体"/>
          <w:sz w:val="48"/>
          <w:szCs w:val="48"/>
        </w:rPr>
        <w:t>期)</w:t>
      </w:r>
    </w:p>
    <w:p w14:paraId="31B90382">
      <w:pPr>
        <w:pageBreakBefore w:val="0"/>
        <w:kinsoku/>
        <w:wordWrap/>
        <w:overflowPunct/>
        <w:topLinePunct w:val="0"/>
        <w:autoSpaceDE/>
        <w:autoSpaceDN/>
        <w:bidi w:val="0"/>
        <w:spacing w:line="240" w:lineRule="auto"/>
        <w:ind w:left="0"/>
        <w:rPr>
          <w:rFonts w:hint="eastAsia" w:ascii="黑体" w:eastAsia="黑体"/>
          <w:sz w:val="30"/>
          <w:szCs w:val="28"/>
        </w:rPr>
      </w:pPr>
    </w:p>
    <w:p w14:paraId="52082D82">
      <w:pPr>
        <w:pageBreakBefore w:val="0"/>
        <w:kinsoku/>
        <w:wordWrap/>
        <w:overflowPunct/>
        <w:topLinePunct w:val="0"/>
        <w:autoSpaceDE/>
        <w:autoSpaceDN/>
        <w:bidi w:val="0"/>
        <w:spacing w:line="240" w:lineRule="auto"/>
        <w:ind w:left="0"/>
        <w:rPr>
          <w:rFonts w:hint="eastAsia" w:ascii="黑体" w:eastAsia="黑体"/>
          <w:sz w:val="30"/>
          <w:szCs w:val="28"/>
        </w:rPr>
      </w:pPr>
    </w:p>
    <w:p w14:paraId="0B89F167">
      <w:pPr>
        <w:pageBreakBefore w:val="0"/>
        <w:kinsoku/>
        <w:wordWrap/>
        <w:overflowPunct/>
        <w:topLinePunct w:val="0"/>
        <w:autoSpaceDE/>
        <w:autoSpaceDN/>
        <w:bidi w:val="0"/>
        <w:spacing w:line="240" w:lineRule="auto"/>
        <w:ind w:left="0"/>
        <w:rPr>
          <w:rFonts w:hint="eastAsia" w:ascii="黑体" w:eastAsia="黑体"/>
          <w:sz w:val="30"/>
          <w:szCs w:val="28"/>
        </w:rPr>
      </w:pPr>
    </w:p>
    <w:p w14:paraId="39D42E7E">
      <w:pPr>
        <w:pageBreakBefore w:val="0"/>
        <w:kinsoku/>
        <w:wordWrap/>
        <w:overflowPunct/>
        <w:topLinePunct w:val="0"/>
        <w:autoSpaceDE/>
        <w:autoSpaceDN/>
        <w:bidi w:val="0"/>
        <w:spacing w:line="240" w:lineRule="auto"/>
        <w:ind w:left="0" w:firstLine="1"/>
        <w:rPr>
          <w:rFonts w:hint="eastAsia"/>
          <w:b/>
          <w:bCs/>
          <w:sz w:val="28"/>
          <w:szCs w:val="21"/>
        </w:rPr>
      </w:pPr>
    </w:p>
    <w:p w14:paraId="7DFC7A0C">
      <w:pPr>
        <w:pageBreakBefore w:val="0"/>
        <w:kinsoku/>
        <w:wordWrap/>
        <w:overflowPunct/>
        <w:topLinePunct w:val="0"/>
        <w:autoSpaceDE/>
        <w:autoSpaceDN/>
        <w:bidi w:val="0"/>
        <w:spacing w:line="240" w:lineRule="auto"/>
        <w:ind w:left="0" w:firstLine="1"/>
        <w:rPr>
          <w:rFonts w:hint="eastAsia"/>
          <w:b/>
          <w:bCs/>
          <w:sz w:val="28"/>
          <w:szCs w:val="21"/>
        </w:rPr>
      </w:pPr>
    </w:p>
    <w:p w14:paraId="22C1B2AB">
      <w:pPr>
        <w:pageBreakBefore w:val="0"/>
        <w:kinsoku/>
        <w:wordWrap/>
        <w:overflowPunct/>
        <w:topLinePunct w:val="0"/>
        <w:autoSpaceDE/>
        <w:autoSpaceDN/>
        <w:bidi w:val="0"/>
        <w:spacing w:line="240" w:lineRule="auto"/>
        <w:ind w:left="0" w:firstLine="1"/>
        <w:rPr>
          <w:rFonts w:hint="eastAsia"/>
          <w:b/>
          <w:bCs/>
          <w:sz w:val="28"/>
          <w:szCs w:val="21"/>
        </w:rPr>
      </w:pPr>
    </w:p>
    <w:p w14:paraId="5C79A22C">
      <w:pPr>
        <w:pageBreakBefore w:val="0"/>
        <w:kinsoku/>
        <w:wordWrap/>
        <w:overflowPunct/>
        <w:topLinePunct w:val="0"/>
        <w:autoSpaceDE/>
        <w:autoSpaceDN/>
        <w:bidi w:val="0"/>
        <w:spacing w:line="240" w:lineRule="auto"/>
        <w:ind w:left="0" w:firstLine="1"/>
        <w:rPr>
          <w:rFonts w:hint="eastAsia"/>
          <w:b/>
          <w:bCs/>
          <w:sz w:val="28"/>
          <w:szCs w:val="21"/>
        </w:rPr>
      </w:pPr>
    </w:p>
    <w:p w14:paraId="168CEF4D">
      <w:pPr>
        <w:pageBreakBefore w:val="0"/>
        <w:kinsoku/>
        <w:wordWrap/>
        <w:overflowPunct/>
        <w:topLinePunct w:val="0"/>
        <w:autoSpaceDE/>
        <w:autoSpaceDN/>
        <w:bidi w:val="0"/>
        <w:spacing w:line="240" w:lineRule="auto"/>
        <w:ind w:left="0" w:firstLine="1"/>
        <w:rPr>
          <w:rFonts w:hint="eastAsia"/>
          <w:b/>
          <w:bCs/>
          <w:sz w:val="28"/>
          <w:szCs w:val="21"/>
        </w:rPr>
      </w:pPr>
    </w:p>
    <w:p w14:paraId="60B3D8E9">
      <w:pPr>
        <w:pageBreakBefore w:val="0"/>
        <w:kinsoku/>
        <w:wordWrap/>
        <w:overflowPunct/>
        <w:topLinePunct w:val="0"/>
        <w:autoSpaceDE/>
        <w:autoSpaceDN/>
        <w:bidi w:val="0"/>
        <w:spacing w:line="240" w:lineRule="auto"/>
        <w:ind w:left="0" w:firstLine="1"/>
        <w:rPr>
          <w:rFonts w:hint="eastAsia"/>
          <w:b/>
          <w:bCs/>
          <w:sz w:val="28"/>
          <w:szCs w:val="21"/>
        </w:rPr>
      </w:pPr>
    </w:p>
    <w:p w14:paraId="54CB3A7B">
      <w:pPr>
        <w:pageBreakBefore w:val="0"/>
        <w:kinsoku/>
        <w:wordWrap/>
        <w:overflowPunct/>
        <w:topLinePunct w:val="0"/>
        <w:autoSpaceDE/>
        <w:autoSpaceDN/>
        <w:bidi w:val="0"/>
        <w:spacing w:line="240" w:lineRule="auto"/>
        <w:ind w:left="0" w:firstLine="562" w:firstLineChars="200"/>
        <w:rPr>
          <w:rFonts w:hint="eastAsia"/>
          <w:b/>
          <w:bCs/>
          <w:sz w:val="28"/>
          <w:szCs w:val="28"/>
        </w:rPr>
      </w:pPr>
      <w:r>
        <w:rPr>
          <w:rFonts w:hint="eastAsia"/>
          <w:b/>
          <w:bCs/>
          <w:sz w:val="28"/>
          <w:szCs w:val="28"/>
        </w:rPr>
        <w:t>论文题目：_球形六足机器人多模式运动强化学习研究 _</w:t>
      </w:r>
    </w:p>
    <w:p w14:paraId="6DBD893E">
      <w:pPr>
        <w:pageBreakBefore w:val="0"/>
        <w:kinsoku/>
        <w:wordWrap/>
        <w:overflowPunct/>
        <w:topLinePunct w:val="0"/>
        <w:autoSpaceDE/>
        <w:autoSpaceDN/>
        <w:bidi w:val="0"/>
        <w:spacing w:line="240" w:lineRule="auto"/>
        <w:ind w:left="0"/>
        <w:rPr>
          <w:rFonts w:hint="eastAsia"/>
          <w:b/>
          <w:bCs/>
          <w:sz w:val="28"/>
          <w:szCs w:val="28"/>
        </w:rPr>
      </w:pPr>
    </w:p>
    <w:p w14:paraId="1FFB5CB0">
      <w:pPr>
        <w:pageBreakBefore w:val="0"/>
        <w:kinsoku/>
        <w:wordWrap/>
        <w:overflowPunct/>
        <w:topLinePunct w:val="0"/>
        <w:autoSpaceDE/>
        <w:autoSpaceDN/>
        <w:bidi w:val="0"/>
        <w:spacing w:line="240" w:lineRule="auto"/>
        <w:ind w:left="0" w:firstLine="540"/>
        <w:rPr>
          <w:rFonts w:hint="eastAsia"/>
          <w:b/>
          <w:bCs/>
          <w:sz w:val="28"/>
          <w:szCs w:val="28"/>
        </w:rPr>
      </w:pPr>
      <w:r>
        <w:rPr>
          <w:rFonts w:hint="eastAsia"/>
          <w:b/>
          <w:bCs/>
          <w:sz w:val="28"/>
          <w:szCs w:val="28"/>
        </w:rPr>
        <w:t>项目负责人：_</w:t>
      </w:r>
      <w:r>
        <w:rPr>
          <w:rFonts w:hint="eastAsia"/>
          <w:b/>
          <w:bCs/>
          <w:sz w:val="28"/>
          <w:szCs w:val="28"/>
          <w:lang w:eastAsia="zh-CN"/>
        </w:rPr>
        <w:t>张顾璇</w:t>
      </w:r>
      <w:r>
        <w:rPr>
          <w:rFonts w:hint="eastAsia"/>
          <w:b/>
          <w:bCs/>
          <w:sz w:val="28"/>
          <w:szCs w:val="28"/>
        </w:rPr>
        <w:t>_  学院（系）： _</w:t>
      </w:r>
      <w:r>
        <w:rPr>
          <w:rFonts w:hint="eastAsia"/>
          <w:b/>
          <w:bCs/>
          <w:sz w:val="28"/>
          <w:szCs w:val="28"/>
          <w:lang w:eastAsia="zh-CN"/>
        </w:rPr>
        <w:t>机械与动力工程学院</w:t>
      </w:r>
      <w:r>
        <w:rPr>
          <w:rFonts w:hint="eastAsia"/>
          <w:b/>
          <w:bCs/>
          <w:sz w:val="28"/>
          <w:szCs w:val="28"/>
        </w:rPr>
        <w:t>_</w:t>
      </w:r>
    </w:p>
    <w:p w14:paraId="1B1F6B20">
      <w:pPr>
        <w:pageBreakBefore w:val="0"/>
        <w:kinsoku/>
        <w:wordWrap/>
        <w:overflowPunct/>
        <w:topLinePunct w:val="0"/>
        <w:autoSpaceDE/>
        <w:autoSpaceDN/>
        <w:bidi w:val="0"/>
        <w:spacing w:line="240" w:lineRule="auto"/>
        <w:ind w:left="0" w:firstLine="540"/>
        <w:rPr>
          <w:rFonts w:hint="eastAsia"/>
          <w:b/>
          <w:bCs/>
          <w:sz w:val="28"/>
          <w:szCs w:val="28"/>
        </w:rPr>
      </w:pPr>
    </w:p>
    <w:p w14:paraId="0645C80E">
      <w:pPr>
        <w:pageBreakBefore w:val="0"/>
        <w:kinsoku/>
        <w:wordWrap/>
        <w:overflowPunct/>
        <w:topLinePunct w:val="0"/>
        <w:autoSpaceDE/>
        <w:autoSpaceDN/>
        <w:bidi w:val="0"/>
        <w:spacing w:line="240" w:lineRule="auto"/>
        <w:ind w:left="0" w:firstLine="540"/>
        <w:rPr>
          <w:rFonts w:hint="eastAsia"/>
          <w:b/>
          <w:bCs/>
          <w:sz w:val="28"/>
          <w:szCs w:val="28"/>
        </w:rPr>
      </w:pPr>
      <w:r>
        <w:rPr>
          <w:rFonts w:hint="eastAsia"/>
          <w:b/>
          <w:bCs/>
          <w:spacing w:val="32"/>
          <w:sz w:val="28"/>
          <w:szCs w:val="28"/>
        </w:rPr>
        <w:t>指导教师</w:t>
      </w:r>
      <w:r>
        <w:rPr>
          <w:rFonts w:hint="eastAsia"/>
          <w:b/>
          <w:bCs/>
          <w:sz w:val="28"/>
          <w:szCs w:val="28"/>
        </w:rPr>
        <w:t>：_</w:t>
      </w:r>
      <w:r>
        <w:rPr>
          <w:rFonts w:hint="eastAsia"/>
          <w:b/>
          <w:bCs/>
          <w:sz w:val="28"/>
          <w:szCs w:val="28"/>
          <w:lang w:eastAsia="zh-CN"/>
        </w:rPr>
        <w:t>齐臣坤</w:t>
      </w:r>
      <w:r>
        <w:rPr>
          <w:rFonts w:hint="eastAsia"/>
          <w:b/>
          <w:bCs/>
          <w:sz w:val="28"/>
          <w:szCs w:val="28"/>
        </w:rPr>
        <w:t>_  学院（系）： _</w:t>
      </w:r>
      <w:r>
        <w:rPr>
          <w:rFonts w:hint="eastAsia"/>
          <w:b/>
          <w:bCs/>
          <w:sz w:val="28"/>
          <w:szCs w:val="28"/>
          <w:lang w:eastAsia="zh-CN"/>
        </w:rPr>
        <w:t>机械与动力工程学院</w:t>
      </w:r>
      <w:r>
        <w:rPr>
          <w:rFonts w:hint="eastAsia"/>
          <w:b/>
          <w:bCs/>
          <w:sz w:val="28"/>
          <w:szCs w:val="28"/>
        </w:rPr>
        <w:t xml:space="preserve">_  </w:t>
      </w:r>
    </w:p>
    <w:p w14:paraId="446F8198">
      <w:pPr>
        <w:pageBreakBefore w:val="0"/>
        <w:kinsoku/>
        <w:wordWrap/>
        <w:overflowPunct/>
        <w:topLinePunct w:val="0"/>
        <w:autoSpaceDE/>
        <w:autoSpaceDN/>
        <w:bidi w:val="0"/>
        <w:spacing w:line="240" w:lineRule="auto"/>
        <w:ind w:left="0"/>
        <w:rPr>
          <w:rFonts w:hint="eastAsia"/>
          <w:b/>
          <w:bCs/>
          <w:sz w:val="28"/>
          <w:szCs w:val="28"/>
        </w:rPr>
      </w:pPr>
    </w:p>
    <w:p w14:paraId="5277F615">
      <w:pPr>
        <w:pageBreakBefore w:val="0"/>
        <w:kinsoku/>
        <w:wordWrap/>
        <w:overflowPunct/>
        <w:topLinePunct w:val="0"/>
        <w:autoSpaceDE/>
        <w:autoSpaceDN/>
        <w:bidi w:val="0"/>
        <w:spacing w:line="240" w:lineRule="auto"/>
        <w:ind w:left="0" w:firstLine="562" w:firstLineChars="200"/>
        <w:rPr>
          <w:rFonts w:hint="eastAsia"/>
          <w:b/>
          <w:bCs/>
          <w:sz w:val="28"/>
          <w:szCs w:val="28"/>
        </w:rPr>
      </w:pPr>
      <w:r>
        <w:rPr>
          <w:rFonts w:hint="eastAsia"/>
          <w:b/>
          <w:bCs/>
          <w:sz w:val="28"/>
          <w:szCs w:val="28"/>
        </w:rPr>
        <w:t>参与学生：__</w:t>
      </w:r>
      <w:r>
        <w:rPr>
          <w:rFonts w:hint="eastAsia"/>
          <w:b/>
          <w:bCs/>
          <w:sz w:val="28"/>
          <w:szCs w:val="28"/>
          <w:lang w:val="en-US" w:eastAsia="zh-CN"/>
        </w:rPr>
        <w:t>____</w:t>
      </w:r>
      <w:r>
        <w:rPr>
          <w:rFonts w:hint="eastAsia"/>
          <w:b/>
          <w:bCs/>
          <w:sz w:val="28"/>
          <w:szCs w:val="28"/>
          <w:lang w:eastAsia="zh-CN"/>
        </w:rPr>
        <w:t>胡博涵</w:t>
      </w:r>
      <w:r>
        <w:rPr>
          <w:rFonts w:hint="eastAsia"/>
          <w:b/>
          <w:bCs/>
          <w:sz w:val="28"/>
          <w:szCs w:val="28"/>
          <w:lang w:val="en-US" w:eastAsia="zh-CN"/>
        </w:rPr>
        <w:t xml:space="preserve"> 张顾璇 杜诗祺</w:t>
      </w:r>
      <w:r>
        <w:rPr>
          <w:rFonts w:hint="eastAsia"/>
          <w:b/>
          <w:bCs/>
          <w:sz w:val="28"/>
          <w:szCs w:val="28"/>
        </w:rPr>
        <w:t>_</w:t>
      </w:r>
      <w:r>
        <w:rPr>
          <w:rFonts w:hint="eastAsia"/>
          <w:b/>
          <w:bCs/>
          <w:sz w:val="28"/>
          <w:szCs w:val="28"/>
          <w:lang w:val="en-US" w:eastAsia="zh-CN"/>
        </w:rPr>
        <w:t>____</w:t>
      </w:r>
      <w:bookmarkStart w:id="32" w:name="_GoBack"/>
      <w:bookmarkEnd w:id="32"/>
      <w:r>
        <w:rPr>
          <w:rFonts w:hint="eastAsia"/>
          <w:b/>
          <w:bCs/>
          <w:sz w:val="28"/>
          <w:szCs w:val="28"/>
        </w:rPr>
        <w:t>_</w:t>
      </w:r>
    </w:p>
    <w:p w14:paraId="06FFFA25">
      <w:pPr>
        <w:pageBreakBefore w:val="0"/>
        <w:kinsoku/>
        <w:wordWrap/>
        <w:overflowPunct/>
        <w:topLinePunct w:val="0"/>
        <w:autoSpaceDE/>
        <w:autoSpaceDN/>
        <w:bidi w:val="0"/>
        <w:spacing w:line="240" w:lineRule="auto"/>
        <w:ind w:left="0"/>
        <w:rPr>
          <w:rFonts w:hint="eastAsia"/>
          <w:b/>
          <w:bCs/>
          <w:sz w:val="28"/>
          <w:szCs w:val="28"/>
        </w:rPr>
      </w:pPr>
      <w:r>
        <w:rPr>
          <w:rFonts w:hint="eastAsia"/>
          <w:b/>
          <w:bCs/>
          <w:sz w:val="28"/>
          <w:szCs w:val="28"/>
        </w:rPr>
        <w:t xml:space="preserve">    </w:t>
      </w:r>
    </w:p>
    <w:p w14:paraId="4A2C0382">
      <w:pPr>
        <w:pageBreakBefore w:val="0"/>
        <w:kinsoku/>
        <w:wordWrap/>
        <w:overflowPunct/>
        <w:topLinePunct w:val="0"/>
        <w:autoSpaceDE/>
        <w:autoSpaceDN/>
        <w:bidi w:val="0"/>
        <w:spacing w:line="240" w:lineRule="auto"/>
        <w:ind w:left="0"/>
        <w:rPr>
          <w:rFonts w:hint="eastAsia"/>
          <w:b/>
          <w:bCs/>
          <w:sz w:val="28"/>
          <w:szCs w:val="28"/>
        </w:rPr>
      </w:pPr>
      <w:r>
        <w:rPr>
          <w:rFonts w:hint="eastAsia"/>
          <w:b/>
          <w:bCs/>
          <w:sz w:val="28"/>
          <w:szCs w:val="28"/>
        </w:rPr>
        <w:t xml:space="preserve">    项目执行时间：_</w:t>
      </w:r>
      <w:r>
        <w:rPr>
          <w:rFonts w:hint="eastAsia"/>
          <w:b/>
          <w:bCs/>
          <w:sz w:val="28"/>
          <w:szCs w:val="28"/>
          <w:lang w:val="en-US" w:eastAsia="zh-CN"/>
        </w:rPr>
        <w:t>2025</w:t>
      </w:r>
      <w:r>
        <w:rPr>
          <w:rFonts w:hint="eastAsia"/>
          <w:b/>
          <w:bCs/>
          <w:sz w:val="28"/>
          <w:szCs w:val="28"/>
        </w:rPr>
        <w:t>_年_</w:t>
      </w:r>
      <w:r>
        <w:rPr>
          <w:rFonts w:hint="eastAsia"/>
          <w:b/>
          <w:bCs/>
          <w:sz w:val="28"/>
          <w:szCs w:val="28"/>
          <w:lang w:val="en-US" w:eastAsia="zh-CN"/>
        </w:rPr>
        <w:t>9</w:t>
      </w:r>
      <w:r>
        <w:rPr>
          <w:rFonts w:hint="eastAsia"/>
          <w:b/>
          <w:bCs/>
          <w:sz w:val="28"/>
          <w:szCs w:val="28"/>
        </w:rPr>
        <w:t>_月 至  _</w:t>
      </w:r>
      <w:r>
        <w:rPr>
          <w:rFonts w:hint="eastAsia"/>
          <w:b/>
          <w:bCs/>
          <w:sz w:val="28"/>
          <w:szCs w:val="28"/>
          <w:lang w:val="en-US" w:eastAsia="zh-CN"/>
        </w:rPr>
        <w:t>2026</w:t>
      </w:r>
      <w:r>
        <w:rPr>
          <w:rFonts w:hint="eastAsia"/>
          <w:b/>
          <w:bCs/>
          <w:sz w:val="28"/>
          <w:szCs w:val="28"/>
        </w:rPr>
        <w:t>_年_</w:t>
      </w:r>
      <w:r>
        <w:rPr>
          <w:rFonts w:hint="eastAsia"/>
          <w:b/>
          <w:bCs/>
          <w:sz w:val="28"/>
          <w:szCs w:val="28"/>
          <w:lang w:val="en-US" w:eastAsia="zh-CN"/>
        </w:rPr>
        <w:t>9</w:t>
      </w:r>
      <w:r>
        <w:rPr>
          <w:rFonts w:hint="eastAsia"/>
          <w:b/>
          <w:bCs/>
          <w:sz w:val="28"/>
          <w:szCs w:val="28"/>
        </w:rPr>
        <w:t>_月</w:t>
      </w:r>
    </w:p>
    <w:p w14:paraId="361C6027">
      <w:pPr>
        <w:pageBreakBefore w:val="0"/>
        <w:kinsoku/>
        <w:wordWrap/>
        <w:overflowPunct/>
        <w:topLinePunct w:val="0"/>
        <w:autoSpaceDE/>
        <w:autoSpaceDN/>
        <w:bidi w:val="0"/>
        <w:spacing w:line="240" w:lineRule="auto"/>
        <w:ind w:left="0" w:firstLine="1"/>
        <w:rPr>
          <w:rFonts w:hint="eastAsia"/>
          <w:b/>
          <w:bCs/>
          <w:sz w:val="28"/>
          <w:szCs w:val="21"/>
        </w:rPr>
      </w:pPr>
    </w:p>
    <w:p w14:paraId="22425A26">
      <w:pPr>
        <w:pageBreakBefore w:val="0"/>
        <w:kinsoku/>
        <w:wordWrap/>
        <w:overflowPunct/>
        <w:topLinePunct w:val="0"/>
        <w:autoSpaceDE/>
        <w:autoSpaceDN/>
        <w:bidi w:val="0"/>
        <w:spacing w:line="240" w:lineRule="auto"/>
        <w:ind w:left="0"/>
        <w:rPr>
          <w:rFonts w:hint="eastAsia"/>
          <w:szCs w:val="21"/>
        </w:rPr>
      </w:pPr>
    </w:p>
    <w:p w14:paraId="74FDA3AE">
      <w:pPr>
        <w:pageBreakBefore w:val="0"/>
        <w:kinsoku/>
        <w:wordWrap/>
        <w:overflowPunct/>
        <w:topLinePunct w:val="0"/>
        <w:autoSpaceDE/>
        <w:autoSpaceDN/>
        <w:bidi w:val="0"/>
        <w:spacing w:line="240" w:lineRule="auto"/>
        <w:ind w:left="0"/>
        <w:rPr>
          <w:rFonts w:hint="eastAsia"/>
          <w:szCs w:val="21"/>
        </w:rPr>
      </w:pPr>
    </w:p>
    <w:p w14:paraId="76D02D58">
      <w:pPr>
        <w:pageBreakBefore w:val="0"/>
        <w:kinsoku/>
        <w:wordWrap/>
        <w:overflowPunct/>
        <w:topLinePunct w:val="0"/>
        <w:autoSpaceDE/>
        <w:autoSpaceDN/>
        <w:bidi w:val="0"/>
        <w:spacing w:line="240" w:lineRule="auto"/>
        <w:ind w:left="0"/>
        <w:rPr>
          <w:rFonts w:hint="eastAsia"/>
          <w:szCs w:val="21"/>
        </w:rPr>
      </w:pPr>
    </w:p>
    <w:p w14:paraId="26EE640A">
      <w:pPr>
        <w:pageBreakBefore w:val="0"/>
        <w:kinsoku/>
        <w:wordWrap/>
        <w:overflowPunct/>
        <w:topLinePunct w:val="0"/>
        <w:autoSpaceDE/>
        <w:autoSpaceDN/>
        <w:bidi w:val="0"/>
        <w:spacing w:line="240" w:lineRule="auto"/>
        <w:ind w:left="0"/>
        <w:rPr>
          <w:rFonts w:hint="eastAsia"/>
          <w:szCs w:val="21"/>
        </w:rPr>
      </w:pPr>
    </w:p>
    <w:p w14:paraId="035B5629">
      <w:pPr>
        <w:pageBreakBefore w:val="0"/>
        <w:kinsoku/>
        <w:wordWrap/>
        <w:overflowPunct/>
        <w:topLinePunct w:val="0"/>
        <w:autoSpaceDE/>
        <w:autoSpaceDN/>
        <w:bidi w:val="0"/>
        <w:spacing w:line="240" w:lineRule="auto"/>
        <w:ind w:left="0"/>
        <w:sectPr>
          <w:headerReference r:id="rId5" w:type="default"/>
          <w:footerReference r:id="rId6" w:type="default"/>
          <w:footerReference r:id="rId7" w:type="even"/>
          <w:pgSz w:w="11907" w:h="16840"/>
          <w:pgMar w:top="1814" w:right="1417" w:bottom="1440" w:left="1417" w:header="850" w:footer="992" w:gutter="0"/>
          <w:cols w:space="0" w:num="1"/>
          <w:rtlGutter w:val="0"/>
          <w:docGrid w:linePitch="435" w:charSpace="0"/>
        </w:sectPr>
      </w:pPr>
    </w:p>
    <w:p w14:paraId="16EF023A">
      <w:pPr>
        <w:keepNext/>
        <w:keepLines/>
        <w:pageBreakBefore w:val="0"/>
        <w:kinsoku/>
        <w:wordWrap/>
        <w:overflowPunct/>
        <w:topLinePunct w:val="0"/>
        <w:autoSpaceDE/>
        <w:autoSpaceDN/>
        <w:bidi w:val="0"/>
        <w:spacing w:line="240" w:lineRule="auto"/>
        <w:ind w:left="0" w:right="0" w:firstLine="0"/>
        <w:jc w:val="center"/>
        <w:outlineLvl w:val="0"/>
        <w:rPr>
          <w:rFonts w:ascii="Times New Roman" w:hAnsi="Times New Roman" w:eastAsia="黑体" w:cs="Times New Roman"/>
          <w:b/>
          <w:bCs/>
          <w:color w:val="000000"/>
          <w:sz w:val="32"/>
          <w:szCs w:val="32"/>
          <w:lang w:val="en-US" w:eastAsia="en-US" w:bidi="ar-SA"/>
        </w:rPr>
      </w:pPr>
      <w:bookmarkStart w:id="0" w:name="球形六足机器人视觉感知与目标定位"/>
      <w:r>
        <w:rPr>
          <w:rFonts w:ascii="Times New Roman" w:hAnsi="Times New Roman" w:eastAsia="黑体" w:cs="Times New Roman"/>
          <w:b/>
          <w:bCs/>
          <w:color w:val="000000"/>
          <w:sz w:val="32"/>
          <w:szCs w:val="32"/>
          <w:lang w:val="en-US" w:eastAsia="en-US" w:bidi="ar-SA"/>
        </w:rPr>
        <w:t>球形六足机器人视觉感知与目标定位</w:t>
      </w:r>
    </w:p>
    <w:p w14:paraId="40D8A018">
      <w:pPr>
        <w:keepNext/>
        <w:keepLines/>
        <w:pageBreakBefore w:val="0"/>
        <w:kinsoku/>
        <w:wordWrap/>
        <w:overflowPunct/>
        <w:topLinePunct w:val="0"/>
        <w:autoSpaceDE/>
        <w:autoSpaceDN/>
        <w:bidi w:val="0"/>
        <w:spacing w:line="240" w:lineRule="auto"/>
        <w:ind w:left="0" w:right="0" w:firstLine="0"/>
        <w:jc w:val="center"/>
        <w:outlineLvl w:val="0"/>
        <w:rPr>
          <w:rFonts w:ascii="Times New Roman" w:hAnsi="Times New Roman" w:eastAsia="黑体" w:cs="Times New Roman"/>
          <w:b/>
          <w:bCs/>
          <w:color w:val="000000"/>
          <w:sz w:val="32"/>
          <w:szCs w:val="32"/>
          <w:lang w:val="en-US" w:eastAsia="en-US" w:bidi="ar-SA"/>
        </w:rPr>
      </w:pPr>
    </w:p>
    <w:p w14:paraId="65CAB386">
      <w:pPr>
        <w:keepNext/>
        <w:keepLines/>
        <w:pageBreakBefore w:val="0"/>
        <w:kinsoku/>
        <w:wordWrap/>
        <w:overflowPunct/>
        <w:topLinePunct w:val="0"/>
        <w:autoSpaceDE/>
        <w:autoSpaceDN/>
        <w:bidi w:val="0"/>
        <w:spacing w:line="240" w:lineRule="auto"/>
        <w:ind w:left="0" w:right="0" w:firstLine="0"/>
        <w:jc w:val="center"/>
        <w:rPr>
          <w:rFonts w:hint="eastAsia" w:ascii="楷体" w:hAnsi="楷体" w:eastAsia="楷体" w:cs="楷体"/>
          <w:sz w:val="24"/>
          <w:szCs w:val="24"/>
          <w:lang w:val="en-US" w:eastAsia="en-US" w:bidi="ar-SA"/>
        </w:rPr>
      </w:pPr>
      <w:r>
        <w:rPr>
          <w:rFonts w:hint="eastAsia" w:ascii="楷体" w:hAnsi="楷体" w:eastAsia="楷体" w:cs="楷体"/>
          <w:b w:val="0"/>
          <w:color w:val="000000"/>
          <w:sz w:val="24"/>
          <w:szCs w:val="24"/>
          <w:lang w:val="en-US" w:eastAsia="en-US" w:bidi="ar-SA"/>
        </w:rPr>
        <w:t>学生：机械与动力工程学院，机动2314，张顾璇</w:t>
      </w:r>
    </w:p>
    <w:p w14:paraId="4E4949CC">
      <w:pPr>
        <w:keepNext/>
        <w:keepLines/>
        <w:pageBreakBefore w:val="0"/>
        <w:kinsoku/>
        <w:wordWrap/>
        <w:overflowPunct/>
        <w:topLinePunct w:val="0"/>
        <w:autoSpaceDE/>
        <w:autoSpaceDN/>
        <w:bidi w:val="0"/>
        <w:spacing w:line="240" w:lineRule="auto"/>
        <w:ind w:left="0" w:right="0" w:firstLine="0"/>
        <w:jc w:val="center"/>
        <w:rPr>
          <w:rFonts w:hint="eastAsia" w:ascii="楷体" w:hAnsi="楷体" w:eastAsia="楷体" w:cs="楷体"/>
          <w:b w:val="0"/>
          <w:color w:val="000000"/>
          <w:sz w:val="24"/>
          <w:szCs w:val="24"/>
          <w:lang w:val="en-US" w:eastAsia="en-US" w:bidi="ar-SA"/>
        </w:rPr>
      </w:pPr>
      <w:r>
        <w:rPr>
          <w:rFonts w:hint="eastAsia" w:ascii="楷体" w:hAnsi="楷体" w:eastAsia="楷体" w:cs="楷体"/>
          <w:b w:val="0"/>
          <w:color w:val="000000"/>
          <w:sz w:val="24"/>
          <w:szCs w:val="24"/>
          <w:lang w:val="en-US" w:eastAsia="en-US" w:bidi="ar-SA"/>
        </w:rPr>
        <w:t>指导教师：机械与动力工程学院，齐臣坤</w:t>
      </w:r>
    </w:p>
    <w:p w14:paraId="5A002173">
      <w:pPr>
        <w:keepNext/>
        <w:keepLines/>
        <w:pageBreakBefore w:val="0"/>
        <w:kinsoku/>
        <w:wordWrap/>
        <w:overflowPunct/>
        <w:topLinePunct w:val="0"/>
        <w:autoSpaceDE/>
        <w:autoSpaceDN/>
        <w:bidi w:val="0"/>
        <w:spacing w:line="240" w:lineRule="auto"/>
        <w:ind w:left="0" w:right="0" w:firstLine="0"/>
        <w:jc w:val="center"/>
        <w:rPr>
          <w:rFonts w:hint="eastAsia" w:ascii="楷体" w:hAnsi="楷体" w:eastAsia="楷体" w:cs="楷体"/>
          <w:b w:val="0"/>
          <w:color w:val="000000"/>
          <w:sz w:val="24"/>
          <w:szCs w:val="24"/>
          <w:lang w:val="en-US" w:eastAsia="en-US" w:bidi="ar-SA"/>
        </w:rPr>
      </w:pPr>
    </w:p>
    <w:p w14:paraId="1B158381">
      <w:pPr>
        <w:keepNext/>
        <w:keepLines/>
        <w:pageBreakBefore w:val="0"/>
        <w:kinsoku/>
        <w:wordWrap/>
        <w:overflowPunct/>
        <w:topLinePunct w:val="0"/>
        <w:autoSpaceDE/>
        <w:autoSpaceDN/>
        <w:bidi w:val="0"/>
        <w:spacing w:line="240" w:lineRule="auto"/>
        <w:ind w:left="0" w:right="0" w:firstLine="0"/>
        <w:jc w:val="center"/>
        <w:outlineLvl w:val="1"/>
        <w:rPr>
          <w:rFonts w:ascii="Calibri" w:hAnsi="Calibri" w:eastAsia="宋体" w:cs="Times New Roman"/>
          <w:b/>
          <w:bCs/>
          <w:color w:val="4F81BD"/>
          <w:sz w:val="28"/>
          <w:szCs w:val="28"/>
          <w:lang w:val="en-US" w:eastAsia="en-US" w:bidi="ar-SA"/>
        </w:rPr>
      </w:pPr>
      <w:bookmarkStart w:id="1" w:name="摘要"/>
      <w:r>
        <w:rPr>
          <w:rFonts w:ascii="Times New Roman" w:hAnsi="Times New Roman" w:eastAsia="黑体" w:cs="Times New Roman"/>
          <w:b/>
          <w:bCs/>
          <w:color w:val="000000"/>
          <w:sz w:val="28"/>
          <w:szCs w:val="28"/>
          <w:lang w:val="en-US" w:eastAsia="en-US" w:bidi="ar-SA"/>
        </w:rPr>
        <w:t>摘要</w:t>
      </w:r>
    </w:p>
    <w:p w14:paraId="1EFC4094">
      <w:pPr>
        <w:pageBreakBefore w:val="0"/>
        <w:kinsoku/>
        <w:wordWrap/>
        <w:overflowPunct/>
        <w:topLinePunct w:val="0"/>
        <w:autoSpaceDE/>
        <w:autoSpaceDN/>
        <w:bidi w:val="0"/>
        <w:spacing w:line="240" w:lineRule="auto"/>
        <w:ind w:left="0" w:right="0" w:firstLine="420" w:firstLineChars="200"/>
        <w:jc w:val="both"/>
        <w:rPr>
          <w:rFonts w:hint="eastAsia" w:ascii="宋体" w:hAnsi="宋体" w:eastAsia="宋体" w:cs="宋体"/>
          <w:sz w:val="21"/>
          <w:szCs w:val="24"/>
          <w:lang w:val="en-US" w:eastAsia="en-US" w:bidi="ar-SA"/>
        </w:rPr>
      </w:pPr>
      <w:r>
        <w:rPr>
          <w:rFonts w:hint="eastAsia" w:ascii="宋体" w:hAnsi="宋体" w:eastAsia="宋体" w:cs="宋体"/>
          <w:color w:val="000000"/>
          <w:sz w:val="21"/>
          <w:szCs w:val="24"/>
          <w:lang w:val="en-US" w:eastAsia="en-US" w:bidi="ar-SA"/>
        </w:rPr>
        <w:t>面向球形滚动与六足展开复合机器人在探测任务中的环境感知需求，本文设计了一套基于 Intel RealSense D435 的目标识别与相对定位系统，并结合机器人球形外轮廓完成相机固定方式及顶盖四杆翻盖机构设计。系统将对齐后的彩色图与深度图分别用于目标检测和距离测量，利用 YOLO 系列模型与 BoT-SORT 获得目标类别、边界框和跨帧轨迹；针对框内背景干扰与深度飞点，提出“最近可信前景簇—中位数—MAD”稳健取深方法，再通过相机内参反投影计算目标三维坐标、水平距离与方向角。为减小短时漏检和遮挡造成的状态跳变，系统按目标状态设置不同的记忆时限，并引入三维指数平滑及类别、框重叠和空间位置联合约束下的编号重绑定。实机测试表明，D435 彩色与深度数据能够稳定对齐，完整处理链在现有平台上达到 17.52 FPS；一次鼠标遮挡试验中，目标重新出现后保持了原用户编号。研究完成了从 RGB-D 输入到稳定目标状态输出的原型验证，并分析了相机坐标记忆、复杂材质测深及机构实物验证等方面的局限。</w:t>
      </w:r>
    </w:p>
    <w:p w14:paraId="38191304">
      <w:pPr>
        <w:pageBreakBefore w:val="0"/>
        <w:kinsoku/>
        <w:wordWrap/>
        <w:overflowPunct/>
        <w:topLinePunct w:val="0"/>
        <w:autoSpaceDE/>
        <w:autoSpaceDN/>
        <w:bidi w:val="0"/>
        <w:spacing w:line="240" w:lineRule="auto"/>
        <w:ind w:left="0" w:right="0" w:firstLine="0"/>
        <w:jc w:val="left"/>
        <w:rPr>
          <w:rFonts w:hint="eastAsia" w:ascii="宋体" w:hAnsi="宋体" w:eastAsia="宋体" w:cs="宋体"/>
          <w:b w:val="0"/>
          <w:color w:val="000000"/>
          <w:sz w:val="21"/>
          <w:szCs w:val="24"/>
          <w:lang w:val="en-US" w:eastAsia="en-US" w:bidi="ar-SA"/>
        </w:rPr>
      </w:pPr>
      <w:r>
        <w:rPr>
          <w:rFonts w:ascii="Times New Roman" w:hAnsi="Times New Roman" w:eastAsia="黑体" w:cs="Times New Roman"/>
          <w:b/>
          <w:bCs/>
          <w:color w:val="000000"/>
          <w:sz w:val="24"/>
          <w:szCs w:val="24"/>
          <w:lang w:val="en-US" w:eastAsia="en-US" w:bidi="ar-SA"/>
        </w:rPr>
        <w:t>关键词：</w:t>
      </w:r>
      <w:r>
        <w:rPr>
          <w:rFonts w:ascii="Times New Roman" w:hAnsi="Times New Roman" w:eastAsia="宋体" w:cs="Times New Roman"/>
          <w:b w:val="0"/>
          <w:color w:val="000000"/>
          <w:sz w:val="21"/>
          <w:szCs w:val="24"/>
          <w:lang w:val="en-US" w:eastAsia="en-US" w:bidi="ar-SA"/>
        </w:rPr>
        <w:t xml:space="preserve"> </w:t>
      </w:r>
      <w:r>
        <w:rPr>
          <w:rFonts w:hint="eastAsia" w:ascii="宋体" w:hAnsi="宋体" w:eastAsia="宋体" w:cs="宋体"/>
          <w:b w:val="0"/>
          <w:color w:val="000000"/>
          <w:sz w:val="21"/>
          <w:szCs w:val="24"/>
          <w:lang w:val="en-US" w:eastAsia="en-US" w:bidi="ar-SA"/>
        </w:rPr>
        <w:t>球形六足机器人，RGB-D视觉，目标跟踪，三维定位，目标记忆</w:t>
      </w:r>
    </w:p>
    <w:p w14:paraId="31448F46">
      <w:pPr>
        <w:pageBreakBefore w:val="0"/>
        <w:kinsoku/>
        <w:wordWrap/>
        <w:overflowPunct/>
        <w:topLinePunct w:val="0"/>
        <w:autoSpaceDE/>
        <w:autoSpaceDN/>
        <w:bidi w:val="0"/>
        <w:spacing w:line="240" w:lineRule="auto"/>
        <w:ind w:left="0" w:right="0" w:firstLine="0"/>
        <w:jc w:val="left"/>
        <w:rPr>
          <w:rFonts w:hint="eastAsia" w:ascii="宋体" w:hAnsi="宋体" w:eastAsia="宋体" w:cs="宋体"/>
          <w:b w:val="0"/>
          <w:color w:val="000000"/>
          <w:sz w:val="21"/>
          <w:szCs w:val="24"/>
          <w:lang w:val="en-US" w:eastAsia="en-US" w:bidi="ar-SA"/>
        </w:rPr>
      </w:pPr>
    </w:p>
    <w:bookmarkEnd w:id="1"/>
    <w:p w14:paraId="2DC70BDF">
      <w:pPr>
        <w:keepNext/>
        <w:keepLines/>
        <w:pageBreakBefore w:val="0"/>
        <w:kinsoku/>
        <w:wordWrap/>
        <w:overflowPunct/>
        <w:topLinePunct w:val="0"/>
        <w:autoSpaceDE/>
        <w:autoSpaceDN/>
        <w:bidi w:val="0"/>
        <w:spacing w:line="240" w:lineRule="auto"/>
        <w:ind w:left="0" w:right="0" w:firstLine="0"/>
        <w:jc w:val="center"/>
        <w:outlineLvl w:val="1"/>
        <w:rPr>
          <w:rFonts w:ascii="Calibri" w:hAnsi="Calibri" w:eastAsia="宋体" w:cs="Times New Roman"/>
          <w:b/>
          <w:bCs/>
          <w:color w:val="4F81BD"/>
          <w:sz w:val="28"/>
          <w:szCs w:val="28"/>
          <w:lang w:val="en-US" w:eastAsia="en-US" w:bidi="ar-SA"/>
        </w:rPr>
      </w:pPr>
      <w:bookmarkStart w:id="2" w:name="abstract"/>
      <w:r>
        <w:rPr>
          <w:rFonts w:ascii="Times New Roman" w:hAnsi="Times New Roman" w:eastAsia="Times New Roman" w:cs="Times New Roman"/>
          <w:b/>
          <w:bCs/>
          <w:color w:val="000000"/>
          <w:sz w:val="28"/>
          <w:szCs w:val="28"/>
          <w:lang w:val="en-US" w:eastAsia="en-US" w:bidi="ar-SA"/>
        </w:rPr>
        <w:t>ABSTRACT</w:t>
      </w:r>
    </w:p>
    <w:p w14:paraId="527B77E3">
      <w:pPr>
        <w:pageBreakBefore w:val="0"/>
        <w:kinsoku/>
        <w:wordWrap/>
        <w:overflowPunct/>
        <w:topLinePunct w:val="0"/>
        <w:autoSpaceDE/>
        <w:autoSpaceDN/>
        <w:bidi w:val="0"/>
        <w:spacing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Times New Roman" w:cs="Times New Roman"/>
          <w:b w:val="0"/>
          <w:color w:val="000000"/>
          <w:sz w:val="21"/>
          <w:szCs w:val="24"/>
          <w:lang w:val="en-US" w:eastAsia="en-US" w:bidi="ar-SA"/>
        </w:rPr>
        <w:t>A target perception and relative localization system based on an Intel RealSense D435 camera is developed for a transformable robot capable of spherical rolling and hexapod locomotion. A fixed camera mount and a four-bar top-cover mechanism are designed to preserve the spherical outer profile while exposing the camera during perception tasks. Aligned color and depth images are used for object detection and ranging, respectively. A YOLO-family detector and BoT-SORT provide object classes, bounding boxes, and frame-to-frame tracks. To reduce background contamination and depth outliers within a detection box, depth is estimated by selecting the nearest credible foreground cluster and then applying median and median-absolute-deviation statistics. Camera intrinsics are used to recover three-dimensional coordinates, horizontal distance, and bearing. Time-limited target memory, three-dimensional exponential smoothing, and identity rebinding constrained by class, bounding-box overlap, spatial distance, and angular difference are introduced to handle brief missed detections and occlusions. Hardware tests show stable alignment of the D435 color and depth streams, while the complete pipeline reaches 17.52 FPS on the test platform. In a qualitative mouse-occlusion trial, the original user-facing identity was recovered after the target reappeared. The prototype verifies the complete path from RGB-D input to stable target-state output. Its limitations in camera-frame memory, difficult-surface depth sensing, quantitative localization accuracy, and physical mechanism validation are also discussed.</w:t>
      </w:r>
    </w:p>
    <w:p w14:paraId="02277B65">
      <w:pPr>
        <w:pageBreakBefore w:val="0"/>
        <w:kinsoku/>
        <w:wordWrap/>
        <w:overflowPunct/>
        <w:topLinePunct w:val="0"/>
        <w:autoSpaceDE/>
        <w:autoSpaceDN/>
        <w:bidi w:val="0"/>
        <w:spacing w:line="240" w:lineRule="auto"/>
        <w:ind w:left="0" w:right="0" w:firstLine="0"/>
        <w:jc w:val="left"/>
        <w:rPr>
          <w:rFonts w:ascii="Times New Roman" w:hAnsi="Times New Roman" w:eastAsia="Times New Roman" w:cs="Times New Roman"/>
          <w:b w:val="0"/>
          <w:color w:val="000000"/>
          <w:sz w:val="21"/>
          <w:szCs w:val="24"/>
          <w:lang w:val="en-US" w:eastAsia="en-US" w:bidi="ar-SA"/>
        </w:rPr>
      </w:pPr>
      <w:r>
        <w:rPr>
          <w:rFonts w:ascii="Times New Roman" w:hAnsi="Times New Roman" w:eastAsia="Times New Roman" w:cs="Times New Roman"/>
          <w:b/>
          <w:bCs/>
          <w:color w:val="000000"/>
          <w:sz w:val="24"/>
          <w:szCs w:val="24"/>
          <w:lang w:val="en-US" w:eastAsia="en-US" w:bidi="ar-SA"/>
        </w:rPr>
        <w:t>KEY WORDS:</w:t>
      </w:r>
      <w:r>
        <w:rPr>
          <w:rFonts w:ascii="Times New Roman" w:hAnsi="Times New Roman" w:eastAsia="Times New Roman" w:cs="Times New Roman"/>
          <w:b w:val="0"/>
          <w:color w:val="000000"/>
          <w:sz w:val="21"/>
          <w:szCs w:val="24"/>
          <w:lang w:val="en-US" w:eastAsia="en-US" w:bidi="ar-SA"/>
        </w:rPr>
        <w:t xml:space="preserve"> spherical hexapod robot, RGB-D vision, object tracking, three-dimensional localization, target memory</w:t>
      </w:r>
      <w:bookmarkEnd w:id="0"/>
      <w:bookmarkEnd w:id="2"/>
    </w:p>
    <w:p w14:paraId="578031E8">
      <w:pPr>
        <w:pageBreakBefore w:val="0"/>
        <w:kinsoku/>
        <w:wordWrap/>
        <w:overflowPunct/>
        <w:topLinePunct w:val="0"/>
        <w:autoSpaceDE/>
        <w:autoSpaceDN/>
        <w:bidi w:val="0"/>
        <w:spacing w:line="240" w:lineRule="auto"/>
        <w:ind w:left="0" w:right="0" w:firstLine="0"/>
        <w:jc w:val="left"/>
        <w:rPr>
          <w:rFonts w:hint="default" w:ascii="Times New Roman" w:hAnsi="Times New Roman" w:eastAsia="Times New Roman" w:cs="Times New Roman"/>
          <w:b w:val="0"/>
          <w:color w:val="000000"/>
          <w:sz w:val="21"/>
          <w:szCs w:val="24"/>
          <w:lang w:val="en-US" w:eastAsia="zh-CN" w:bidi="ar-SA"/>
        </w:rPr>
      </w:pPr>
    </w:p>
    <w:p w14:paraId="35988E4B">
      <w:pPr>
        <w:keepNext/>
        <w:keepLines/>
        <w:pageBreakBefore w:val="0"/>
        <w:widowControl/>
        <w:kinsoku/>
        <w:wordWrap/>
        <w:overflowPunct/>
        <w:topLinePunct w:val="0"/>
        <w:autoSpaceDE/>
        <w:autoSpaceDN/>
        <w:bidi w:val="0"/>
        <w:adjustRightInd/>
        <w:snapToGrid/>
        <w:spacing w:before="219" w:beforeLines="50" w:after="219" w:afterLines="50" w:line="240" w:lineRule="auto"/>
        <w:ind w:left="0" w:right="0" w:firstLine="482" w:firstLineChars="200"/>
        <w:jc w:val="left"/>
        <w:textAlignment w:val="auto"/>
        <w:outlineLvl w:val="0"/>
        <w:rPr>
          <w:rFonts w:ascii="Calibri" w:hAnsi="Calibri" w:eastAsia="宋体" w:cs="Times New Roman"/>
          <w:b/>
          <w:bCs/>
          <w:color w:val="4F81BD"/>
          <w:sz w:val="32"/>
          <w:szCs w:val="32"/>
          <w:lang w:val="en-US" w:eastAsia="en-US" w:bidi="ar-SA"/>
        </w:rPr>
      </w:pPr>
      <w:bookmarkStart w:id="3" w:name="绪论"/>
      <w:r>
        <w:rPr>
          <w:rFonts w:ascii="Times New Roman" w:hAnsi="Times New Roman" w:eastAsia="黑体" w:cs="Times New Roman"/>
          <w:b/>
          <w:bCs/>
          <w:color w:val="000000"/>
          <w:sz w:val="24"/>
          <w:szCs w:val="32"/>
          <w:lang w:val="en-US" w:eastAsia="en-US" w:bidi="ar-SA"/>
        </w:rPr>
        <w:t>1 绪论</w:t>
      </w:r>
    </w:p>
    <w:p w14:paraId="250C0CA8">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4" w:name="研究背景与意义"/>
      <w:r>
        <w:rPr>
          <w:rFonts w:ascii="Times New Roman" w:hAnsi="Times New Roman" w:eastAsia="黑体" w:cs="Times New Roman"/>
          <w:b/>
          <w:bCs/>
          <w:color w:val="000000"/>
          <w:sz w:val="21"/>
          <w:szCs w:val="28"/>
          <w:lang w:val="en-US" w:eastAsia="en-US" w:bidi="ar-SA"/>
        </w:rPr>
        <w:t>1.1 研究背景与意义</w:t>
      </w:r>
    </w:p>
    <w:p w14:paraId="6FCF69EC">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球形六足机器人兼有球形结构滚动效率较高和足式结构地形适应性较强的特点。自主作业除运动能力外，还要求机器人判断周围物体的类别、方向和距离，因此需要把连续图像转换为后续规划与控制可用的目标状态。</w:t>
      </w:r>
    </w:p>
    <w:p w14:paraId="4E156EE4">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机器人滚动时相机姿态持续变化，容易产生画面旋转、运动模糊和目标频繁出画。Kitani 等提出的 BallCam 通过旋转相机图像合成稳定视图，但效果依赖转速、曝光、配准质量和算力[1]。本研究先处理机器人展开、低速或静止时的目标识别与相对定位，滚动成像不纳入当前实现范围。</w:t>
      </w:r>
    </w:p>
    <w:p w14:paraId="4921438E">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双目 RGB-D 相机可同时输出彩色图、深度图和标定内参，适合紧凑的近距离感知系统[2]。D435 能够布置在机器人内部，可直接测量目标深度，其安装高度也比现有激光雷达方案更容易满足球形约束。因此，本文选择 D435，并统筹设计相机保护机构和视觉处理流程。</w:t>
      </w:r>
    </w:p>
    <w:p w14:paraId="425DA3EF">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4"/>
    <w:p w14:paraId="2DBB85E0">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5" w:name="国内外相关研究概况"/>
      <w:r>
        <w:rPr>
          <w:rFonts w:ascii="Times New Roman" w:hAnsi="Times New Roman" w:eastAsia="黑体" w:cs="Times New Roman"/>
          <w:b/>
          <w:bCs/>
          <w:color w:val="000000"/>
          <w:sz w:val="21"/>
          <w:szCs w:val="28"/>
          <w:lang w:val="en-US" w:eastAsia="en-US" w:bidi="ar-SA"/>
        </w:rPr>
        <w:t>1.2 国内外相关研究概况</w:t>
      </w:r>
    </w:p>
    <w:p w14:paraId="0DC73C1D">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移动机器人目标感知通常包含检测、跟踪、测距和坐标变换等环节。YOLO 将目标定位与分类统一为单阶段回归问题，为实时视觉检测提供了代表性思路[3]。本文所用 YOLO26m 中型预训练权重延续了这一类单阶段检测结构，并采用 COCO 类别体系；COCO 数据集提供了常见人员、交通工具和室内物品等类别的统一标注[4]。这类通用模型适合验证处理链，但对岩石、坑洼、专用设备等任务对象的覆盖有限。</w:t>
      </w:r>
    </w:p>
    <w:p w14:paraId="3E367347">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视频检测还需要处理同一物体在连续帧中的身份一致性。BoT-SORT 综合运动信息、检测框关联和相机运动补偿，可降低轨迹碎片化[5]。然而，短时完全遮挡后跟踪器仍可能给物体分配新编号，因此面向交互与导航的系统不能直接把跟踪器内部编号作为长期目标标识。深度测量方面，框中心单点容易落在空洞或无效像素上，对整个矩形框求均值又可能受到背景占比影响。中位数和中位绝对偏差具有较好的异常值鲁棒性，其思想源于稳健统计方法[6]，适合处理深度图中的少量飞点。</w:t>
      </w:r>
    </w:p>
    <w:p w14:paraId="4CED19D5">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国内的视觉SLAM研究与教学已形成从多视图几何、前后端估计到回环检测和建图的较完整技术体系[7]，相关方法也逐步用于移动机器人平台。国外开源系统中，ORB-SLAM3 能够处理视觉、视觉惯性及多地图定位问题[8]，RTAB-Map 则提供 RGB-D 建图、回环检测和重定位等功能[9]。这些系统为后续建立世界坐标目标地图提供了成熟基础，但其主要任务是估计相机轨迹和环境地图，不能替代本文所研究的目标级稳健测距、短时记忆和语义选择。本文先完成相机坐标系内的感知前端，并明确其与完整自主导航之间的边界。</w:t>
      </w:r>
    </w:p>
    <w:p w14:paraId="2FA3D25D">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5"/>
    <w:p w14:paraId="0396DAC8">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6" w:name="研究内容与范围"/>
      <w:r>
        <w:rPr>
          <w:rFonts w:ascii="Times New Roman" w:hAnsi="Times New Roman" w:eastAsia="黑体" w:cs="Times New Roman"/>
          <w:b/>
          <w:bCs/>
          <w:color w:val="000000"/>
          <w:sz w:val="21"/>
          <w:szCs w:val="28"/>
          <w:lang w:val="en-US" w:eastAsia="en-US" w:bidi="ar-SA"/>
        </w:rPr>
        <w:t>1.3 研究内容与范围</w:t>
      </w:r>
    </w:p>
    <w:p w14:paraId="38B08742">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本文首先在球形外轮廓和内部空间约束下确定 D435 的固定位置，并设计顶盖四杆翻盖机构；随后建立彩色—深度对齐、目标检测与跟踪、稳健取深、三维反投影和状态显示链路；最后针对短时漏检、深度空洞和编号变化设计目标记忆与重绑定方法。系统输出目标相对当前相机的类别、编号、可见状态、三维位置、水平距离和方向角。外参标定、视觉里程计、世界坐标地图、路径规划和底盘闭环控制均不属于当前已完成范围。</w:t>
      </w:r>
    </w:p>
    <w:p w14:paraId="78A7130C">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3"/>
    <w:bookmarkEnd w:id="6"/>
    <w:p w14:paraId="03DF0199">
      <w:pPr>
        <w:keepNext/>
        <w:keepLines/>
        <w:pageBreakBefore w:val="0"/>
        <w:widowControl/>
        <w:kinsoku/>
        <w:wordWrap/>
        <w:overflowPunct/>
        <w:topLinePunct w:val="0"/>
        <w:autoSpaceDE/>
        <w:autoSpaceDN/>
        <w:bidi w:val="0"/>
        <w:adjustRightInd/>
        <w:snapToGrid/>
        <w:spacing w:before="219" w:beforeLines="50" w:after="219" w:afterLines="50" w:line="240" w:lineRule="auto"/>
        <w:ind w:left="0" w:right="0" w:firstLine="482" w:firstLineChars="200"/>
        <w:jc w:val="left"/>
        <w:textAlignment w:val="auto"/>
        <w:outlineLvl w:val="0"/>
        <w:rPr>
          <w:rFonts w:ascii="Calibri" w:hAnsi="Calibri" w:eastAsia="宋体" w:cs="Times New Roman"/>
          <w:b/>
          <w:bCs/>
          <w:color w:val="4F81BD"/>
          <w:sz w:val="32"/>
          <w:szCs w:val="32"/>
          <w:lang w:val="en-US" w:eastAsia="en-US" w:bidi="ar-SA"/>
        </w:rPr>
      </w:pPr>
      <w:bookmarkStart w:id="7" w:name="系统方案与相机机构设计"/>
      <w:r>
        <w:rPr>
          <w:rFonts w:ascii="Times New Roman" w:hAnsi="Times New Roman" w:eastAsia="黑体" w:cs="Times New Roman"/>
          <w:b/>
          <w:bCs/>
          <w:color w:val="000000"/>
          <w:sz w:val="24"/>
          <w:szCs w:val="32"/>
          <w:lang w:val="en-US" w:eastAsia="en-US" w:bidi="ar-SA"/>
        </w:rPr>
        <w:t>2 系统方案与相机机构设计</w:t>
      </w:r>
    </w:p>
    <w:p w14:paraId="71DC8CC1">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8" w:name="需求分析与传感器选择"/>
      <w:r>
        <w:rPr>
          <w:rFonts w:ascii="Times New Roman" w:hAnsi="Times New Roman" w:eastAsia="黑体" w:cs="Times New Roman"/>
          <w:b/>
          <w:bCs/>
          <w:color w:val="000000"/>
          <w:sz w:val="21"/>
          <w:szCs w:val="28"/>
          <w:lang w:val="en-US" w:eastAsia="en-US" w:bidi="ar-SA"/>
        </w:rPr>
        <w:t>2.1 需求分析与传感器选择</w:t>
      </w:r>
    </w:p>
    <w:p w14:paraId="3AA43D22">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视觉装置需满足四项要求：能够识别常见物体并获得稠密距离；传感器及支架不能破坏闭合时的球形轮廓；相机工作时应具有无遮挡的前向视野；反复开合不应引起相机外参和线缆状态变化。单目或全景相机虽然视场较大，但不能直接输出稠密深度；视觉惯性跟踪相机适合估计自身运动，却不具备本任务所需的彩色目标测距能力；激光雷达测距稳定，但现有样机内部的纵向空间不足以容纳雷达及稳定支架。综合空间、数据类型和开发条件后，选用 D435 获取前向彩色图与深度图。</w:t>
      </w:r>
    </w:p>
    <w:p w14:paraId="0618A8B2">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D435 固定在机器人内侧支架上，探测时相机本体不参与机构运动。这一方案使相机光轴、双目基线与机器人结构保持固定，也使 USB 线缆能够沿内侧支架布置，减少活动线缆反复弯折。机器人展开后打开上方翻盖获得视野；切换为球形滚动前关闭翻盖，由顶盖恢复外部包络并保护镜头。</w:t>
      </w:r>
    </w:p>
    <w:p w14:paraId="1DD24BE9">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8"/>
    <w:p w14:paraId="271A3134">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9" w:name="顶盖四杆翻盖机构"/>
      <w:r>
        <w:rPr>
          <w:rFonts w:ascii="Times New Roman" w:hAnsi="Times New Roman" w:eastAsia="黑体" w:cs="Times New Roman"/>
          <w:b/>
          <w:bCs/>
          <w:color w:val="000000"/>
          <w:sz w:val="21"/>
          <w:szCs w:val="28"/>
          <w:lang w:val="en-US" w:eastAsia="en-US" w:bidi="ar-SA"/>
        </w:rPr>
        <w:t>2.2 顶盖四杆翻盖机构</w:t>
      </w:r>
    </w:p>
    <w:p w14:paraId="2FBFFF09">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翻盖采用单自由度平面四杆机构约束运动轨迹，由机架、主动杆、连杆和顶盖等效杆组成。单一输入即可确定翻盖姿态，便于后续使用一个驱动元件控制开合。连杆布置用于规划翻盖的避障轨迹，使其在开启过程中先离开相机上方，再向球体外侧翻转，从而减少与相机、腿部和周围结构的干涉。</w:t>
      </w:r>
    </w:p>
    <w:p w14:paraId="1E246DEF">
      <w:pPr>
        <w:keepNext/>
        <w:pageBreakBefore w:val="0"/>
        <w:widowControl/>
        <w:kinsoku/>
        <w:wordWrap/>
        <w:overflowPunct/>
        <w:topLinePunct w:val="0"/>
        <w:autoSpaceDE/>
        <w:autoSpaceDN/>
        <w:bidi w:val="0"/>
        <w:adjustRightInd/>
        <w:spacing w:line="240" w:lineRule="auto"/>
        <w:ind w:left="0" w:right="0" w:firstLine="0"/>
        <w:jc w:val="center"/>
        <w:textAlignment w:val="auto"/>
        <w:rPr>
          <w:rFonts w:ascii="Times New Roman" w:hAnsi="Times New Roman" w:eastAsia="宋体"/>
          <w:sz w:val="21"/>
          <w:szCs w:val="24"/>
          <w:lang w:eastAsia="en-US"/>
        </w:rPr>
      </w:pPr>
      <w:r>
        <w:rPr>
          <w:rFonts w:ascii="Times New Roman" w:hAnsi="Times New Roman" w:eastAsia="宋体"/>
          <w:sz w:val="21"/>
          <w:szCs w:val="24"/>
          <w:lang w:eastAsia="en-US"/>
        </w:rPr>
        <w:drawing>
          <wp:inline distT="0" distB="0" distL="0" distR="0">
            <wp:extent cx="5399405" cy="1743710"/>
            <wp:effectExtent l="0" t="0" r="1270" b="8890"/>
            <wp:docPr id="8" name="image1.png" descr="图2-1 D435安装与顶盖四杆翻盖机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png" descr="图2-1 D435安装与顶盖四杆翻盖机构"/>
                    <pic:cNvPicPr>
                      <a:picLocks noChangeAspect="1"/>
                    </pic:cNvPicPr>
                  </pic:nvPicPr>
                  <pic:blipFill>
                    <a:blip r:embed="rId13"/>
                    <a:stretch>
                      <a:fillRect/>
                    </a:stretch>
                  </pic:blipFill>
                  <pic:spPr>
                    <a:xfrm>
                      <a:off x="0" y="0"/>
                      <a:ext cx="5400000" cy="1743750"/>
                    </a:xfrm>
                    <a:prstGeom prst="rect">
                      <a:avLst/>
                    </a:prstGeom>
                  </pic:spPr>
                </pic:pic>
              </a:graphicData>
            </a:graphic>
          </wp:inline>
        </w:drawing>
      </w:r>
    </w:p>
    <w:p w14:paraId="05525AE8">
      <w:pPr>
        <w:keepNext/>
        <w:keepLines/>
        <w:pageBreakBefore w:val="0"/>
        <w:kinsoku/>
        <w:wordWrap/>
        <w:overflowPunct/>
        <w:topLinePunct w:val="0"/>
        <w:autoSpaceDE/>
        <w:autoSpaceDN/>
        <w:bidi w:val="0"/>
        <w:spacing w:before="0" w:beforeLines="0" w:after="0" w:line="240" w:lineRule="auto"/>
        <w:ind w:left="0" w:right="0" w:firstLine="0"/>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i w:val="0"/>
          <w:iCs/>
          <w:color w:val="000000"/>
          <w:sz w:val="21"/>
          <w:szCs w:val="24"/>
          <w:lang w:val="en-US" w:eastAsia="en-US" w:bidi="ar-SA"/>
        </w:rPr>
        <w:t>图2-1 D435安装与顶盖四杆翻盖机构：（a）内部四杆机构；（b）顶盖翻盖打开状态</w:t>
      </w:r>
    </w:p>
    <w:p w14:paraId="4825C279">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图2-1给出了当前 CAD 结果。关闭状态需要检查顶盖与球面包络的连续性，打开状态需要检查相机水平、垂直视场以及机构极限位置。由于现阶段成果为结构设计，尚未进行零件打印、装配公差、反复开合寿命和滚动冲击试验。因此，本文只讨论机构原理、布置与干涉约束，不对锁止刚度和实际寿命作结论。</w:t>
      </w:r>
    </w:p>
    <w:p w14:paraId="6BAE5C67">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9"/>
    <w:p w14:paraId="1E6C16A8">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10" w:name="系统功能划分"/>
      <w:r>
        <w:rPr>
          <w:rFonts w:ascii="Times New Roman" w:hAnsi="Times New Roman" w:eastAsia="黑体" w:cs="Times New Roman"/>
          <w:b/>
          <w:bCs/>
          <w:color w:val="000000"/>
          <w:sz w:val="21"/>
          <w:szCs w:val="28"/>
          <w:lang w:val="en-US" w:eastAsia="en-US" w:bidi="ar-SA"/>
        </w:rPr>
        <w:t>2.3 系统功能划分</w:t>
      </w:r>
    </w:p>
    <w:p w14:paraId="15D757C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系统按照“输入—感知—状态—选择—输出”划分功能。输入层负责相机枚举、数据采集、深度对齐、滤波和内参读取；感知层完成目标检测、跨帧跟踪、深度取样及三维定位；状态层维护用户可见编号、平滑位置、可见或记忆状态；选择层从稳定候选中解析用户指定的类别、编号和空间限定；输出层显示彩色与深度画面，并给出目标状态。各环节通过结构化数据传递结果，使显示与目标选择使用同一组稳定状态，避免分别解释原始检测结果。</w:t>
      </w:r>
    </w:p>
    <w:p w14:paraId="736A9CEF">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7"/>
    <w:bookmarkEnd w:id="10"/>
    <w:p w14:paraId="64D2BFBB">
      <w:pPr>
        <w:keepNext/>
        <w:keepLines/>
        <w:pageBreakBefore w:val="0"/>
        <w:widowControl/>
        <w:kinsoku/>
        <w:wordWrap/>
        <w:overflowPunct/>
        <w:topLinePunct w:val="0"/>
        <w:autoSpaceDE/>
        <w:autoSpaceDN/>
        <w:bidi w:val="0"/>
        <w:adjustRightInd/>
        <w:snapToGrid/>
        <w:spacing w:before="219" w:beforeLines="50" w:after="219" w:afterLines="50" w:line="240" w:lineRule="auto"/>
        <w:ind w:left="0" w:right="0" w:firstLine="482" w:firstLineChars="200"/>
        <w:jc w:val="left"/>
        <w:textAlignment w:val="auto"/>
        <w:outlineLvl w:val="0"/>
        <w:rPr>
          <w:rFonts w:ascii="Calibri" w:hAnsi="Calibri" w:eastAsia="宋体" w:cs="Times New Roman"/>
          <w:b/>
          <w:bCs/>
          <w:color w:val="4F81BD"/>
          <w:sz w:val="32"/>
          <w:szCs w:val="32"/>
          <w:lang w:val="en-US" w:eastAsia="en-US" w:bidi="ar-SA"/>
        </w:rPr>
      </w:pPr>
      <w:bookmarkStart w:id="11" w:name="目标感知与定位方法"/>
      <w:r>
        <w:rPr>
          <w:rFonts w:ascii="Times New Roman" w:hAnsi="Times New Roman" w:eastAsia="黑体" w:cs="Times New Roman"/>
          <w:b/>
          <w:bCs/>
          <w:color w:val="000000"/>
          <w:sz w:val="24"/>
          <w:szCs w:val="32"/>
          <w:lang w:val="en-US" w:eastAsia="en-US" w:bidi="ar-SA"/>
        </w:rPr>
        <w:t>3 目标感知与定位方法</w:t>
      </w:r>
    </w:p>
    <w:p w14:paraId="64C43085">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12" w:name="总体流程与rgb-d预处理"/>
      <w:r>
        <w:rPr>
          <w:rFonts w:ascii="Times New Roman" w:hAnsi="Times New Roman" w:eastAsia="黑体" w:cs="Times New Roman"/>
          <w:b/>
          <w:bCs/>
          <w:color w:val="000000"/>
          <w:sz w:val="21"/>
          <w:szCs w:val="28"/>
          <w:lang w:val="en-US" w:eastAsia="en-US" w:bidi="ar-SA"/>
        </w:rPr>
        <w:t>3.1 总体流程与RGB-D预处理</w:t>
      </w:r>
    </w:p>
    <w:p w14:paraId="2F672D26">
      <w:pPr>
        <w:keepNext/>
        <w:pageBreakBefore w:val="0"/>
        <w:widowControl/>
        <w:kinsoku/>
        <w:wordWrap/>
        <w:overflowPunct/>
        <w:topLinePunct w:val="0"/>
        <w:autoSpaceDE/>
        <w:autoSpaceDN/>
        <w:bidi w:val="0"/>
        <w:adjustRightInd/>
        <w:spacing w:line="240" w:lineRule="auto"/>
        <w:ind w:left="0" w:right="0" w:firstLine="0"/>
        <w:jc w:val="center"/>
        <w:textAlignment w:val="auto"/>
        <w:rPr>
          <w:rFonts w:ascii="Times New Roman" w:hAnsi="Times New Roman" w:eastAsia="宋体"/>
          <w:sz w:val="21"/>
          <w:szCs w:val="24"/>
          <w:lang w:eastAsia="en-US"/>
        </w:rPr>
      </w:pPr>
      <w:r>
        <w:rPr>
          <w:rFonts w:ascii="Times New Roman" w:hAnsi="Times New Roman" w:eastAsia="宋体"/>
          <w:sz w:val="21"/>
          <w:szCs w:val="24"/>
          <w:lang w:eastAsia="en-US"/>
        </w:rPr>
        <w:drawing>
          <wp:inline distT="0" distB="0" distL="0" distR="0">
            <wp:extent cx="5399405" cy="2962910"/>
            <wp:effectExtent l="0" t="0" r="1270" b="8890"/>
            <wp:docPr id="9" name="image2.png" descr="图3-1 目标感知与定位系统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descr="图3-1 目标感知与定位系统流程"/>
                    <pic:cNvPicPr>
                      <a:picLocks noChangeAspect="1"/>
                    </pic:cNvPicPr>
                  </pic:nvPicPr>
                  <pic:blipFill>
                    <a:blip r:embed="rId14"/>
                    <a:stretch>
                      <a:fillRect/>
                    </a:stretch>
                  </pic:blipFill>
                  <pic:spPr>
                    <a:xfrm>
                      <a:off x="0" y="0"/>
                      <a:ext cx="5400000" cy="2963142"/>
                    </a:xfrm>
                    <a:prstGeom prst="rect">
                      <a:avLst/>
                    </a:prstGeom>
                  </pic:spPr>
                </pic:pic>
              </a:graphicData>
            </a:graphic>
          </wp:inline>
        </w:drawing>
      </w:r>
    </w:p>
    <w:p w14:paraId="630AED17">
      <w:pPr>
        <w:keepNext/>
        <w:keepLines/>
        <w:pageBreakBefore w:val="0"/>
        <w:kinsoku/>
        <w:wordWrap/>
        <w:overflowPunct/>
        <w:topLinePunct w:val="0"/>
        <w:autoSpaceDE/>
        <w:autoSpaceDN/>
        <w:bidi w:val="0"/>
        <w:spacing w:before="0" w:beforeLines="0" w:after="0" w:line="240" w:lineRule="auto"/>
        <w:ind w:left="0" w:right="0" w:firstLine="0"/>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i w:val="0"/>
          <w:iCs/>
          <w:color w:val="000000"/>
          <w:sz w:val="21"/>
          <w:szCs w:val="24"/>
          <w:lang w:val="en-US" w:eastAsia="en-US" w:bidi="ar-SA"/>
        </w:rPr>
        <w:t>图3-1 目标感知与定位系统流程</w:t>
      </w:r>
    </w:p>
    <w:p w14:paraId="0524762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 xml:space="preserve">如图3-1所示，D435 同时提供彩色帧、深度帧和相机内参。彩色流配置为 </w:t>
      </w:r>
      <m:oMath>
        <m:r>
          <m:rPr/>
          <m:t>640</m:t>
        </m:r>
        <m:r>
          <m:rPr>
            <m:sty m:val="p"/>
          </m:rPr>
          <m:t>×</m:t>
        </m:r>
        <m:r>
          <m:rPr/>
          <m:t>480</m:t>
        </m:r>
      </m:oMath>
      <w:r>
        <w:rPr>
          <w:rFonts w:ascii="Times New Roman" w:hAnsi="Times New Roman" w:eastAsia="宋体" w:cs="Times New Roman"/>
          <w:color w:val="000000"/>
          <w:sz w:val="21"/>
          <w:szCs w:val="24"/>
          <w:lang w:val="en-US" w:eastAsia="en-US" w:bidi="ar-SA"/>
        </w:rPr>
        <w:t xml:space="preserve">，原始深度流配置为 </w:t>
      </w:r>
      <m:oMath>
        <m:r>
          <m:rPr/>
          <m:t>848</m:t>
        </m:r>
        <m:r>
          <m:rPr>
            <m:sty m:val="p"/>
          </m:rPr>
          <m:t>×</m:t>
        </m:r>
        <m:r>
          <m:rPr/>
          <m:t>480</m:t>
        </m:r>
      </m:oMath>
      <w:r>
        <w:rPr>
          <w:rFonts w:ascii="Times New Roman" w:hAnsi="Times New Roman" w:eastAsia="宋体" w:cs="Times New Roman"/>
          <w:color w:val="000000"/>
          <w:sz w:val="21"/>
          <w:szCs w:val="24"/>
          <w:lang w:val="en-US" w:eastAsia="en-US" w:bidi="ar-SA"/>
        </w:rPr>
        <w:t xml:space="preserve">，帧率均为 30 FPS。深度帧首先对齐到彩色相机视角，对齐结果为 </w:t>
      </w:r>
      <m:oMath>
        <m:r>
          <m:rPr/>
          <m:t>640</m:t>
        </m:r>
        <m:r>
          <m:rPr>
            <m:sty m:val="p"/>
          </m:rPr>
          <m:t>×</m:t>
        </m:r>
        <m:r>
          <m:rPr/>
          <m:t>480</m:t>
        </m:r>
      </m:oMath>
      <w:r>
        <w:rPr>
          <w:rFonts w:ascii="Times New Roman" w:hAnsi="Times New Roman" w:eastAsia="宋体" w:cs="Times New Roman"/>
          <w:color w:val="000000"/>
          <w:sz w:val="21"/>
          <w:szCs w:val="24"/>
          <w:lang w:val="en-US" w:eastAsia="en-US" w:bidi="ar-SA"/>
        </w:rPr>
        <w:t>，随后依次进行空间滤波、时间滤波和空洞填充。空间滤波抑制局部随机噪声，时间滤波利用相邻帧提高深度连续性，空洞填充则补偿部分无效区域。用于计算的仍是米制深度矩阵，直方图均衡伪彩色只承担显示作用，不参与测距。</w:t>
      </w:r>
    </w:p>
    <w:p w14:paraId="25C61F27">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相机启动后先读取设备型号、固件和 USB 连接类型，再检查彩色帧与深度帧是否同时到达，并统计有效深度比例和中央区域深度。若相机因安装方向需要旋转，彩色图、深度图及相机内参必须同步变换；只旋转显示画面会使像素与内参不再对应，进而导致三维坐标方向错误。该预处理保证后续检测框可以直接索引同视角的深度像素。</w:t>
      </w:r>
    </w:p>
    <w:p w14:paraId="2C115463">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12"/>
    <w:p w14:paraId="5A8DFC10">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13" w:name="目标检测与跨帧跟踪"/>
      <w:r>
        <w:rPr>
          <w:rFonts w:ascii="Times New Roman" w:hAnsi="Times New Roman" w:eastAsia="黑体" w:cs="Times New Roman"/>
          <w:b/>
          <w:bCs/>
          <w:color w:val="000000"/>
          <w:sz w:val="21"/>
          <w:szCs w:val="28"/>
          <w:lang w:val="en-US" w:eastAsia="en-US" w:bidi="ar-SA"/>
        </w:rPr>
        <w:t>3.2 目标检测与跨帧跟踪</w:t>
      </w:r>
    </w:p>
    <w:p w14:paraId="4E7E3D6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对齐后的彩色帧输入 YOLO26m 中型预训练模型，推理尺寸为 640 像素。模型输出目标类别、置信度和矩形边界框，BoT-SORT 在连续帧间维护轨迹编号。系统把送入跟踪器的最低置信度设为 0.15，使低置信度但位置连续的检测仍可参与轨迹维持；面向用户的候选则要求平滑置信度不低于 0.30，并至少连续观测两次。两级门槛将“尽量不断轨”和“只提供较可靠候选”分开，避免单纯提高检测阈值后增加轨迹中断。</w:t>
      </w:r>
    </w:p>
    <w:p w14:paraId="080E2401">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 xml:space="preserve">当主跟踪器暂时未返回有效编号时，采用同类别边界框的交并比（Intersection over Union，IoU）进行后备关联。设两个边界框为 </w:t>
      </w:r>
      <m:oMath>
        <m:r>
          <m:rPr/>
          <m:t>A</m:t>
        </m:r>
      </m:oMath>
      <w:r>
        <w:rPr>
          <w:rFonts w:ascii="Times New Roman" w:hAnsi="Times New Roman" w:eastAsia="宋体" w:cs="Times New Roman"/>
          <w:color w:val="000000"/>
          <w:sz w:val="21"/>
          <w:szCs w:val="24"/>
          <w:lang w:val="en-US" w:eastAsia="en-US" w:bidi="ar-SA"/>
        </w:rPr>
        <w:t xml:space="preserve"> 和 </w:t>
      </w:r>
      <m:oMath>
        <m:r>
          <m:rPr/>
          <m:t>B</m:t>
        </m:r>
      </m:oMath>
      <w:r>
        <w:rPr>
          <w:rFonts w:ascii="Times New Roman" w:hAnsi="Times New Roman" w:eastAsia="宋体" w:cs="Times New Roman"/>
          <w:color w:val="000000"/>
          <w:sz w:val="21"/>
          <w:szCs w:val="24"/>
          <w:lang w:val="en-US" w:eastAsia="en-US" w:bidi="ar-SA"/>
        </w:rPr>
        <w:t>，则</w:t>
      </w:r>
    </w:p>
    <w:p w14:paraId="36712F15">
      <w:pPr>
        <w:pageBreakBefore w:val="0"/>
        <w:kinsoku/>
        <w:wordWrap/>
        <w:overflowPunct/>
        <w:topLinePunct w:val="0"/>
        <w:autoSpaceDE/>
        <w:autoSpaceDN/>
        <w:bidi w:val="0"/>
        <w:spacing w:before="0" w:beforeLines="0" w:after="0" w:line="240" w:lineRule="auto"/>
        <w:ind w:left="0" w:right="0" w:firstLine="420" w:firstLineChars="200"/>
        <w:jc w:val="both"/>
        <m:rPr/>
        <w:rPr>
          <w:rFonts w:hint="default" w:hAnsi="DejaVu Math TeX Gyre" w:eastAsia="宋体" w:cs="Times New Roman"/>
          <w:i w:val="0"/>
          <w:color w:val="000000"/>
          <w:sz w:val="21"/>
          <w:szCs w:val="24"/>
          <w:lang w:val="en-US" w:eastAsia="en-US" w:bidi="ar-SA"/>
        </w:rPr>
      </w:pPr>
      <m:oMathPara>
        <m:oMath>
          <m:eqArr>
            <m:eqArrPr>
              <m:maxDist m:val="1"/>
              <m:ctrlPr>
                <m:rPr/>
                <w:rPr>
                  <w:rFonts w:hint="default" w:hAnsi="DejaVu Math TeX Gyre" w:eastAsia="宋体"/>
                  <w:i w:val="0"/>
                  <w:sz w:val="21"/>
                  <w:lang w:val="en-US" w:eastAsia="zh-CN"/>
                </w:rPr>
              </m:ctrlPr>
            </m:eqArrPr>
            <m:e>
              <m:r>
                <m:rPr/>
                <w:rPr>
                  <w:rFonts w:hint="default" w:ascii="DejaVu Math TeX Gyre" w:hAnsi="DejaVu Math TeX Gyre" w:eastAsia="宋体"/>
                  <w:sz w:val="21"/>
                </w:rPr>
                <m:t>IoU(A,B)=</m:t>
              </m:r>
              <m:f>
                <m:fPr>
                  <m:ctrlPr>
                    <w:rPr>
                      <w:rFonts w:hint="default" w:ascii="DejaVu Math TeX Gyre" w:hAnsi="DejaVu Math TeX Gyre" w:eastAsia="宋体"/>
                      <w:sz w:val="21"/>
                    </w:rPr>
                  </m:ctrlPr>
                </m:fPr>
                <m:num>
                  <m:r>
                    <m:rPr/>
                    <w:rPr>
                      <w:rFonts w:hint="default" w:ascii="DejaVu Math TeX Gyre" w:hAnsi="DejaVu Math TeX Gyre" w:eastAsia="宋体"/>
                      <w:sz w:val="21"/>
                    </w:rPr>
                    <m:t>|A∩B|</m:t>
                  </m:r>
                  <m:ctrlPr>
                    <w:rPr>
                      <w:rFonts w:ascii="DejaVu Math TeX Gyre" w:hAnsi="DejaVu Math TeX Gyre" w:eastAsia="宋体"/>
                      <w:sz w:val="21"/>
                    </w:rPr>
                  </m:ctrlPr>
                </m:num>
                <m:den>
                  <m:r>
                    <m:rPr/>
                    <w:rPr>
                      <w:rFonts w:hint="default" w:ascii="DejaVu Math TeX Gyre" w:hAnsi="DejaVu Math TeX Gyre" w:eastAsia="宋体"/>
                      <w:sz w:val="21"/>
                    </w:rPr>
                    <m:t>|A∪B|</m:t>
                  </m:r>
                  <m:ctrlPr>
                    <w:rPr>
                      <w:rFonts w:ascii="DejaVu Math TeX Gyre" w:hAnsi="DejaVu Math TeX Gyre" w:eastAsia="宋体"/>
                      <w:sz w:val="21"/>
                    </w:rPr>
                  </m:ctrlPr>
                </m:den>
              </m:f>
              <m:r>
                <m:rPr>
                  <m:sty m:val="p"/>
                </m:rPr>
                <w:rPr>
                  <w:rFonts w:hint="default" w:ascii="DejaVu Math TeX Gyre" w:hAnsi="DejaVu Math TeX Gyre" w:eastAsia="宋体"/>
                  <w:sz w:val="21"/>
                  <w:lang w:val="en-US" w:eastAsia="zh-CN"/>
                </w:rPr>
                <m:t>#(1)</m:t>
              </m:r>
              <m:ctrlPr>
                <m:rPr/>
                <w:rPr>
                  <w:rFonts w:hint="default" w:hAnsi="DejaVu Math TeX Gyre" w:eastAsia="宋体"/>
                  <w:i w:val="0"/>
                  <w:sz w:val="21"/>
                  <w:lang w:val="en-US" w:eastAsia="zh-CN"/>
                </w:rPr>
              </m:ctrlPr>
            </m:e>
          </m:eqArr>
        </m:oMath>
      </m:oMathPara>
    </w:p>
    <w:p w14:paraId="68120071">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式中，</w:t>
      </w:r>
      <m:oMath>
        <m:d>
          <m:dPr>
            <m:begChr m:val="|"/>
            <m:sepChr m:val=""/>
            <m:endChr m:val="|"/>
          </m:dPr>
          <m:e>
            <m:r>
              <m:rPr/>
              <m:t>A</m:t>
            </m:r>
            <m:r>
              <m:rPr>
                <m:sty m:val="p"/>
              </m:rPr>
              <m:t>∩</m:t>
            </m:r>
            <m:r>
              <m:rPr/>
              <m:t>B</m:t>
            </m:r>
          </m:e>
        </m:d>
      </m:oMath>
      <w:r>
        <w:rPr>
          <w:rFonts w:ascii="Times New Roman" w:hAnsi="Times New Roman" w:eastAsia="宋体" w:cs="Times New Roman"/>
          <w:color w:val="000000"/>
          <w:sz w:val="21"/>
          <w:szCs w:val="24"/>
          <w:lang w:val="en-US" w:eastAsia="en-US" w:bidi="ar-SA"/>
        </w:rPr>
        <w:t xml:space="preserve"> 为两框交集面积，</w:t>
      </w:r>
      <m:oMath>
        <m:d>
          <m:dPr>
            <m:begChr m:val="|"/>
            <m:sepChr m:val=""/>
            <m:endChr m:val="|"/>
          </m:dPr>
          <m:e>
            <m:r>
              <m:rPr/>
              <m:t>A</m:t>
            </m:r>
            <m:r>
              <m:rPr>
                <m:sty m:val="p"/>
              </m:rPr>
              <m:t>∪</m:t>
            </m:r>
            <m:r>
              <m:rPr/>
              <m:t>B</m:t>
            </m:r>
          </m:e>
        </m:d>
      </m:oMath>
      <w:r>
        <w:rPr>
          <w:rFonts w:ascii="Times New Roman" w:hAnsi="Times New Roman" w:eastAsia="宋体" w:cs="Times New Roman"/>
          <w:color w:val="000000"/>
          <w:sz w:val="21"/>
          <w:szCs w:val="24"/>
          <w:lang w:val="en-US" w:eastAsia="en-US" w:bidi="ar-SA"/>
        </w:rPr>
        <w:t xml:space="preserve"> 为并集面积。IoU取值为0～1：0表示两框不重叠，1表示完全重合，数值越大说明空间重叠越强。连续帧中IoU达到阈值的同类框继承原编号，长期未匹配的轨迹被移除。该方法计算量较小，但在快速运动、长时间遮挡或同类目标交叉时区分能力有限，因此只作为后备关联。</w:t>
      </w:r>
    </w:p>
    <w:p w14:paraId="49D416E2">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13"/>
    <w:p w14:paraId="699AC4CF">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14" w:name="稳健深度提取与三维反投影"/>
      <w:r>
        <w:rPr>
          <w:rFonts w:ascii="Times New Roman" w:hAnsi="Times New Roman" w:eastAsia="黑体" w:cs="Times New Roman"/>
          <w:b/>
          <w:bCs/>
          <w:color w:val="000000"/>
          <w:sz w:val="21"/>
          <w:szCs w:val="28"/>
          <w:lang w:val="en-US" w:eastAsia="en-US" w:bidi="ar-SA"/>
        </w:rPr>
        <w:t>3.3 稳健深度提取与三维反投影</w:t>
      </w:r>
    </w:p>
    <w:p w14:paraId="2EE0194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检测框通常同时包含目标、背景及边缘混合像素。若直接读取中心点，结果可能恰好落在空洞；若对整框取平均，椅背、桌腿等镂空区域后的墙面可能占据主要比例。为此，本文在检测框中央 45% 的区域内取样，先删除非有限值、零值及 0.2～8 m 范围外的像素。有效像素少于 12 个时，本帧不产生新的三维定位结果。</w:t>
      </w:r>
    </w:p>
    <w:p w14:paraId="278F089E">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 xml:space="preserve">将剩余深度从小到大排序，当相邻值之差超过 </w:t>
      </w:r>
      <m:oMath>
        <m:r>
          <m:rPr>
            <m:sty m:val="p"/>
          </m:rPr>
          <m:t>max</m:t>
        </m:r>
        <m:d>
          <m:dPr>
            <m:sepChr m:val=""/>
          </m:dPr>
          <m:e>
            <m:r>
              <m:rPr/>
              <m:t>0.04</m:t>
            </m:r>
            <m:r>
              <m:rPr>
                <m:sty m:val="p"/>
              </m:rPr>
              <m:t>,</m:t>
            </m:r>
            <m:r>
              <m:rPr/>
              <m:t>0.025z</m:t>
            </m:r>
          </m:e>
        </m:d>
      </m:oMath>
      <w:r>
        <w:rPr>
          <w:rFonts w:ascii="Times New Roman" w:hAnsi="Times New Roman" w:eastAsia="宋体" w:cs="Times New Roman"/>
          <w:color w:val="000000"/>
          <w:sz w:val="21"/>
          <w:szCs w:val="24"/>
          <w:lang w:val="en-US" w:eastAsia="en-US" w:bidi="ar-SA"/>
        </w:rPr>
        <w:t xml:space="preserve"> 时划分为不同深度簇。像素数量达到可信下限的簇中，优先选择中位深度最小的一簇，将其视为框内最近的可信前景。对选中簇计算中位数 </w:t>
      </w:r>
      <m:oMath>
        <m:sSub>
          <m:sSubPr/>
          <m:e>
            <m:r>
              <m:rPr/>
              <m:t>m</m:t>
            </m:r>
          </m:e>
          <m:sub>
            <m:r>
              <m:rPr/>
              <m:t>z</m:t>
            </m:r>
          </m:sub>
        </m:sSub>
      </m:oMath>
      <w:r>
        <w:rPr>
          <w:rFonts w:ascii="Times New Roman" w:hAnsi="Times New Roman" w:eastAsia="宋体" w:cs="Times New Roman"/>
          <w:color w:val="000000"/>
          <w:sz w:val="21"/>
          <w:szCs w:val="24"/>
          <w:lang w:val="en-US" w:eastAsia="en-US" w:bidi="ar-SA"/>
        </w:rPr>
        <w:t xml:space="preserve"> 和中位绝对偏差（Median Absolute Deviation，MAD）：</w:t>
      </w:r>
    </w:p>
    <w:p w14:paraId="151EA306">
      <w:pPr>
        <w:pageBreakBefore w:val="0"/>
        <w:kinsoku/>
        <w:wordWrap/>
        <w:overflowPunct/>
        <w:topLinePunct w:val="0"/>
        <w:autoSpaceDE/>
        <w:autoSpaceDN/>
        <w:bidi w:val="0"/>
        <w:spacing w:before="0" w:beforeLines="0" w:after="0" w:line="240" w:lineRule="auto"/>
        <w:ind w:left="0" w:right="0" w:firstLine="420" w:firstLineChars="200"/>
        <w:jc w:val="both"/>
        <m:rPr/>
        <w:rPr>
          <w:rFonts w:hint="default" w:hAnsi="DejaVu Math TeX Gyre" w:eastAsia="宋体" w:cs="Times New Roman"/>
          <w:i w:val="0"/>
          <w:color w:val="000000"/>
          <w:sz w:val="21"/>
          <w:szCs w:val="24"/>
          <w:lang w:val="en-US" w:eastAsia="en-US" w:bidi="ar-SA"/>
        </w:rPr>
      </w:pPr>
      <m:oMathPara>
        <m:oMath>
          <m:eqArr>
            <m:eqArrPr>
              <m:maxDist m:val="1"/>
              <m:ctrlPr>
                <m:rPr/>
                <w:rPr>
                  <w:rFonts w:hint="default" w:hAnsi="DejaVu Math TeX Gyre" w:eastAsia="宋体" w:cs="Times New Roman"/>
                  <w:i w:val="0"/>
                  <w:color w:val="000000"/>
                  <w:sz w:val="21"/>
                  <w:szCs w:val="24"/>
                  <w:lang w:val="en-US" w:eastAsia="en-US" w:bidi="ar-SA"/>
                </w:rPr>
              </m:ctrlPr>
            </m:eqArrPr>
            <m:e>
              <m:r>
                <m:rPr/>
                <w:rPr>
                  <w:rFonts w:hint="default" w:ascii="DejaVu Math TeX Gyre" w:hAnsi="DejaVu Math TeX Gyre" w:eastAsia="宋体"/>
                  <w:sz w:val="21"/>
                </w:rPr>
                <m:t>MAD=median(|</m:t>
              </m:r>
              <m:sSub>
                <m:sSubPr>
                  <m:ctrlPr>
                    <w:rPr>
                      <w:rFonts w:hint="default" w:ascii="DejaVu Math TeX Gyre" w:hAnsi="DejaVu Math TeX Gyre" w:eastAsia="宋体"/>
                      <w:sz w:val="21"/>
                    </w:rPr>
                  </m:ctrlPr>
                </m:sSubPr>
                <m:e>
                  <m:r>
                    <m:rPr/>
                    <w:rPr>
                      <w:rFonts w:hint="default" w:ascii="DejaVu Math TeX Gyre" w:hAnsi="DejaVu Math TeX Gyre" w:eastAsia="宋体"/>
                      <w:sz w:val="21"/>
                    </w:rPr>
                    <m:t>z</m:t>
                  </m:r>
                  <m:ctrlPr>
                    <w:rPr>
                      <w:rFonts w:ascii="DejaVu Math TeX Gyre" w:hAnsi="DejaVu Math TeX Gyre" w:eastAsia="宋体"/>
                      <w:sz w:val="21"/>
                    </w:rPr>
                  </m:ctrlPr>
                </m:e>
                <m:sub>
                  <m:r>
                    <m:rPr/>
                    <w:rPr>
                      <w:rFonts w:hint="default" w:ascii="DejaVu Math TeX Gyre" w:hAnsi="DejaVu Math TeX Gyre" w:eastAsia="宋体"/>
                      <w:sz w:val="21"/>
                    </w:rPr>
                    <m:t>i</m:t>
                  </m:r>
                  <m:ctrlPr>
                    <w:rPr>
                      <w:rFonts w:ascii="DejaVu Math TeX Gyre" w:hAnsi="DejaVu Math TeX Gyre" w:eastAsia="宋体"/>
                      <w:sz w:val="21"/>
                    </w:rPr>
                  </m:ctrlPr>
                </m:sub>
              </m:sSub>
              <m:r>
                <m:rPr/>
                <w:rPr>
                  <w:rFonts w:hint="default" w:ascii="DejaVu Math TeX Gyre" w:hAnsi="DejaVu Math TeX Gyre" w:eastAsia="宋体"/>
                  <w:sz w:val="21"/>
                </w:rPr>
                <m:t>−</m:t>
              </m:r>
              <m:sSub>
                <m:sSubPr>
                  <m:ctrlPr>
                    <w:rPr>
                      <w:rFonts w:hint="default" w:ascii="DejaVu Math TeX Gyre" w:hAnsi="DejaVu Math TeX Gyre" w:eastAsia="宋体"/>
                      <w:sz w:val="21"/>
                    </w:rPr>
                  </m:ctrlPr>
                </m:sSubPr>
                <m:e>
                  <m:r>
                    <m:rPr/>
                    <w:rPr>
                      <w:rFonts w:hint="default" w:ascii="DejaVu Math TeX Gyre" w:hAnsi="DejaVu Math TeX Gyre" w:eastAsia="宋体"/>
                      <w:sz w:val="21"/>
                    </w:rPr>
                    <m:t>m</m:t>
                  </m:r>
                  <m:ctrlPr>
                    <w:rPr>
                      <w:rFonts w:ascii="DejaVu Math TeX Gyre" w:hAnsi="DejaVu Math TeX Gyre" w:eastAsia="宋体"/>
                      <w:sz w:val="21"/>
                    </w:rPr>
                  </m:ctrlPr>
                </m:e>
                <m:sub>
                  <m:r>
                    <m:rPr/>
                    <w:rPr>
                      <w:rFonts w:hint="default" w:ascii="DejaVu Math TeX Gyre" w:hAnsi="DejaVu Math TeX Gyre" w:eastAsia="宋体"/>
                      <w:sz w:val="21"/>
                    </w:rPr>
                    <m:t>z</m:t>
                  </m:r>
                  <m:ctrlPr>
                    <w:rPr>
                      <w:rFonts w:ascii="DejaVu Math TeX Gyre" w:hAnsi="DejaVu Math TeX Gyre" w:eastAsia="宋体"/>
                      <w:sz w:val="21"/>
                    </w:rPr>
                  </m:ctrlPr>
                </m:sub>
              </m:sSub>
              <m:r>
                <m:rPr/>
                <w:rPr>
                  <w:rFonts w:hint="default" w:ascii="DejaVu Math TeX Gyre" w:hAnsi="DejaVu Math TeX Gyre" w:eastAsia="宋体"/>
                  <w:sz w:val="21"/>
                </w:rPr>
                <m:t>|)</m:t>
              </m:r>
              <m:r>
                <m:rPr>
                  <m:sty m:val="p"/>
                </m:rPr>
                <w:rPr>
                  <w:rFonts w:hint="default" w:ascii="DejaVu Math TeX Gyre" w:hAnsi="DejaVu Math TeX Gyre" w:eastAsia="宋体" w:cs="Times New Roman"/>
                  <w:color w:val="000000"/>
                  <w:sz w:val="21"/>
                  <w:szCs w:val="24"/>
                  <w:lang w:val="en-US" w:eastAsia="zh-CN" w:bidi="ar-SA"/>
                </w:rPr>
                <m:t>#(2)</m:t>
              </m:r>
              <m:ctrlPr>
                <m:rPr/>
                <w:rPr>
                  <w:rFonts w:hint="default" w:hAnsi="DejaVu Math TeX Gyre" w:eastAsia="宋体" w:cs="Times New Roman"/>
                  <w:i w:val="0"/>
                  <w:color w:val="000000"/>
                  <w:sz w:val="21"/>
                  <w:szCs w:val="24"/>
                  <w:lang w:val="en-US" w:eastAsia="en-US" w:bidi="ar-SA"/>
                </w:rPr>
              </m:ctrlPr>
            </m:e>
          </m:eqArr>
        </m:oMath>
      </m:oMathPara>
    </w:p>
    <w:p w14:paraId="1ABA7CD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其中，</w:t>
      </w:r>
      <m:oMath>
        <m:sSub>
          <m:sSubPr/>
          <m:e>
            <m:r>
              <m:rPr/>
              <m:t>z</m:t>
            </m:r>
          </m:e>
          <m:sub>
            <m:r>
              <m:rPr/>
              <m:t>i</m:t>
            </m:r>
          </m:sub>
        </m:sSub>
      </m:oMath>
      <w:r>
        <w:rPr>
          <w:rFonts w:ascii="Times New Roman" w:hAnsi="Times New Roman" w:eastAsia="宋体" w:cs="Times New Roman"/>
          <w:color w:val="000000"/>
          <w:sz w:val="21"/>
          <w:szCs w:val="24"/>
          <w:lang w:val="en-US" w:eastAsia="en-US" w:bidi="ar-SA"/>
        </w:rPr>
        <w:t xml:space="preserve"> 为簇内第</w:t>
      </w:r>
      <m:oMath>
        <m:r>
          <m:rPr/>
          <m:t>i</m:t>
        </m:r>
      </m:oMath>
      <w:r>
        <w:rPr>
          <w:rFonts w:ascii="Times New Roman" w:hAnsi="Times New Roman" w:eastAsia="宋体" w:cs="Times New Roman"/>
          <w:color w:val="000000"/>
          <w:sz w:val="21"/>
          <w:szCs w:val="24"/>
          <w:lang w:val="en-US" w:eastAsia="en-US" w:bidi="ar-SA"/>
        </w:rPr>
        <w:t>个深度值，MAD表示各深度值到中位数距离的中位数。MAD越小，说明簇内深度越集中；数值较大则可能存在表面混合或噪声。由于它使用中位数，少量极端值对结果影响较小。系统据此剔除离群样本，最终MAD大于0.15 m时不采用当前定位结果。</w:t>
      </w:r>
    </w:p>
    <w:p w14:paraId="2E5CD8B3">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 xml:space="preserve">获得代表像素 </w:t>
      </w:r>
      <m:oMath>
        <m:d>
          <m:dPr>
            <m:sepChr m:val=""/>
          </m:dPr>
          <m:e>
            <m:r>
              <m:rPr/>
              <m:t>u</m:t>
            </m:r>
            <m:r>
              <m:rPr>
                <m:sty m:val="p"/>
              </m:rPr>
              <m:t>,</m:t>
            </m:r>
            <m:r>
              <m:rPr/>
              <m:t>v</m:t>
            </m:r>
          </m:e>
        </m:d>
      </m:oMath>
      <w:r>
        <w:rPr>
          <w:rFonts w:ascii="Times New Roman" w:hAnsi="Times New Roman" w:eastAsia="宋体" w:cs="Times New Roman"/>
          <w:color w:val="000000"/>
          <w:sz w:val="21"/>
          <w:szCs w:val="24"/>
          <w:lang w:val="en-US" w:eastAsia="en-US" w:bidi="ar-SA"/>
        </w:rPr>
        <w:t xml:space="preserve"> 与深度 </w:t>
      </w:r>
      <m:oMath>
        <m:r>
          <m:rPr/>
          <m:t>Z</m:t>
        </m:r>
      </m:oMath>
      <w:r>
        <w:rPr>
          <w:rFonts w:ascii="Times New Roman" w:hAnsi="Times New Roman" w:eastAsia="宋体" w:cs="Times New Roman"/>
          <w:color w:val="000000"/>
          <w:sz w:val="21"/>
          <w:szCs w:val="24"/>
          <w:lang w:val="en-US" w:eastAsia="en-US" w:bidi="ar-SA"/>
        </w:rPr>
        <w:t xml:space="preserve"> 后，利用相机内参进行针孔反投影：</w:t>
      </w:r>
    </w:p>
    <w:p w14:paraId="05F0A4C1">
      <w:pPr>
        <w:pageBreakBefore w:val="0"/>
        <w:kinsoku/>
        <w:wordWrap/>
        <w:overflowPunct/>
        <w:topLinePunct w:val="0"/>
        <w:autoSpaceDE/>
        <w:autoSpaceDN/>
        <w:bidi w:val="0"/>
        <w:spacing w:before="0" w:beforeLines="0" w:after="0" w:line="240" w:lineRule="auto"/>
        <w:ind w:left="0" w:right="0" w:firstLine="420" w:firstLineChars="200"/>
        <w:jc w:val="both"/>
        <m:rPr/>
        <w:rPr>
          <w:rFonts w:hint="default" w:hAnsi="DejaVu Math TeX Gyre" w:eastAsia="宋体" w:cs="Times New Roman"/>
          <w:i w:val="0"/>
          <w:color w:val="000000"/>
          <w:sz w:val="21"/>
          <w:szCs w:val="24"/>
          <w:lang w:val="en-US" w:eastAsia="en-US" w:bidi="ar-SA"/>
        </w:rPr>
      </w:pPr>
      <m:oMathPara>
        <m:oMath>
          <m:eqArr>
            <m:eqArrPr>
              <m:maxDist m:val="1"/>
              <m:ctrlPr>
                <m:rPr/>
                <w:rPr>
                  <w:rFonts w:hint="default" w:hAnsi="DejaVu Math TeX Gyre" w:eastAsia="宋体" w:cs="Times New Roman"/>
                  <w:i w:val="0"/>
                  <w:color w:val="000000"/>
                  <w:sz w:val="21"/>
                  <w:szCs w:val="24"/>
                  <w:lang w:val="en-US" w:eastAsia="en-US" w:bidi="ar-SA"/>
                </w:rPr>
              </m:ctrlPr>
            </m:eqArrPr>
            <m:e>
              <m:r>
                <m:rPr/>
                <w:rPr>
                  <w:rFonts w:hint="default" w:ascii="DejaVu Math TeX Gyre" w:hAnsi="DejaVu Math TeX Gyre" w:eastAsia="宋体"/>
                  <w:sz w:val="21"/>
                </w:rPr>
                <m:t>X=</m:t>
              </m:r>
              <m:f>
                <m:fPr>
                  <m:ctrlPr>
                    <w:rPr>
                      <w:rFonts w:hint="default" w:ascii="DejaVu Math TeX Gyre" w:hAnsi="DejaVu Math TeX Gyre" w:eastAsia="宋体"/>
                      <w:sz w:val="21"/>
                    </w:rPr>
                  </m:ctrlPr>
                </m:fPr>
                <m:num>
                  <m:r>
                    <m:rPr/>
                    <w:rPr>
                      <w:rFonts w:hint="default" w:ascii="DejaVu Math TeX Gyre" w:hAnsi="DejaVu Math TeX Gyre" w:eastAsia="宋体"/>
                      <w:sz w:val="21"/>
                    </w:rPr>
                    <m:t>(u−</m:t>
                  </m:r>
                  <m:sSub>
                    <m:sSubPr>
                      <m:ctrlPr>
                        <w:rPr>
                          <w:rFonts w:hint="default" w:ascii="DejaVu Math TeX Gyre" w:hAnsi="DejaVu Math TeX Gyre" w:eastAsia="宋体"/>
                          <w:sz w:val="21"/>
                        </w:rPr>
                      </m:ctrlPr>
                    </m:sSubPr>
                    <m:e>
                      <m:r>
                        <m:rPr/>
                        <w:rPr>
                          <w:rFonts w:hint="default" w:ascii="DejaVu Math TeX Gyre" w:hAnsi="DejaVu Math TeX Gyre" w:eastAsia="宋体"/>
                          <w:sz w:val="21"/>
                        </w:rPr>
                        <m:t>c</m:t>
                      </m:r>
                      <m:ctrlPr>
                        <w:rPr>
                          <w:rFonts w:ascii="DejaVu Math TeX Gyre" w:hAnsi="DejaVu Math TeX Gyre" w:eastAsia="宋体"/>
                          <w:sz w:val="21"/>
                        </w:rPr>
                      </m:ctrlPr>
                    </m:e>
                    <m:sub>
                      <m:r>
                        <m:rPr/>
                        <w:rPr>
                          <w:rFonts w:hint="default" w:ascii="DejaVu Math TeX Gyre" w:hAnsi="DejaVu Math TeX Gyre" w:eastAsia="宋体"/>
                          <w:sz w:val="21"/>
                        </w:rPr>
                        <m:t>x</m:t>
                      </m:r>
                      <m:ctrlPr>
                        <w:rPr>
                          <w:rFonts w:ascii="DejaVu Math TeX Gyre" w:hAnsi="DejaVu Math TeX Gyre" w:eastAsia="宋体"/>
                          <w:sz w:val="21"/>
                        </w:rPr>
                      </m:ctrlPr>
                    </m:sub>
                  </m:sSub>
                  <m:r>
                    <m:rPr/>
                    <w:rPr>
                      <w:rFonts w:hint="default" w:ascii="DejaVu Math TeX Gyre" w:hAnsi="DejaVu Math TeX Gyre" w:eastAsia="宋体"/>
                      <w:sz w:val="21"/>
                    </w:rPr>
                    <m:t>)Z</m:t>
                  </m:r>
                  <m:ctrlPr>
                    <w:rPr>
                      <w:rFonts w:hint="default" w:ascii="DejaVu Math TeX Gyre" w:hAnsi="DejaVu Math TeX Gyre" w:eastAsia="宋体"/>
                      <w:sz w:val="21"/>
                    </w:rPr>
                  </m:ctrlPr>
                </m:num>
                <m:den>
                  <m:sSub>
                    <m:sSubPr>
                      <m:ctrlPr>
                        <w:rPr>
                          <w:rFonts w:hint="default" w:ascii="DejaVu Math TeX Gyre" w:hAnsi="DejaVu Math TeX Gyre" w:eastAsia="宋体"/>
                          <w:sz w:val="21"/>
                        </w:rPr>
                      </m:ctrlPr>
                    </m:sSubPr>
                    <m:e>
                      <m:r>
                        <m:rPr/>
                        <w:rPr>
                          <w:rFonts w:hint="default" w:ascii="DejaVu Math TeX Gyre" w:hAnsi="DejaVu Math TeX Gyre" w:eastAsia="宋体"/>
                          <w:sz w:val="21"/>
                        </w:rPr>
                        <m:t>f</m:t>
                      </m:r>
                      <m:ctrlPr>
                        <w:rPr>
                          <w:rFonts w:ascii="DejaVu Math TeX Gyre" w:hAnsi="DejaVu Math TeX Gyre" w:eastAsia="宋体"/>
                          <w:sz w:val="21"/>
                        </w:rPr>
                      </m:ctrlPr>
                    </m:e>
                    <m:sub>
                      <m:r>
                        <m:rPr/>
                        <w:rPr>
                          <w:rFonts w:hint="default" w:ascii="DejaVu Math TeX Gyre" w:hAnsi="DejaVu Math TeX Gyre" w:eastAsia="宋体"/>
                          <w:sz w:val="21"/>
                        </w:rPr>
                        <m:t>x</m:t>
                      </m:r>
                      <m:ctrlPr>
                        <w:rPr>
                          <w:rFonts w:ascii="DejaVu Math TeX Gyre" w:hAnsi="DejaVu Math TeX Gyre" w:eastAsia="宋体"/>
                          <w:sz w:val="21"/>
                        </w:rPr>
                      </m:ctrlPr>
                    </m:sub>
                  </m:sSub>
                  <m:ctrlPr>
                    <w:rPr>
                      <w:rFonts w:hint="default" w:ascii="DejaVu Math TeX Gyre" w:hAnsi="DejaVu Math TeX Gyre" w:eastAsia="宋体"/>
                      <w:sz w:val="21"/>
                    </w:rPr>
                  </m:ctrlPr>
                </m:den>
              </m:f>
              <m:r>
                <m:rPr/>
                <w:rPr>
                  <w:rFonts w:hint="default" w:ascii="DejaVu Math TeX Gyre" w:hAnsi="DejaVu Math TeX Gyre" w:eastAsia="宋体"/>
                  <w:sz w:val="21"/>
                </w:rPr>
                <m:t>,Y=</m:t>
              </m:r>
              <m:f>
                <m:fPr>
                  <m:ctrlPr>
                    <w:rPr>
                      <w:rFonts w:hint="default" w:ascii="DejaVu Math TeX Gyre" w:hAnsi="DejaVu Math TeX Gyre" w:eastAsia="宋体"/>
                      <w:sz w:val="21"/>
                    </w:rPr>
                  </m:ctrlPr>
                </m:fPr>
                <m:num>
                  <m:r>
                    <m:rPr/>
                    <w:rPr>
                      <w:rFonts w:hint="default" w:ascii="DejaVu Math TeX Gyre" w:hAnsi="DejaVu Math TeX Gyre" w:eastAsia="宋体"/>
                      <w:sz w:val="21"/>
                    </w:rPr>
                    <m:t>(v−</m:t>
                  </m:r>
                  <m:sSub>
                    <m:sSubPr>
                      <m:ctrlPr>
                        <w:rPr>
                          <w:rFonts w:hint="default" w:ascii="DejaVu Math TeX Gyre" w:hAnsi="DejaVu Math TeX Gyre" w:eastAsia="宋体"/>
                          <w:sz w:val="21"/>
                        </w:rPr>
                      </m:ctrlPr>
                    </m:sSubPr>
                    <m:e>
                      <m:r>
                        <m:rPr/>
                        <w:rPr>
                          <w:rFonts w:hint="default" w:ascii="DejaVu Math TeX Gyre" w:hAnsi="DejaVu Math TeX Gyre" w:eastAsia="宋体"/>
                          <w:sz w:val="21"/>
                        </w:rPr>
                        <m:t>c</m:t>
                      </m:r>
                      <m:ctrlPr>
                        <w:rPr>
                          <w:rFonts w:ascii="DejaVu Math TeX Gyre" w:hAnsi="DejaVu Math TeX Gyre" w:eastAsia="宋体"/>
                          <w:sz w:val="21"/>
                        </w:rPr>
                      </m:ctrlPr>
                    </m:e>
                    <m:sub>
                      <m:r>
                        <m:rPr/>
                        <w:rPr>
                          <w:rFonts w:hint="default" w:ascii="DejaVu Math TeX Gyre" w:hAnsi="DejaVu Math TeX Gyre" w:eastAsia="宋体"/>
                          <w:sz w:val="21"/>
                        </w:rPr>
                        <m:t>y</m:t>
                      </m:r>
                      <m:ctrlPr>
                        <w:rPr>
                          <w:rFonts w:ascii="DejaVu Math TeX Gyre" w:hAnsi="DejaVu Math TeX Gyre" w:eastAsia="宋体"/>
                          <w:sz w:val="21"/>
                        </w:rPr>
                      </m:ctrlPr>
                    </m:sub>
                  </m:sSub>
                  <m:r>
                    <m:rPr/>
                    <w:rPr>
                      <w:rFonts w:hint="default" w:ascii="DejaVu Math TeX Gyre" w:hAnsi="DejaVu Math TeX Gyre" w:eastAsia="宋体"/>
                      <w:sz w:val="21"/>
                    </w:rPr>
                    <m:t>)Z</m:t>
                  </m:r>
                  <m:ctrlPr>
                    <w:rPr>
                      <w:rFonts w:hint="default" w:ascii="DejaVu Math TeX Gyre" w:hAnsi="DejaVu Math TeX Gyre" w:eastAsia="宋体"/>
                      <w:sz w:val="21"/>
                    </w:rPr>
                  </m:ctrlPr>
                </m:num>
                <m:den>
                  <m:sSub>
                    <m:sSubPr>
                      <m:ctrlPr>
                        <w:rPr>
                          <w:rFonts w:hint="default" w:ascii="DejaVu Math TeX Gyre" w:hAnsi="DejaVu Math TeX Gyre" w:eastAsia="宋体"/>
                          <w:sz w:val="21"/>
                        </w:rPr>
                      </m:ctrlPr>
                    </m:sSubPr>
                    <m:e>
                      <m:r>
                        <m:rPr/>
                        <w:rPr>
                          <w:rFonts w:hint="default" w:ascii="DejaVu Math TeX Gyre" w:hAnsi="DejaVu Math TeX Gyre" w:eastAsia="宋体"/>
                          <w:sz w:val="21"/>
                        </w:rPr>
                        <m:t>f</m:t>
                      </m:r>
                      <m:ctrlPr>
                        <w:rPr>
                          <w:rFonts w:ascii="DejaVu Math TeX Gyre" w:hAnsi="DejaVu Math TeX Gyre" w:eastAsia="宋体"/>
                          <w:sz w:val="21"/>
                        </w:rPr>
                      </m:ctrlPr>
                    </m:e>
                    <m:sub>
                      <m:r>
                        <m:rPr/>
                        <w:rPr>
                          <w:rFonts w:hint="default" w:ascii="DejaVu Math TeX Gyre" w:hAnsi="DejaVu Math TeX Gyre" w:eastAsia="宋体"/>
                          <w:sz w:val="21"/>
                        </w:rPr>
                        <m:t>y</m:t>
                      </m:r>
                      <m:ctrlPr>
                        <w:rPr>
                          <w:rFonts w:ascii="DejaVu Math TeX Gyre" w:hAnsi="DejaVu Math TeX Gyre" w:eastAsia="宋体"/>
                          <w:sz w:val="21"/>
                        </w:rPr>
                      </m:ctrlPr>
                    </m:sub>
                  </m:sSub>
                  <m:ctrlPr>
                    <w:rPr>
                      <w:rFonts w:hint="default" w:ascii="DejaVu Math TeX Gyre" w:hAnsi="DejaVu Math TeX Gyre" w:eastAsia="宋体"/>
                      <w:sz w:val="21"/>
                    </w:rPr>
                  </m:ctrlPr>
                </m:den>
              </m:f>
              <m:r>
                <m:rPr>
                  <m:sty m:val="p"/>
                </m:rPr>
                <w:rPr>
                  <w:rFonts w:hint="default" w:ascii="DejaVu Math TeX Gyre" w:hAnsi="DejaVu Math TeX Gyre" w:eastAsia="宋体" w:cs="Times New Roman"/>
                  <w:color w:val="000000"/>
                  <w:sz w:val="21"/>
                  <w:szCs w:val="24"/>
                  <w:lang w:val="en-US" w:eastAsia="zh-CN" w:bidi="ar-SA"/>
                </w:rPr>
                <m:t>#(3)</m:t>
              </m:r>
              <m:ctrlPr>
                <m:rPr/>
                <w:rPr>
                  <w:rFonts w:hint="default" w:hAnsi="DejaVu Math TeX Gyre" w:eastAsia="宋体" w:cs="Times New Roman"/>
                  <w:i w:val="0"/>
                  <w:color w:val="000000"/>
                  <w:sz w:val="21"/>
                  <w:szCs w:val="24"/>
                  <w:lang w:val="en-US" w:eastAsia="en-US" w:bidi="ar-SA"/>
                </w:rPr>
              </m:ctrlPr>
            </m:e>
          </m:eqArr>
        </m:oMath>
      </m:oMathPara>
    </w:p>
    <w:p w14:paraId="0FB16A2C">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其中，</w:t>
      </w:r>
      <m:oMath>
        <m:d>
          <m:dPr>
            <m:sepChr m:val=""/>
          </m:dPr>
          <m:e>
            <m:sSub>
              <m:sSubPr/>
              <m:e>
                <m:r>
                  <m:rPr/>
                  <m:t>f</m:t>
                </m:r>
              </m:e>
              <m:sub>
                <m:r>
                  <m:rPr/>
                  <m:t>x</m:t>
                </m:r>
              </m:sub>
            </m:sSub>
            <m:r>
              <m:rPr>
                <m:sty m:val="p"/>
              </m:rPr>
              <m:t>,</m:t>
            </m:r>
            <m:sSub>
              <m:sSubPr/>
              <m:e>
                <m:r>
                  <m:rPr/>
                  <m:t>f</m:t>
                </m:r>
              </m:e>
              <m:sub>
                <m:r>
                  <m:rPr/>
                  <m:t>y</m:t>
                </m:r>
              </m:sub>
            </m:sSub>
          </m:e>
        </m:d>
      </m:oMath>
      <w:r>
        <w:rPr>
          <w:rFonts w:ascii="Times New Roman" w:hAnsi="Times New Roman" w:eastAsia="宋体" w:cs="Times New Roman"/>
          <w:color w:val="000000"/>
          <w:sz w:val="21"/>
          <w:szCs w:val="24"/>
          <w:lang w:val="en-US" w:eastAsia="en-US" w:bidi="ar-SA"/>
        </w:rPr>
        <w:t xml:space="preserve"> 为焦距的像素表示，</w:t>
      </w:r>
      <m:oMath>
        <m:d>
          <m:dPr>
            <m:sepChr m:val=""/>
          </m:dPr>
          <m:e>
            <m:sSub>
              <m:sSubPr/>
              <m:e>
                <m:r>
                  <m:rPr/>
                  <m:t>c</m:t>
                </m:r>
              </m:e>
              <m:sub>
                <m:r>
                  <m:rPr/>
                  <m:t>x</m:t>
                </m:r>
              </m:sub>
            </m:sSub>
            <m:r>
              <m:rPr>
                <m:sty m:val="p"/>
              </m:rPr>
              <m:t>,</m:t>
            </m:r>
            <m:sSub>
              <m:sSubPr/>
              <m:e>
                <m:r>
                  <m:rPr/>
                  <m:t>c</m:t>
                </m:r>
              </m:e>
              <m:sub>
                <m:r>
                  <m:rPr/>
                  <m:t>y</m:t>
                </m:r>
              </m:sub>
            </m:sSub>
          </m:e>
        </m:d>
      </m:oMath>
      <w:r>
        <w:rPr>
          <w:rFonts w:ascii="Times New Roman" w:hAnsi="Times New Roman" w:eastAsia="宋体" w:cs="Times New Roman"/>
          <w:color w:val="000000"/>
          <w:sz w:val="21"/>
          <w:szCs w:val="24"/>
          <w:lang w:val="en-US" w:eastAsia="en-US" w:bidi="ar-SA"/>
        </w:rPr>
        <w:t xml:space="preserve"> 为主点。D435 相机坐标系中 </w:t>
      </w:r>
      <m:oMath>
        <m:r>
          <m:rPr/>
          <m:t>X</m:t>
        </m:r>
      </m:oMath>
      <w:r>
        <w:rPr>
          <w:rFonts w:ascii="Times New Roman" w:hAnsi="Times New Roman" w:eastAsia="宋体" w:cs="Times New Roman"/>
          <w:color w:val="000000"/>
          <w:sz w:val="21"/>
          <w:szCs w:val="24"/>
          <w:lang w:val="en-US" w:eastAsia="en-US" w:bidi="ar-SA"/>
        </w:rPr>
        <w:t xml:space="preserve"> 轴向画面右侧、</w:t>
      </w:r>
      <m:oMath>
        <m:r>
          <m:rPr/>
          <m:t>Y</m:t>
        </m:r>
      </m:oMath>
      <w:r>
        <w:rPr>
          <w:rFonts w:ascii="Times New Roman" w:hAnsi="Times New Roman" w:eastAsia="宋体" w:cs="Times New Roman"/>
          <w:color w:val="000000"/>
          <w:sz w:val="21"/>
          <w:szCs w:val="24"/>
          <w:lang w:val="en-US" w:eastAsia="en-US" w:bidi="ar-SA"/>
        </w:rPr>
        <w:t xml:space="preserve"> 轴向下、</w:t>
      </w:r>
      <m:oMath>
        <m:r>
          <m:rPr/>
          <m:t>Z</m:t>
        </m:r>
      </m:oMath>
      <w:r>
        <w:rPr>
          <w:rFonts w:ascii="Times New Roman" w:hAnsi="Times New Roman" w:eastAsia="宋体" w:cs="Times New Roman"/>
          <w:color w:val="000000"/>
          <w:sz w:val="21"/>
          <w:szCs w:val="24"/>
          <w:lang w:val="en-US" w:eastAsia="en-US" w:bidi="ar-SA"/>
        </w:rPr>
        <w:t xml:space="preserve"> 轴向前。导航前端使用水平面距离和方位角：</w:t>
      </w:r>
    </w:p>
    <w:p w14:paraId="03525738">
      <w:pPr>
        <w:pageBreakBefore w:val="0"/>
        <w:kinsoku/>
        <w:wordWrap/>
        <w:overflowPunct/>
        <w:topLinePunct w:val="0"/>
        <w:autoSpaceDE/>
        <w:autoSpaceDN/>
        <w:bidi w:val="0"/>
        <w:spacing w:before="0" w:beforeLines="0" w:after="0" w:line="240" w:lineRule="auto"/>
        <w:ind w:left="0" w:right="0" w:firstLine="420" w:firstLineChars="200"/>
        <w:jc w:val="both"/>
        <m:rPr/>
        <w:rPr>
          <w:rFonts w:hint="default" w:hAnsi="DejaVu Math TeX Gyre" w:eastAsia="宋体"/>
          <w:i w:val="0"/>
          <w:sz w:val="21"/>
          <w:lang w:val="en-US" w:eastAsia="zh-CN"/>
        </w:rPr>
      </w:pPr>
      <m:oMathPara>
        <m:oMath>
          <m:eqArr>
            <m:eqArrPr>
              <m:maxDist m:val="1"/>
              <m:ctrlPr>
                <m:rPr/>
                <w:rPr>
                  <w:rFonts w:hint="default" w:hAnsi="DejaVu Math TeX Gyre" w:eastAsia="宋体"/>
                  <w:i w:val="0"/>
                  <w:sz w:val="21"/>
                  <w:lang w:val="en-US" w:eastAsia="zh-CN"/>
                </w:rPr>
              </m:ctrlPr>
            </m:eqArrPr>
            <m:e>
              <m:r>
                <m:rPr/>
                <w:rPr>
                  <w:rFonts w:hint="default" w:ascii="DejaVu Math TeX Gyre" w:hAnsi="DejaVu Math TeX Gyre" w:eastAsia="宋体"/>
                  <w:sz w:val="21"/>
                </w:rPr>
                <m:t>d=</m:t>
              </m:r>
              <m:rad>
                <m:radPr>
                  <m:degHide m:val="1"/>
                  <m:ctrlPr>
                    <w:rPr>
                      <w:rFonts w:hint="default" w:ascii="DejaVu Math TeX Gyre" w:hAnsi="DejaVu Math TeX Gyre" w:eastAsia="宋体"/>
                      <w:sz w:val="21"/>
                    </w:rPr>
                  </m:ctrlPr>
                </m:radPr>
                <m:deg>
                  <m:ctrlPr>
                    <w:rPr>
                      <w:rFonts w:ascii="DejaVu Math TeX Gyre" w:hAnsi="DejaVu Math TeX Gyre" w:eastAsia="宋体"/>
                      <w:sz w:val="21"/>
                    </w:rPr>
                  </m:ctrlPr>
                </m:deg>
                <m:e>
                  <m:sSup>
                    <m:sSupPr>
                      <m:ctrlPr>
                        <w:rPr>
                          <w:rFonts w:hint="default" w:ascii="DejaVu Math TeX Gyre" w:hAnsi="DejaVu Math TeX Gyre" w:eastAsia="宋体"/>
                          <w:sz w:val="21"/>
                        </w:rPr>
                      </m:ctrlPr>
                    </m:sSupPr>
                    <m:e>
                      <m:r>
                        <m:rPr/>
                        <w:rPr>
                          <w:rFonts w:hint="default" w:ascii="DejaVu Math TeX Gyre" w:hAnsi="DejaVu Math TeX Gyre" w:eastAsia="宋体"/>
                          <w:sz w:val="21"/>
                        </w:rPr>
                        <m:t>X</m:t>
                      </m:r>
                      <m:ctrlPr>
                        <w:rPr>
                          <w:rFonts w:ascii="DejaVu Math TeX Gyre" w:hAnsi="DejaVu Math TeX Gyre" w:eastAsia="宋体"/>
                          <w:sz w:val="21"/>
                        </w:rPr>
                      </m:ctrlPr>
                    </m:e>
                    <m:sup>
                      <m:r>
                        <m:rPr/>
                        <w:rPr>
                          <w:rFonts w:hint="default" w:ascii="DejaVu Math TeX Gyre" w:hAnsi="DejaVu Math TeX Gyre" w:eastAsia="宋体"/>
                          <w:sz w:val="21"/>
                        </w:rPr>
                        <m:t>2</m:t>
                      </m:r>
                      <m:ctrlPr>
                        <w:rPr>
                          <w:rFonts w:ascii="DejaVu Math TeX Gyre" w:hAnsi="DejaVu Math TeX Gyre" w:eastAsia="宋体"/>
                          <w:sz w:val="21"/>
                        </w:rPr>
                      </m:ctrlPr>
                    </m:sup>
                  </m:sSup>
                  <m:r>
                    <m:rPr/>
                    <w:rPr>
                      <w:rFonts w:hint="default" w:ascii="DejaVu Math TeX Gyre" w:hAnsi="DejaVu Math TeX Gyre" w:eastAsia="宋体"/>
                      <w:sz w:val="21"/>
                    </w:rPr>
                    <m:t>+</m:t>
                  </m:r>
                  <m:sSup>
                    <m:sSupPr>
                      <m:ctrlPr>
                        <w:rPr>
                          <w:rFonts w:hint="default" w:ascii="DejaVu Math TeX Gyre" w:hAnsi="DejaVu Math TeX Gyre" w:eastAsia="宋体"/>
                          <w:sz w:val="21"/>
                        </w:rPr>
                      </m:ctrlPr>
                    </m:sSupPr>
                    <m:e>
                      <m:r>
                        <m:rPr/>
                        <w:rPr>
                          <w:rFonts w:hint="default" w:ascii="DejaVu Math TeX Gyre" w:hAnsi="DejaVu Math TeX Gyre" w:eastAsia="宋体"/>
                          <w:sz w:val="21"/>
                        </w:rPr>
                        <m:t>Z</m:t>
                      </m:r>
                      <m:ctrlPr>
                        <w:rPr>
                          <w:rFonts w:ascii="DejaVu Math TeX Gyre" w:hAnsi="DejaVu Math TeX Gyre" w:eastAsia="宋体"/>
                          <w:sz w:val="21"/>
                        </w:rPr>
                      </m:ctrlPr>
                    </m:e>
                    <m:sup>
                      <m:r>
                        <m:rPr/>
                        <w:rPr>
                          <w:rFonts w:hint="default" w:ascii="DejaVu Math TeX Gyre" w:hAnsi="DejaVu Math TeX Gyre" w:eastAsia="宋体"/>
                          <w:sz w:val="21"/>
                        </w:rPr>
                        <m:t>2</m:t>
                      </m:r>
                      <m:ctrlPr>
                        <w:rPr>
                          <w:rFonts w:ascii="DejaVu Math TeX Gyre" w:hAnsi="DejaVu Math TeX Gyre" w:eastAsia="宋体"/>
                          <w:sz w:val="21"/>
                        </w:rPr>
                      </m:ctrlPr>
                    </m:sup>
                  </m:sSup>
                  <m:ctrlPr>
                    <w:rPr>
                      <w:rFonts w:hint="default" w:ascii="DejaVu Math TeX Gyre" w:hAnsi="DejaVu Math TeX Gyre" w:eastAsia="宋体"/>
                      <w:sz w:val="21"/>
                    </w:rPr>
                  </m:ctrlPr>
                </m:e>
              </m:rad>
              <m:r>
                <m:rPr/>
                <w:rPr>
                  <w:rFonts w:hint="default" w:ascii="DejaVu Math TeX Gyre" w:hAnsi="DejaVu Math TeX Gyre" w:eastAsia="宋体"/>
                  <w:sz w:val="21"/>
                </w:rPr>
                <m:t>,θ=atan2(X,Z),β=90</m:t>
              </m:r>
              <m:r>
                <m:rPr/>
                <w:rPr>
                  <w:rFonts w:ascii="DejaVu Math TeX Gyre" w:hAnsi="DejaVu Math TeX Gyre"/>
                  <w:sz w:val="21"/>
                </w:rPr>
                <m:t>°</m:t>
              </m:r>
              <m:r>
                <m:rPr/>
                <w:rPr>
                  <w:rFonts w:hint="default" w:ascii="DejaVu Math TeX Gyre" w:hAnsi="DejaVu Math TeX Gyre" w:eastAsia="宋体"/>
                  <w:sz w:val="21"/>
                </w:rPr>
                <m:t>+θ</m:t>
              </m:r>
              <m:r>
                <m:rPr>
                  <m:sty m:val="p"/>
                </m:rPr>
                <w:rPr>
                  <w:rFonts w:hint="default" w:ascii="DejaVu Math TeX Gyre" w:hAnsi="DejaVu Math TeX Gyre" w:eastAsia="宋体"/>
                  <w:sz w:val="21"/>
                  <w:lang w:val="en-US" w:eastAsia="zh-CN"/>
                </w:rPr>
                <m:t>#(4)</m:t>
              </m:r>
              <m:ctrlPr>
                <m:rPr/>
                <w:rPr>
                  <w:rFonts w:hint="default" w:hAnsi="DejaVu Math TeX Gyre" w:eastAsia="宋体"/>
                  <w:i w:val="0"/>
                  <w:sz w:val="21"/>
                  <w:lang w:val="en-US" w:eastAsia="zh-CN"/>
                </w:rPr>
              </m:ctrlPr>
            </m:e>
          </m:eqArr>
        </m:oMath>
      </m:oMathPara>
    </w:p>
    <w:p w14:paraId="2D5E1573">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其中，</w:t>
      </w:r>
      <m:oMath>
        <m:r>
          <m:rPr/>
          <m:t>d</m:t>
        </m:r>
      </m:oMath>
      <w:r>
        <w:rPr>
          <w:rFonts w:ascii="Times New Roman" w:hAnsi="Times New Roman" w:eastAsia="宋体" w:cs="Times New Roman"/>
          <w:color w:val="000000"/>
          <w:sz w:val="21"/>
          <w:szCs w:val="24"/>
          <w:lang w:val="en-US" w:eastAsia="en-US" w:bidi="ar-SA"/>
        </w:rPr>
        <w:t xml:space="preserve"> 是忽略竖直分量后的水平距离，</w:t>
      </w:r>
      <m:oMath>
        <m:r>
          <m:rPr/>
          <m:t>θ</m:t>
        </m:r>
      </m:oMath>
      <w:r>
        <w:rPr>
          <w:rFonts w:ascii="Times New Roman" w:hAnsi="Times New Roman" w:eastAsia="宋体" w:cs="Times New Roman"/>
          <w:color w:val="000000"/>
          <w:sz w:val="21"/>
          <w:szCs w:val="24"/>
          <w:lang w:val="en-US" w:eastAsia="en-US" w:bidi="ar-SA"/>
        </w:rPr>
        <w:t xml:space="preserve"> 是相对相机正前方的有符号偏角，</w:t>
      </w:r>
      <m:oMath>
        <m:r>
          <m:rPr/>
          <m:t>β</m:t>
        </m:r>
      </m:oMath>
      <w:r>
        <w:rPr>
          <w:rFonts w:ascii="Times New Roman" w:hAnsi="Times New Roman" w:eastAsia="宋体" w:cs="Times New Roman"/>
          <w:color w:val="000000"/>
          <w:sz w:val="21"/>
          <w:szCs w:val="24"/>
          <w:lang w:val="en-US" w:eastAsia="en-US" w:bidi="ar-SA"/>
        </w:rPr>
        <w:t xml:space="preserve"> 是便于显示的 </w:t>
      </w:r>
      <m:oMath>
        <m:sSup>
          <m:sSupPr/>
          <m:e>
            <m:r>
              <m:rPr/>
              <m:t>0</m:t>
            </m:r>
          </m:e>
          <m:sup>
            <m:r>
              <m:rPr>
                <m:sty m:val="p"/>
              </m:rPr>
              <m:t>∘</m:t>
            </m:r>
          </m:sup>
        </m:sSup>
      </m:oMath>
      <w:r>
        <w:rPr>
          <w:rFonts w:ascii="Times New Roman" w:hAnsi="Times New Roman" w:eastAsia="宋体" w:cs="Times New Roman"/>
          <w:color w:val="000000"/>
          <w:sz w:val="21"/>
          <w:szCs w:val="24"/>
          <w:lang w:val="en-US" w:eastAsia="en-US" w:bidi="ar-SA"/>
        </w:rPr>
        <w:t>～</w:t>
      </w:r>
      <m:oMath>
        <m:sSup>
          <m:sSupPr/>
          <m:e>
            <m:r>
              <m:rPr/>
              <m:t>180</m:t>
            </m:r>
          </m:e>
          <m:sup>
            <m:r>
              <m:rPr>
                <m:sty m:val="p"/>
              </m:rPr>
              <m:t>∘</m:t>
            </m:r>
          </m:sup>
        </m:sSup>
      </m:oMath>
      <w:r>
        <w:rPr>
          <w:rFonts w:ascii="Times New Roman" w:hAnsi="Times New Roman" w:eastAsia="宋体" w:cs="Times New Roman"/>
          <w:color w:val="000000"/>
          <w:sz w:val="21"/>
          <w:szCs w:val="24"/>
          <w:lang w:val="en-US" w:eastAsia="en-US" w:bidi="ar-SA"/>
        </w:rPr>
        <w:t xml:space="preserve"> 方向角：左侧接近 </w:t>
      </w:r>
      <m:oMath>
        <m:sSup>
          <m:sSupPr/>
          <m:e>
            <m:r>
              <m:rPr/>
              <m:t>0</m:t>
            </m:r>
          </m:e>
          <m:sup>
            <m:r>
              <m:rPr>
                <m:sty m:val="p"/>
              </m:rPr>
              <m:t>∘</m:t>
            </m:r>
          </m:sup>
        </m:sSup>
      </m:oMath>
      <w:r>
        <w:rPr>
          <w:rFonts w:ascii="Times New Roman" w:hAnsi="Times New Roman" w:eastAsia="宋体" w:cs="Times New Roman"/>
          <w:color w:val="000000"/>
          <w:sz w:val="21"/>
          <w:szCs w:val="24"/>
          <w:lang w:val="en-US" w:eastAsia="en-US" w:bidi="ar-SA"/>
        </w:rPr>
        <w:t xml:space="preserve">，正前方为 </w:t>
      </w:r>
      <m:oMath>
        <m:sSup>
          <m:sSupPr/>
          <m:e>
            <m:r>
              <m:rPr/>
              <m:t>90</m:t>
            </m:r>
          </m:e>
          <m:sup>
            <m:r>
              <m:rPr>
                <m:sty m:val="p"/>
              </m:rPr>
              <m:t>∘</m:t>
            </m:r>
          </m:sup>
        </m:sSup>
      </m:oMath>
      <w:r>
        <w:rPr>
          <w:rFonts w:ascii="Times New Roman" w:hAnsi="Times New Roman" w:eastAsia="宋体" w:cs="Times New Roman"/>
          <w:color w:val="000000"/>
          <w:sz w:val="21"/>
          <w:szCs w:val="24"/>
          <w:lang w:val="en-US" w:eastAsia="en-US" w:bidi="ar-SA"/>
        </w:rPr>
        <w:t xml:space="preserve">，右侧接近 </w:t>
      </w:r>
      <m:oMath>
        <m:sSup>
          <m:sSupPr/>
          <m:e>
            <m:r>
              <m:rPr/>
              <m:t>180</m:t>
            </m:r>
          </m:e>
          <m:sup>
            <m:r>
              <m:rPr>
                <m:sty m:val="p"/>
              </m:rPr>
              <m:t>∘</m:t>
            </m:r>
          </m:sup>
        </m:sSup>
      </m:oMath>
      <w:r>
        <w:rPr>
          <w:rFonts w:ascii="Times New Roman" w:hAnsi="Times New Roman" w:eastAsia="宋体" w:cs="Times New Roman"/>
          <w:color w:val="000000"/>
          <w:sz w:val="21"/>
          <w:szCs w:val="24"/>
          <w:lang w:val="en-US" w:eastAsia="en-US" w:bidi="ar-SA"/>
        </w:rPr>
        <w:t>。这一角度仅表示当前相机视角，不能直接等同于机器人在地图中的航向。</w:t>
      </w:r>
    </w:p>
    <w:p w14:paraId="6A1CAD71">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14"/>
    <w:p w14:paraId="5F9A7952">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15" w:name="目标记忆平滑与编号重绑定"/>
      <w:r>
        <w:rPr>
          <w:rFonts w:ascii="Times New Roman" w:hAnsi="Times New Roman" w:eastAsia="黑体" w:cs="Times New Roman"/>
          <w:b/>
          <w:bCs/>
          <w:color w:val="000000"/>
          <w:sz w:val="21"/>
          <w:szCs w:val="28"/>
          <w:lang w:val="en-US" w:eastAsia="en-US" w:bidi="ar-SA"/>
        </w:rPr>
        <w:t>3.4 目标记忆、平滑与编号重绑定</w:t>
      </w:r>
    </w:p>
    <w:p w14:paraId="32EB0037">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逐帧三维位置会随检测框和深度噪声轻微波动。系统对同一目标的坐标采用指数移动平均：</w:t>
      </w:r>
    </w:p>
    <w:p w14:paraId="402E0E13">
      <w:pPr>
        <w:pageBreakBefore w:val="0"/>
        <w:kinsoku/>
        <w:wordWrap/>
        <w:overflowPunct/>
        <w:topLinePunct w:val="0"/>
        <w:autoSpaceDE/>
        <w:autoSpaceDN/>
        <w:bidi w:val="0"/>
        <w:spacing w:before="0" w:beforeLines="0" w:after="0" w:line="240" w:lineRule="auto"/>
        <w:ind w:left="0" w:right="0" w:firstLine="400" w:firstLineChars="200"/>
        <w:jc w:val="both"/>
        <m:rPr/>
        <w:rPr>
          <w:rFonts w:hint="default" w:hAnsi="DejaVu Math TeX Gyre"/>
          <w:i w:val="0"/>
          <w:lang w:val="en-US" w:eastAsia="zh-CN"/>
        </w:rPr>
      </w:pPr>
      <m:oMathPara>
        <m:oMath>
          <m:acc>
            <m:accPr>
              <m:ctrlPr>
                <w:rPr>
                  <w:rFonts w:hint="default" w:ascii="Cambria Math"/>
                  <w:i/>
                </w:rPr>
              </m:ctrlPr>
            </m:accPr>
            <m:e>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t</m:t>
                  </m:r>
                  <m:ctrlPr>
                    <w:rPr>
                      <w:rFonts w:hint="default" w:ascii="Cambria Math"/>
                    </w:rPr>
                  </m:ctrlPr>
                </m:sub>
              </m:sSub>
              <m:ctrlPr>
                <w:rPr>
                  <w:rFonts w:hint="default" w:ascii="Cambria Math"/>
                  <w:i/>
                </w:rPr>
              </m:ctrlPr>
            </m:e>
          </m:acc>
          <m:r>
            <m:rPr/>
            <w:rPr>
              <w:rFonts w:hint="default" w:ascii="Cambria Math"/>
            </w:rPr>
            <m:t>=α</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+(1−α)</m:t>
          </m:r>
          <m:acc>
            <m:accPr>
              <m:ctrlPr>
                <w:rPr>
                  <w:rFonts w:hint="default" w:ascii="Cambria Math"/>
                  <w:i/>
                </w:rPr>
              </m:ctrlPr>
            </m:accPr>
            <m:e>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t</m:t>
                  </m:r>
                  <m:r>
                    <m:rPr/>
                    <w:rPr>
                      <w:rFonts w:hint="default" w:ascii="DejaVu Math TeX Gyre" w:hAnsi="DejaVu Math TeX Gyre"/>
                      <w:lang w:val="en-US" w:eastAsia="zh-CN"/>
                    </w:rPr>
                    <m:t>−1</m:t>
                  </m:r>
                  <m:ctrlPr>
                    <w:rPr>
                      <w:rFonts w:hint="default" w:ascii="Cambria Math"/>
                    </w:rPr>
                  </m:ctrlPr>
                </m:sub>
              </m:sSub>
              <m:ctrlPr>
                <w:rPr>
                  <w:rFonts w:hint="default" w:ascii="Cambria Math"/>
                  <w:i/>
                </w:rPr>
              </m:ctrlPr>
            </m:e>
          </m:acc>
          <m:r>
            <m:rPr/>
            <w:rPr>
              <w:rFonts w:hint="default" w:ascii="Cambria Math"/>
            </w:rPr>
            <m:t>,α=0.35</m:t>
          </m:r>
        </m:oMath>
      </m:oMathPara>
    </w:p>
    <w:p w14:paraId="5417A240">
      <w:pPr>
        <w:pageBreakBefore w:val="0"/>
        <w:kinsoku/>
        <w:wordWrap/>
        <w:overflowPunct/>
        <w:topLinePunct w:val="0"/>
        <w:autoSpaceDE/>
        <w:autoSpaceDN/>
        <w:bidi w:val="0"/>
        <w:spacing w:before="0" w:beforeLines="0" w:after="0" w:line="240" w:lineRule="auto"/>
        <w:ind w:left="0" w:right="0" w:firstLine="400" w:firstLineChars="200"/>
        <w:jc w:val="both"/>
        <m:rPr/>
        <w:rPr>
          <w:rFonts w:hint="default"/>
          <w:i w:val="0"/>
          <w:lang w:val="en-US" w:eastAsia="zh-CN"/>
        </w:rPr>
      </w:pPr>
    </w:p>
    <w:p w14:paraId="36394376">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其中，</w:t>
      </w:r>
      <m:oMath>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t</m:t>
            </m:r>
            <m:ctrlPr>
              <w:rPr>
                <w:rFonts w:hint="default" w:ascii="Cambria Math"/>
              </w:rPr>
            </m:ctrlPr>
          </m:sub>
        </m:sSub>
        <m:r>
          <m:rPr>
            <m:sty m:val="p"/>
          </m:rPr>
          <m:t>=</m:t>
        </m:r>
        <m:sSup>
          <m:sSupPr/>
          <m:e>
            <m:d>
              <m:dPr>
                <m:begChr m:val="["/>
                <m:sepChr m:val=""/>
                <m:endChr m:val="]"/>
              </m:dPr>
              <m:e>
                <m:sSub>
                  <m:sSubPr/>
                  <m:e>
                    <m:r>
                      <m:rPr/>
                      <m:t>X</m:t>
                    </m:r>
                  </m:e>
                  <m:sub>
                    <m:r>
                      <m:rPr/>
                      <m:t>t</m:t>
                    </m:r>
                  </m:sub>
                </m:sSub>
                <m:r>
                  <m:rPr>
                    <m:sty m:val="p"/>
                  </m:rPr>
                  <m:t>,</m:t>
                </m:r>
                <m:sSub>
                  <m:sSubPr/>
                  <m:e>
                    <m:r>
                      <m:rPr/>
                      <m:t>Y</m:t>
                    </m:r>
                  </m:e>
                  <m:sub>
                    <m:r>
                      <m:rPr/>
                      <m:t>t</m:t>
                    </m:r>
                  </m:sub>
                </m:sSub>
                <m:r>
                  <m:rPr>
                    <m:sty m:val="p"/>
                  </m:rPr>
                  <m:t>,</m:t>
                </m:r>
                <m:sSub>
                  <m:sSubPr/>
                  <m:e>
                    <m:r>
                      <m:rPr/>
                      <m:t>Z</m:t>
                    </m:r>
                  </m:e>
                  <m:sub>
                    <m:r>
                      <m:rPr/>
                      <m:t>t</m:t>
                    </m:r>
                  </m:sub>
                </m:sSub>
              </m:e>
            </m:d>
          </m:e>
          <m:sup>
            <m:r>
              <m:rPr>
                <m:sty m:val="p"/>
              </m:rPr>
              <m:t>T</m:t>
            </m:r>
          </m:sup>
        </m:sSup>
      </m:oMath>
      <w:r>
        <w:rPr>
          <w:rFonts w:ascii="Times New Roman" w:hAnsi="Times New Roman" w:eastAsia="宋体" w:cs="Times New Roman"/>
          <w:color w:val="000000"/>
          <w:sz w:val="21"/>
          <w:szCs w:val="24"/>
          <w:lang w:val="en-US" w:eastAsia="en-US" w:bidi="ar-SA"/>
        </w:rPr>
        <w:t xml:space="preserve"> 为当前测量，</w:t>
      </w:r>
      <m:oMath>
        <m:acc>
          <m:accPr>
            <m:ctrlPr>
              <w:rPr>
                <w:rFonts w:hint="default" w:ascii="Cambria Math"/>
                <w:i/>
              </w:rPr>
            </m:ctrlPr>
          </m:accPr>
          <m:e>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t</m:t>
                </m:r>
                <m:ctrlPr>
                  <w:rPr>
                    <w:rFonts w:hint="default" w:ascii="Cambria Math"/>
                  </w:rPr>
                </m:ctrlPr>
              </m:sub>
            </m:sSub>
            <m:ctrlPr>
              <w:rPr>
                <w:rFonts w:hint="default" w:ascii="Cambria Math"/>
                <w:i/>
              </w:rPr>
            </m:ctrlPr>
          </m:e>
        </m:acc>
      </m:oMath>
      <w:r>
        <w:rPr>
          <w:rFonts w:ascii="Times New Roman" w:hAnsi="Times New Roman" w:eastAsia="宋体" w:cs="Times New Roman"/>
          <w:color w:val="000000"/>
          <w:sz w:val="21"/>
          <w:szCs w:val="24"/>
          <w:lang w:val="en-US" w:eastAsia="en-US" w:bidi="ar-SA"/>
        </w:rPr>
        <w:t>为平滑位置。较小的新观测权重可抑制单帧跳动；若当前点与上一位置的差异超过随距离变化的阈值，则直接采用新观测，防止平滑过程把轨迹拖向另一个物体。</w:t>
      </w:r>
    </w:p>
    <w:p w14:paraId="637A37F5">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每个目标同时保存最后可见时刻和最后有效深度时刻。普通目标漏检后保留 4 s，已被用户选中的目标保留 15 s；在此期间目标状态由“可见”转为“记忆”，到期后才释放。若彩色图仍检测到目标而深度暂时出现空洞，系统继续更新边界框和可见状态，同时沿用最近一次有效三维位置并记录深度数据年龄。这一区分避免了“视觉可见但深度缺失”被误判为目标完全消失。</w:t>
      </w:r>
    </w:p>
    <w:p w14:paraId="0FEAA7E6">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跟踪器在完全遮挡后可能生成新编号。系统首先要求新观测与记忆目标类别相同，再综合边界框 IoU、水平面三维距离和方位角差进行门控。满足强重叠条件，或同时满足一定重叠、近距离和小角度差的候选，才进入一对一匹配；匹配成功后，新跟踪编号持续映射到原用户编号。若同一帧同时出现旧、新两个高度重叠的框，则保留置信度较高的一个，避免显示重复目标。附近但缺乏框重叠的同类物体不会被轻易合并。</w:t>
      </w:r>
    </w:p>
    <w:p w14:paraId="3978461A">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用户可见编号限制在 1～1000。目标过期后，其编号才可进入循环复用；当前可见目标、仍在记忆时限内的目标及选中目标均受到保护。这样既避免内部编号长期增长给交互带来困难，也防止编号回绕时覆盖仍有效的目标状态。</w:t>
      </w:r>
    </w:p>
    <w:p w14:paraId="6725C3FC">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15"/>
    <w:p w14:paraId="66CA4D25">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16" w:name="目标选择与结果输出"/>
      <w:r>
        <w:rPr>
          <w:rFonts w:ascii="Times New Roman" w:hAnsi="Times New Roman" w:eastAsia="黑体" w:cs="Times New Roman"/>
          <w:b/>
          <w:bCs/>
          <w:color w:val="000000"/>
          <w:sz w:val="21"/>
          <w:szCs w:val="28"/>
          <w:lang w:val="en-US" w:eastAsia="en-US" w:bidi="ar-SA"/>
        </w:rPr>
        <w:t>3.5 目标选择与结果输出</w:t>
      </w:r>
    </w:p>
    <w:p w14:paraId="3EF19A1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稳定目标集合被转换为候选列表，默认由本地规则解析用户指令。规则支持类别、用户编号、左右、中央、最近、最远以及从左到右的顺序，例如“右边的椅子”“最近的瓶子”和“编号3”。当同类候选不止一个且指令缺少限定时，系统返回歧义状态并要求补充信息，不进行任意选择。复杂表达可以由可选语义模型在结构化候选中选择编号，但语义模块只能返回候选中已有的编号，目标距离和方向仍由本地 RGB-D 链路计算。</w:t>
      </w:r>
    </w:p>
    <w:p w14:paraId="58D8E76E">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输出包括彩色检测画面、深度伪彩色画面和文本状态。可见目标使用实线框，记忆目标使用虚线框，选中目标单独突出；标签给出用户编号、类别、置信度、距离、方向和深度年龄。深度画面采用 D435 官方直方图均衡着色，并配有随当前画面变化的米制图例，无效区域显示为黑色。文本端输出同一目标的可见状态、相机三维坐标、水平距离和方向角。图形与文本均从目标记忆中读取状态，便于人工检查检测、深度和编号是否一致。</w:t>
      </w:r>
    </w:p>
    <w:p w14:paraId="5A8A1B2F">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11"/>
    <w:bookmarkEnd w:id="16"/>
    <w:p w14:paraId="56F77A1F">
      <w:pPr>
        <w:keepNext/>
        <w:keepLines/>
        <w:pageBreakBefore w:val="0"/>
        <w:widowControl/>
        <w:kinsoku/>
        <w:wordWrap/>
        <w:overflowPunct/>
        <w:topLinePunct w:val="0"/>
        <w:autoSpaceDE/>
        <w:autoSpaceDN/>
        <w:bidi w:val="0"/>
        <w:adjustRightInd/>
        <w:snapToGrid/>
        <w:spacing w:before="219" w:beforeLines="50" w:after="219" w:afterLines="50" w:line="240" w:lineRule="auto"/>
        <w:ind w:left="0" w:right="0" w:firstLine="482" w:firstLineChars="200"/>
        <w:jc w:val="left"/>
        <w:textAlignment w:val="auto"/>
        <w:outlineLvl w:val="0"/>
        <w:rPr>
          <w:rFonts w:ascii="Calibri" w:hAnsi="Calibri" w:eastAsia="宋体" w:cs="Times New Roman"/>
          <w:b/>
          <w:bCs/>
          <w:color w:val="4F81BD"/>
          <w:sz w:val="32"/>
          <w:szCs w:val="32"/>
          <w:lang w:val="en-US" w:eastAsia="en-US" w:bidi="ar-SA"/>
        </w:rPr>
      </w:pPr>
      <w:bookmarkStart w:id="17" w:name="实验结果与讨论"/>
      <w:r>
        <w:rPr>
          <w:rFonts w:ascii="Times New Roman" w:hAnsi="Times New Roman" w:eastAsia="黑体" w:cs="Times New Roman"/>
          <w:b/>
          <w:bCs/>
          <w:color w:val="000000"/>
          <w:sz w:val="24"/>
          <w:szCs w:val="32"/>
          <w:lang w:val="en-US" w:eastAsia="en-US" w:bidi="ar-SA"/>
        </w:rPr>
        <w:t>4 实验结果与讨论</w:t>
      </w:r>
    </w:p>
    <w:p w14:paraId="78AD5550">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18" w:name="实验环境与验证方法"/>
      <w:r>
        <w:rPr>
          <w:rFonts w:ascii="Times New Roman" w:hAnsi="Times New Roman" w:eastAsia="黑体" w:cs="Times New Roman"/>
          <w:b/>
          <w:bCs/>
          <w:color w:val="000000"/>
          <w:sz w:val="21"/>
          <w:szCs w:val="28"/>
          <w:lang w:val="en-US" w:eastAsia="en-US" w:bidi="ar-SA"/>
        </w:rPr>
        <w:t>4.1 实验环境与验证方法</w:t>
      </w:r>
    </w:p>
    <w:p w14:paraId="7A39D034">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实验平台采用 Ubuntu 22.04</w:t>
      </w:r>
      <w:r>
        <w:rPr>
          <w:rFonts w:hint="eastAsia" w:ascii="Times New Roman" w:hAnsi="Times New Roman" w:eastAsia="宋体" w:cs="Times New Roman"/>
          <w:color w:val="000000"/>
          <w:sz w:val="21"/>
          <w:szCs w:val="24"/>
          <w:lang w:val="en-US" w:eastAsia="zh-CN" w:bidi="ar-SA"/>
        </w:rPr>
        <w:t>和</w:t>
      </w:r>
      <w:r>
        <w:rPr>
          <w:rFonts w:ascii="Times New Roman" w:hAnsi="Times New Roman" w:eastAsia="宋体" w:cs="Times New Roman"/>
          <w:color w:val="000000"/>
          <w:sz w:val="21"/>
          <w:szCs w:val="24"/>
          <w:lang w:val="en-US" w:eastAsia="en-US" w:bidi="ar-SA"/>
        </w:rPr>
        <w:t>D435，相机固件为 5.17.0.10，通过 USB 3.2 连接。验证内容包括设备与深度对齐、标准图推理、完整链路吞吐率、短时遮挡和深度方法对照；49项软件功能测试覆盖坐标计算、候选选择、目标记忆、重绑定、编号复用和显示等环节。</w:t>
      </w:r>
    </w:p>
    <w:p w14:paraId="14957717">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标准图仅检查检测环境，端到端帧率仅反映吞吐能力，单次遮挡录像也不代表统计成功率。各项结果因此按其实际评价范围解释。</w:t>
      </w:r>
    </w:p>
    <w:p w14:paraId="579304A4">
      <w:pPr>
        <w:keepNext/>
        <w:keepLines/>
        <w:pageBreakBefore w:val="0"/>
        <w:kinsoku/>
        <w:wordWrap/>
        <w:overflowPunct/>
        <w:topLinePunct w:val="0"/>
        <w:autoSpaceDE/>
        <w:autoSpaceDN/>
        <w:bidi w:val="0"/>
        <w:spacing w:before="0" w:beforeLines="0" w:after="0" w:line="240" w:lineRule="auto"/>
        <w:ind w:left="0" w:right="0" w:firstLine="0"/>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i w:val="0"/>
          <w:iCs/>
          <w:color w:val="000000"/>
          <w:sz w:val="21"/>
          <w:szCs w:val="24"/>
          <w:lang w:val="en-US" w:eastAsia="en-US" w:bidi="ar-SA"/>
        </w:rPr>
        <w:t>表4-1 主要验证项目与结果</w:t>
      </w:r>
    </w:p>
    <w:tbl>
      <w:tblPr>
        <w:tblStyle w:val="23"/>
        <w:tblW w:w="5000" w:type="pct"/>
        <w:jc w:val="center"/>
        <w:tblLayout w:type="fixed"/>
        <w:tblCellMar>
          <w:top w:w="0" w:type="dxa"/>
          <w:left w:w="108" w:type="dxa"/>
          <w:bottom w:w="0" w:type="dxa"/>
          <w:right w:w="108" w:type="dxa"/>
        </w:tblCellMar>
      </w:tblPr>
      <w:tblGrid>
        <w:gridCol w:w="2308"/>
        <w:gridCol w:w="2308"/>
        <w:gridCol w:w="2308"/>
        <w:gridCol w:w="2308"/>
      </w:tblGrid>
      <w:tr w14:paraId="4C8F4C70">
        <w:tblPrEx>
          <w:tblCellMar>
            <w:top w:w="0" w:type="dxa"/>
            <w:left w:w="108" w:type="dxa"/>
            <w:bottom w:w="0" w:type="dxa"/>
            <w:right w:w="108" w:type="dxa"/>
          </w:tblCellMar>
        </w:tblPrEx>
        <w:trPr>
          <w:cantSplit/>
          <w:tblHeader/>
          <w:jc w:val="center"/>
        </w:trPr>
        <w:tc>
          <w:tcPr>
            <w:tcW w:w="1700" w:type="dxa"/>
            <w:tcMar>
              <w:top w:w="60" w:type="dxa"/>
              <w:left w:w="80" w:type="dxa"/>
              <w:bottom w:w="60" w:type="dxa"/>
              <w:right w:w="80" w:type="dxa"/>
            </w:tcMar>
            <w:vAlign w:val="center"/>
          </w:tcPr>
          <w:p w14:paraId="09B1EEFB">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color w:val="000000"/>
                <w:sz w:val="21"/>
                <w:szCs w:val="24"/>
                <w:lang w:val="en-US" w:eastAsia="en-US" w:bidi="ar-SA"/>
              </w:rPr>
              <w:t>验证项目</w:t>
            </w:r>
          </w:p>
        </w:tc>
        <w:tc>
          <w:tcPr>
            <w:tcW w:w="2551" w:type="dxa"/>
            <w:tcMar>
              <w:top w:w="60" w:type="dxa"/>
              <w:left w:w="80" w:type="dxa"/>
              <w:bottom w:w="60" w:type="dxa"/>
              <w:right w:w="80" w:type="dxa"/>
            </w:tcMar>
            <w:vAlign w:val="center"/>
          </w:tcPr>
          <w:p w14:paraId="3684070E">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color w:val="000000"/>
                <w:sz w:val="21"/>
                <w:szCs w:val="24"/>
                <w:lang w:val="en-US" w:eastAsia="en-US" w:bidi="ar-SA"/>
              </w:rPr>
              <w:t>条件</w:t>
            </w:r>
          </w:p>
        </w:tc>
        <w:tc>
          <w:tcPr>
            <w:tcW w:w="1870" w:type="dxa"/>
            <w:tcMar>
              <w:top w:w="60" w:type="dxa"/>
              <w:left w:w="80" w:type="dxa"/>
              <w:bottom w:w="60" w:type="dxa"/>
              <w:right w:w="80" w:type="dxa"/>
            </w:tcMar>
            <w:vAlign w:val="center"/>
          </w:tcPr>
          <w:p w14:paraId="404DC6E4">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color w:val="000000"/>
                <w:sz w:val="21"/>
                <w:szCs w:val="24"/>
                <w:lang w:val="en-US" w:eastAsia="en-US" w:bidi="ar-SA"/>
              </w:rPr>
              <w:t>结果</w:t>
            </w:r>
          </w:p>
        </w:tc>
        <w:tc>
          <w:tcPr>
            <w:tcW w:w="2948" w:type="dxa"/>
            <w:tcMar>
              <w:top w:w="60" w:type="dxa"/>
              <w:left w:w="80" w:type="dxa"/>
              <w:bottom w:w="60" w:type="dxa"/>
              <w:right w:w="80" w:type="dxa"/>
            </w:tcMar>
            <w:vAlign w:val="center"/>
          </w:tcPr>
          <w:p w14:paraId="0302B6A2">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color w:val="000000"/>
                <w:sz w:val="21"/>
                <w:szCs w:val="24"/>
                <w:lang w:val="en-US" w:eastAsia="en-US" w:bidi="ar-SA"/>
              </w:rPr>
              <w:t>可说明的范围</w:t>
            </w:r>
          </w:p>
        </w:tc>
      </w:tr>
      <w:tr w14:paraId="3E119D2A">
        <w:tblPrEx>
          <w:tblCellMar>
            <w:top w:w="0" w:type="dxa"/>
            <w:left w:w="108" w:type="dxa"/>
            <w:bottom w:w="0" w:type="dxa"/>
            <w:right w:w="108" w:type="dxa"/>
          </w:tblCellMar>
        </w:tblPrEx>
        <w:trPr>
          <w:cantSplit/>
          <w:jc w:val="center"/>
        </w:trPr>
        <w:tc>
          <w:tcPr>
            <w:tcW w:w="1700" w:type="dxa"/>
            <w:tcMar>
              <w:top w:w="60" w:type="dxa"/>
              <w:left w:w="80" w:type="dxa"/>
              <w:bottom w:w="60" w:type="dxa"/>
              <w:right w:w="80" w:type="dxa"/>
            </w:tcMar>
            <w:vAlign w:val="center"/>
          </w:tcPr>
          <w:p w14:paraId="6B6AB754">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D435设备诊断</w:t>
            </w:r>
          </w:p>
        </w:tc>
        <w:tc>
          <w:tcPr>
            <w:tcW w:w="2551" w:type="dxa"/>
            <w:tcMar>
              <w:top w:w="60" w:type="dxa"/>
              <w:left w:w="80" w:type="dxa"/>
              <w:bottom w:w="60" w:type="dxa"/>
              <w:right w:w="80" w:type="dxa"/>
            </w:tcMar>
            <w:vAlign w:val="center"/>
          </w:tcPr>
          <w:p w14:paraId="1A5C036C">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室内静态视场，USB 3.2</w:t>
            </w:r>
          </w:p>
        </w:tc>
        <w:tc>
          <w:tcPr>
            <w:tcW w:w="1870" w:type="dxa"/>
            <w:tcMar>
              <w:top w:w="60" w:type="dxa"/>
              <w:left w:w="80" w:type="dxa"/>
              <w:bottom w:w="60" w:type="dxa"/>
              <w:right w:w="80" w:type="dxa"/>
            </w:tcMar>
            <w:vAlign w:val="center"/>
          </w:tcPr>
          <w:p w14:paraId="67CDA5F5">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有效深度306547像素，占99.8%</w:t>
            </w:r>
          </w:p>
        </w:tc>
        <w:tc>
          <w:tcPr>
            <w:tcW w:w="2948" w:type="dxa"/>
            <w:tcMar>
              <w:top w:w="60" w:type="dxa"/>
              <w:left w:w="80" w:type="dxa"/>
              <w:bottom w:w="60" w:type="dxa"/>
              <w:right w:w="80" w:type="dxa"/>
            </w:tcMar>
            <w:vAlign w:val="center"/>
          </w:tcPr>
          <w:p w14:paraId="7619EAEE">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本次采集、对齐及深度尺度正常</w:t>
            </w:r>
          </w:p>
        </w:tc>
      </w:tr>
      <w:tr w14:paraId="6C526C3C">
        <w:tblPrEx>
          <w:tblCellMar>
            <w:top w:w="0" w:type="dxa"/>
            <w:left w:w="108" w:type="dxa"/>
            <w:bottom w:w="0" w:type="dxa"/>
            <w:right w:w="108" w:type="dxa"/>
          </w:tblCellMar>
        </w:tblPrEx>
        <w:trPr>
          <w:cantSplit/>
          <w:jc w:val="center"/>
        </w:trPr>
        <w:tc>
          <w:tcPr>
            <w:tcW w:w="1700" w:type="dxa"/>
            <w:tcMar>
              <w:top w:w="60" w:type="dxa"/>
              <w:left w:w="80" w:type="dxa"/>
              <w:bottom w:w="60" w:type="dxa"/>
              <w:right w:w="80" w:type="dxa"/>
            </w:tcMar>
            <w:vAlign w:val="center"/>
          </w:tcPr>
          <w:p w14:paraId="71EB6366">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标准图检测</w:t>
            </w:r>
          </w:p>
        </w:tc>
        <w:tc>
          <w:tcPr>
            <w:tcW w:w="2551" w:type="dxa"/>
            <w:tcMar>
              <w:top w:w="60" w:type="dxa"/>
              <w:left w:w="80" w:type="dxa"/>
              <w:bottom w:w="60" w:type="dxa"/>
              <w:right w:w="80" w:type="dxa"/>
            </w:tcMar>
            <w:vAlign w:val="center"/>
          </w:tcPr>
          <w:p w14:paraId="74627463">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预热5次后统计20次</w:t>
            </w:r>
          </w:p>
        </w:tc>
        <w:tc>
          <w:tcPr>
            <w:tcW w:w="1870" w:type="dxa"/>
            <w:tcMar>
              <w:top w:w="60" w:type="dxa"/>
              <w:left w:w="80" w:type="dxa"/>
              <w:bottom w:w="60" w:type="dxa"/>
              <w:right w:w="80" w:type="dxa"/>
            </w:tcMar>
            <w:vAlign w:val="center"/>
          </w:tcPr>
          <w:p w14:paraId="48BD4094">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4个person、1个bus；中位延迟19.9 ms</w:t>
            </w:r>
          </w:p>
        </w:tc>
        <w:tc>
          <w:tcPr>
            <w:tcW w:w="2948" w:type="dxa"/>
            <w:tcMar>
              <w:top w:w="60" w:type="dxa"/>
              <w:left w:w="80" w:type="dxa"/>
              <w:bottom w:w="60" w:type="dxa"/>
              <w:right w:w="80" w:type="dxa"/>
            </w:tcMar>
            <w:vAlign w:val="center"/>
          </w:tcPr>
          <w:p w14:paraId="21324767">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检测环境及GPU推理链工作正常</w:t>
            </w:r>
          </w:p>
        </w:tc>
      </w:tr>
      <w:tr w14:paraId="0659C4C3">
        <w:trPr>
          <w:cantSplit/>
          <w:jc w:val="center"/>
        </w:trPr>
        <w:tc>
          <w:tcPr>
            <w:tcW w:w="1700" w:type="dxa"/>
            <w:tcMar>
              <w:top w:w="60" w:type="dxa"/>
              <w:left w:w="80" w:type="dxa"/>
              <w:bottom w:w="60" w:type="dxa"/>
              <w:right w:w="80" w:type="dxa"/>
            </w:tcMar>
            <w:vAlign w:val="center"/>
          </w:tcPr>
          <w:p w14:paraId="35B8D1B9">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D435完整链路</w:t>
            </w:r>
          </w:p>
        </w:tc>
        <w:tc>
          <w:tcPr>
            <w:tcW w:w="2551" w:type="dxa"/>
            <w:tcMar>
              <w:top w:w="60" w:type="dxa"/>
              <w:left w:w="80" w:type="dxa"/>
              <w:bottom w:w="60" w:type="dxa"/>
              <w:right w:w="80" w:type="dxa"/>
            </w:tcMar>
            <w:vAlign w:val="center"/>
          </w:tcPr>
          <w:p w14:paraId="7EA01B85">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实时采集、检测、定位和显示</w:t>
            </w:r>
          </w:p>
        </w:tc>
        <w:tc>
          <w:tcPr>
            <w:tcW w:w="1870" w:type="dxa"/>
            <w:tcMar>
              <w:top w:w="60" w:type="dxa"/>
              <w:left w:w="80" w:type="dxa"/>
              <w:bottom w:w="60" w:type="dxa"/>
              <w:right w:w="80" w:type="dxa"/>
            </w:tcMar>
            <w:vAlign w:val="center"/>
          </w:tcPr>
          <w:p w14:paraId="34112335">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平均17.52 FPS</w:t>
            </w:r>
          </w:p>
        </w:tc>
        <w:tc>
          <w:tcPr>
            <w:tcW w:w="2948" w:type="dxa"/>
            <w:tcMar>
              <w:top w:w="60" w:type="dxa"/>
              <w:left w:w="80" w:type="dxa"/>
              <w:bottom w:w="60" w:type="dxa"/>
              <w:right w:w="80" w:type="dxa"/>
            </w:tcMar>
            <w:vAlign w:val="center"/>
          </w:tcPr>
          <w:p w14:paraId="3E950936">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当前平台具备实时运行能力</w:t>
            </w:r>
          </w:p>
        </w:tc>
      </w:tr>
      <w:tr w14:paraId="442C2E37">
        <w:tblPrEx>
          <w:tblCellMar>
            <w:top w:w="0" w:type="dxa"/>
            <w:left w:w="108" w:type="dxa"/>
            <w:bottom w:w="0" w:type="dxa"/>
            <w:right w:w="108" w:type="dxa"/>
          </w:tblCellMar>
        </w:tblPrEx>
        <w:trPr>
          <w:cantSplit/>
          <w:jc w:val="center"/>
        </w:trPr>
        <w:tc>
          <w:tcPr>
            <w:tcW w:w="1700" w:type="dxa"/>
            <w:tcMar>
              <w:top w:w="60" w:type="dxa"/>
              <w:left w:w="80" w:type="dxa"/>
              <w:bottom w:w="60" w:type="dxa"/>
              <w:right w:w="80" w:type="dxa"/>
            </w:tcMar>
            <w:vAlign w:val="center"/>
          </w:tcPr>
          <w:p w14:paraId="31C64998">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短时遮挡</w:t>
            </w:r>
          </w:p>
        </w:tc>
        <w:tc>
          <w:tcPr>
            <w:tcW w:w="2551" w:type="dxa"/>
            <w:tcMar>
              <w:top w:w="60" w:type="dxa"/>
              <w:left w:w="80" w:type="dxa"/>
              <w:bottom w:w="60" w:type="dxa"/>
              <w:right w:w="80" w:type="dxa"/>
            </w:tcMar>
            <w:vAlign w:val="center"/>
          </w:tcPr>
          <w:p w14:paraId="2BD8E0E9">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mouse #164，静止桌面场景</w:t>
            </w:r>
          </w:p>
        </w:tc>
        <w:tc>
          <w:tcPr>
            <w:tcW w:w="1870" w:type="dxa"/>
            <w:tcMar>
              <w:top w:w="60" w:type="dxa"/>
              <w:left w:w="80" w:type="dxa"/>
              <w:bottom w:w="60" w:type="dxa"/>
              <w:right w:w="80" w:type="dxa"/>
            </w:tcMar>
            <w:vAlign w:val="center"/>
          </w:tcPr>
          <w:p w14:paraId="09A43F87">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遮挡后恢复为#164</w:t>
            </w:r>
          </w:p>
        </w:tc>
        <w:tc>
          <w:tcPr>
            <w:tcW w:w="2948" w:type="dxa"/>
            <w:tcMar>
              <w:top w:w="60" w:type="dxa"/>
              <w:left w:w="80" w:type="dxa"/>
              <w:bottom w:w="60" w:type="dxa"/>
              <w:right w:w="80" w:type="dxa"/>
            </w:tcMar>
            <w:vAlign w:val="center"/>
          </w:tcPr>
          <w:p w14:paraId="6101215B">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一次定性编号恢复验证</w:t>
            </w:r>
          </w:p>
        </w:tc>
      </w:tr>
      <w:bookmarkEnd w:id="18"/>
    </w:tbl>
    <w:p w14:paraId="014877F0">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Times New Roman" w:hAnsi="Times New Roman" w:eastAsia="黑体" w:cs="Times New Roman"/>
          <w:b/>
          <w:bCs/>
          <w:color w:val="000000"/>
          <w:sz w:val="21"/>
          <w:szCs w:val="28"/>
          <w:lang w:val="en-US" w:eastAsia="en-US" w:bidi="ar-SA"/>
        </w:rPr>
      </w:pPr>
      <w:bookmarkStart w:id="19" w:name="rgb-d采集与深度结果"/>
    </w:p>
    <w:p w14:paraId="2711488E">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r>
        <w:rPr>
          <w:rFonts w:ascii="Times New Roman" w:hAnsi="Times New Roman" w:eastAsia="黑体" w:cs="Times New Roman"/>
          <w:b/>
          <w:bCs/>
          <w:color w:val="000000"/>
          <w:sz w:val="21"/>
          <w:szCs w:val="28"/>
          <w:lang w:val="en-US" w:eastAsia="en-US" w:bidi="ar-SA"/>
        </w:rPr>
        <w:t>4.2 RGB-D采集与深度结果</w:t>
      </w:r>
    </w:p>
    <w:p w14:paraId="7BFA9D25">
      <w:pPr>
        <w:keepNext/>
        <w:pageBreakBefore w:val="0"/>
        <w:widowControl/>
        <w:kinsoku/>
        <w:wordWrap/>
        <w:overflowPunct/>
        <w:topLinePunct w:val="0"/>
        <w:autoSpaceDE/>
        <w:autoSpaceDN/>
        <w:bidi w:val="0"/>
        <w:adjustRightInd/>
        <w:spacing w:line="240" w:lineRule="auto"/>
        <w:ind w:left="0" w:right="0" w:firstLine="0"/>
        <w:jc w:val="center"/>
        <w:textAlignment w:val="auto"/>
        <w:rPr>
          <w:rFonts w:ascii="Times New Roman" w:hAnsi="Times New Roman" w:eastAsia="宋体"/>
          <w:sz w:val="21"/>
          <w:szCs w:val="24"/>
          <w:lang w:eastAsia="en-US"/>
        </w:rPr>
      </w:pPr>
      <w:r>
        <w:rPr>
          <w:rFonts w:ascii="Times New Roman" w:hAnsi="Times New Roman" w:eastAsia="宋体"/>
          <w:sz w:val="21"/>
          <w:szCs w:val="24"/>
          <w:lang w:eastAsia="en-US"/>
        </w:rPr>
        <w:drawing>
          <wp:inline distT="0" distB="0" distL="0" distR="0">
            <wp:extent cx="5399405" cy="3336290"/>
            <wp:effectExtent l="0" t="0" r="1270" b="6985"/>
            <wp:docPr id="3" name="image3.png" descr="图4-1 RGB-D采集、对齐与设备诊断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图4-1 RGB-D采集、对齐与设备诊断结果"/>
                    <pic:cNvPicPr>
                      <a:picLocks noChangeAspect="1"/>
                    </pic:cNvPicPr>
                  </pic:nvPicPr>
                  <pic:blipFill>
                    <a:blip r:embed="rId15"/>
                    <a:stretch>
                      <a:fillRect/>
                    </a:stretch>
                  </pic:blipFill>
                  <pic:spPr>
                    <a:xfrm>
                      <a:off x="0" y="0"/>
                      <a:ext cx="5400000" cy="3336495"/>
                    </a:xfrm>
                    <a:prstGeom prst="rect">
                      <a:avLst/>
                    </a:prstGeom>
                  </pic:spPr>
                </pic:pic>
              </a:graphicData>
            </a:graphic>
          </wp:inline>
        </w:drawing>
      </w:r>
    </w:p>
    <w:p w14:paraId="3EFFB1E7">
      <w:pPr>
        <w:keepNext/>
        <w:keepLines/>
        <w:pageBreakBefore w:val="0"/>
        <w:kinsoku/>
        <w:wordWrap/>
        <w:overflowPunct/>
        <w:topLinePunct w:val="0"/>
        <w:autoSpaceDE/>
        <w:autoSpaceDN/>
        <w:bidi w:val="0"/>
        <w:spacing w:before="0" w:beforeLines="0" w:after="0" w:line="240" w:lineRule="auto"/>
        <w:ind w:left="0" w:right="0" w:firstLine="0"/>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i w:val="0"/>
          <w:iCs/>
          <w:color w:val="000000"/>
          <w:sz w:val="21"/>
          <w:szCs w:val="24"/>
          <w:lang w:val="en-US" w:eastAsia="en-US" w:bidi="ar-SA"/>
        </w:rPr>
        <w:t>图4-1 RGB-D采集、对齐与设备诊断结果</w:t>
      </w:r>
    </w:p>
    <w:p w14:paraId="0798E82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 xml:space="preserve">设备诊断获得的彩色帧和对齐深度帧均为 </w:t>
      </w:r>
      <m:oMath>
        <m:r>
          <m:rPr/>
          <m:t>640</m:t>
        </m:r>
        <m:r>
          <m:rPr>
            <m:sty m:val="p"/>
          </m:rPr>
          <m:t>×</m:t>
        </m:r>
        <m:r>
          <m:rPr/>
          <m:t>480</m:t>
        </m:r>
      </m:oMath>
      <w:r>
        <w:rPr>
          <w:rFonts w:ascii="Times New Roman" w:hAnsi="Times New Roman" w:eastAsia="宋体" w:cs="Times New Roman"/>
          <w:color w:val="000000"/>
          <w:sz w:val="21"/>
          <w:szCs w:val="24"/>
          <w:lang w:val="en-US" w:eastAsia="en-US" w:bidi="ar-SA"/>
        </w:rPr>
        <w:t>。307200个像素中有306547个有效值，覆盖率约99.8%；全图和中央区域的中位深度分别为0.960 m和0.972 m。图4-1中彩色与深度边缘基本对应，说明本次采集的对齐和深度尺度正常，但该覆盖率不代表其他材质与距离下的固定性能。</w:t>
      </w:r>
    </w:p>
    <w:p w14:paraId="7576D346">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深度伪彩图通过不同颜色展示物体的远近，便于观察深度变化。由于颜色映射会根据当前场景自动调整，颜色本身不代表固定距离；系统计算目标距离时始终读取原始米制深度数据。</w:t>
      </w:r>
    </w:p>
    <w:p w14:paraId="0CA30154">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19"/>
    <w:p w14:paraId="7C078427">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20" w:name="检测速度与端到端实时性"/>
      <w:r>
        <w:rPr>
          <w:rFonts w:ascii="Times New Roman" w:hAnsi="Times New Roman" w:eastAsia="黑体" w:cs="Times New Roman"/>
          <w:b/>
          <w:bCs/>
          <w:color w:val="000000"/>
          <w:sz w:val="21"/>
          <w:szCs w:val="28"/>
          <w:lang w:val="en-US" w:eastAsia="en-US" w:bidi="ar-SA"/>
        </w:rPr>
        <w:t>4.3 检测速度与端到端实时性</w:t>
      </w:r>
    </w:p>
    <w:p w14:paraId="6295E039">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在包含人员和公交车的标准图像上，模型识别出4个person和1个bus，置信度为0.872～0.956。预热5次后统计20次，包含跟踪的中位延迟为19.9 ms，平均约49.1 FPS，说明模型推理本身具有实时运行余量。</w:t>
      </w:r>
    </w:p>
    <w:p w14:paraId="273646B5">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接入相机采集、深度处理、三维定位和显示后，完整链路平均为17.52 FPS。速度低于标准图测试，主要开销来自相机等待、深度对齐与滤波、数据转换及界面绘制。</w:t>
      </w:r>
    </w:p>
    <w:p w14:paraId="6D7A5DF0">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20"/>
    <w:p w14:paraId="1780D8CB">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21" w:name="短时遮挡与编号恢复"/>
      <w:r>
        <w:rPr>
          <w:rFonts w:ascii="Times New Roman" w:hAnsi="Times New Roman" w:eastAsia="黑体" w:cs="Times New Roman"/>
          <w:b/>
          <w:bCs/>
          <w:color w:val="000000"/>
          <w:sz w:val="21"/>
          <w:szCs w:val="28"/>
          <w:lang w:val="en-US" w:eastAsia="en-US" w:bidi="ar-SA"/>
        </w:rPr>
        <w:t>4.4 短时遮挡与编号恢复</w:t>
      </w:r>
    </w:p>
    <w:p w14:paraId="47FD70CB">
      <w:pPr>
        <w:keepNext/>
        <w:pageBreakBefore w:val="0"/>
        <w:widowControl/>
        <w:kinsoku/>
        <w:wordWrap/>
        <w:overflowPunct/>
        <w:topLinePunct w:val="0"/>
        <w:autoSpaceDE/>
        <w:autoSpaceDN/>
        <w:bidi w:val="0"/>
        <w:adjustRightInd/>
        <w:spacing w:line="240" w:lineRule="auto"/>
        <w:ind w:left="0" w:right="0" w:firstLine="0"/>
        <w:jc w:val="center"/>
        <w:textAlignment w:val="auto"/>
        <w:rPr>
          <w:rFonts w:ascii="Times New Roman" w:hAnsi="Times New Roman" w:eastAsia="宋体"/>
          <w:sz w:val="21"/>
          <w:szCs w:val="24"/>
          <w:lang w:eastAsia="en-US"/>
        </w:rPr>
      </w:pPr>
      <w:r>
        <w:rPr>
          <w:rFonts w:ascii="Times New Roman" w:hAnsi="Times New Roman" w:eastAsia="宋体"/>
          <w:sz w:val="21"/>
          <w:szCs w:val="24"/>
          <w:lang w:eastAsia="en-US"/>
        </w:rPr>
        <w:drawing>
          <wp:inline distT="0" distB="0" distL="0" distR="0">
            <wp:extent cx="5022850" cy="4118610"/>
            <wp:effectExtent l="0" t="0" r="6350" b="5715"/>
            <wp:docPr id="4" name="image4.png" descr="图4-2 鼠标目标短时遮挡与编号重绑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descr="图4-2 鼠标目标短时遮挡与编号重绑定"/>
                    <pic:cNvPicPr>
                      <a:picLocks noChangeAspect="1"/>
                    </pic:cNvPicPr>
                  </pic:nvPicPr>
                  <pic:blipFill>
                    <a:blip r:embed="rId16"/>
                    <a:stretch>
                      <a:fillRect/>
                    </a:stretch>
                  </pic:blipFill>
                  <pic:spPr>
                    <a:xfrm>
                      <a:off x="0" y="0"/>
                      <a:ext cx="5022850" cy="4118610"/>
                    </a:xfrm>
                    <a:prstGeom prst="rect">
                      <a:avLst/>
                    </a:prstGeom>
                  </pic:spPr>
                </pic:pic>
              </a:graphicData>
            </a:graphic>
          </wp:inline>
        </w:drawing>
      </w:r>
    </w:p>
    <w:p w14:paraId="129C98FE">
      <w:pPr>
        <w:keepNext/>
        <w:keepLines/>
        <w:pageBreakBefore w:val="0"/>
        <w:kinsoku/>
        <w:wordWrap/>
        <w:overflowPunct/>
        <w:topLinePunct w:val="0"/>
        <w:autoSpaceDE/>
        <w:autoSpaceDN/>
        <w:bidi w:val="0"/>
        <w:spacing w:before="0" w:beforeLines="0" w:after="0" w:line="240" w:lineRule="auto"/>
        <w:ind w:left="0" w:right="0" w:firstLine="0"/>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i w:val="0"/>
          <w:iCs/>
          <w:color w:val="000000"/>
          <w:sz w:val="21"/>
          <w:szCs w:val="24"/>
          <w:lang w:val="en-US" w:eastAsia="en-US" w:bidi="ar-SA"/>
        </w:rPr>
        <w:t>图4-2 鼠标目标短时遮挡与编号重绑定</w:t>
      </w:r>
    </w:p>
    <w:p w14:paraId="7265A9DB">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遮挡试验选取mouse #164。手部完全遮挡后，画面保留#164记忆框；约0.5 s后鼠标重新出现，输出仍恢复为#164。图4-2表明短时记忆和重绑定在这一静止桌面场景中保持了用户编号。</w:t>
      </w:r>
    </w:p>
    <w:p w14:paraId="2DC1A875">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重绑定依赖类别一致、位置变化较小和边界框空间关联。同类目标靠近、交叉运动或遮挡期间大幅移动时仍可能误关联；单次恢复只能说明状态转换符合设计，不能据此计算重绑定成功率或推广到密集动态场景。</w:t>
      </w:r>
    </w:p>
    <w:p w14:paraId="1322A46F">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21"/>
    <w:p w14:paraId="3B7F4432">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22" w:name="带噪仿真下的深度方法横向比较"/>
      <w:r>
        <w:rPr>
          <w:rFonts w:ascii="Times New Roman" w:hAnsi="Times New Roman" w:eastAsia="黑体" w:cs="Times New Roman"/>
          <w:b/>
          <w:bCs/>
          <w:color w:val="000000"/>
          <w:sz w:val="21"/>
          <w:szCs w:val="28"/>
          <w:lang w:val="en-US" w:eastAsia="en-US" w:bidi="ar-SA"/>
        </w:rPr>
        <w:t>4.5 带噪仿真下的深度方法横向比较</w:t>
      </w:r>
    </w:p>
    <w:p w14:paraId="39F73BFD">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 xml:space="preserve">为使仿真数据体现深度相机测量中常见的波动、无效像素和飞点，本文采用 </w:t>
      </w:r>
      <m:oMath>
        <m:r>
          <m:rPr/>
          <m:t>100</m:t>
        </m:r>
        <m:r>
          <m:rPr>
            <m:sty m:val="p"/>
          </m:rPr>
          <m:t>×</m:t>
        </m:r>
        <m:r>
          <m:rPr/>
          <m:t>100</m:t>
        </m:r>
      </m:oMath>
      <w:r>
        <w:rPr>
          <w:rFonts w:ascii="Times New Roman" w:hAnsi="Times New Roman" w:eastAsia="宋体" w:cs="Times New Roman"/>
          <w:color w:val="000000"/>
          <w:sz w:val="21"/>
          <w:szCs w:val="24"/>
          <w:lang w:val="en-US" w:eastAsia="en-US" w:bidi="ar-SA"/>
        </w:rPr>
        <w:t xml:space="preserve"> 深度矩阵，在与系统一致的中央45%区域内比较中心单点、框内中位数和可信前景簇＋MAD。目标真值为2.00 m，每种场景重复300次。对基准深度 </w:t>
      </w:r>
      <m:oMath>
        <m:r>
          <m:rPr/>
          <m:t>z</m:t>
        </m:r>
      </m:oMath>
      <w:r>
        <w:rPr>
          <w:rFonts w:ascii="Times New Roman" w:hAnsi="Times New Roman" w:eastAsia="宋体" w:cs="Times New Roman"/>
          <w:color w:val="000000"/>
          <w:sz w:val="21"/>
          <w:szCs w:val="24"/>
          <w:lang w:val="en-US" w:eastAsia="en-US" w:bidi="ar-SA"/>
        </w:rPr>
        <w:t xml:space="preserve"> 加入标准差为 </w:t>
      </w:r>
      <m:oMath>
        <m:r>
          <m:rPr/>
          <m:t>0.003</m:t>
        </m:r>
        <m:sSup>
          <m:sSupPr/>
          <m:e>
            <m:r>
              <m:rPr/>
              <m:t>z</m:t>
            </m:r>
          </m:e>
          <m:sup>
            <m:r>
              <m:rPr/>
              <m:t>2</m:t>
            </m:r>
          </m:sup>
        </m:sSup>
      </m:oMath>
      <w:r>
        <w:rPr>
          <w:rFonts w:ascii="Times New Roman" w:hAnsi="Times New Roman" w:eastAsia="宋体" w:cs="Times New Roman"/>
          <w:color w:val="000000"/>
          <w:sz w:val="21"/>
          <w:szCs w:val="24"/>
          <w:lang w:val="en-US" w:eastAsia="en-US" w:bidi="ar-SA"/>
        </w:rPr>
        <w:t xml:space="preserve"> 的像素噪声和标准差为 </w:t>
      </w:r>
      <m:oMath>
        <m:r>
          <m:rPr/>
          <m:t>0.005z</m:t>
        </m:r>
      </m:oMath>
      <w:r>
        <w:rPr>
          <w:rFonts w:ascii="Times New Roman" w:hAnsi="Times New Roman" w:eastAsia="宋体" w:cs="Times New Roman"/>
          <w:color w:val="000000"/>
          <w:sz w:val="21"/>
          <w:szCs w:val="24"/>
          <w:lang w:val="en-US" w:eastAsia="en-US" w:bidi="ar-SA"/>
        </w:rPr>
        <w:t xml:space="preserve"> 的帧间偏差，同时随机设置1%的无效像素和0.5%的0.2～8 m飞点。四种场景分别为完整目标表面、约65%像素为4.00 m背景的镂空目标、中心附近含6个0.30 m飞点，以及约7%区域被1.20 m前景物遮挡。随机数种子固定为435。</w:t>
      </w:r>
    </w:p>
    <w:p w14:paraId="69702EBA">
      <w:pPr>
        <w:keepNext/>
        <w:keepLines/>
        <w:pageBreakBefore w:val="0"/>
        <w:kinsoku/>
        <w:wordWrap/>
        <w:overflowPunct/>
        <w:topLinePunct w:val="0"/>
        <w:autoSpaceDE/>
        <w:autoSpaceDN/>
        <w:bidi w:val="0"/>
        <w:spacing w:before="0" w:beforeLines="0" w:after="0" w:line="240" w:lineRule="auto"/>
        <w:ind w:left="0" w:right="0" w:firstLine="0"/>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i w:val="0"/>
          <w:iCs/>
          <w:color w:val="000000"/>
          <w:sz w:val="21"/>
          <w:szCs w:val="24"/>
          <w:lang w:val="en-US" w:eastAsia="en-US" w:bidi="ar-SA"/>
        </w:rPr>
        <w:t>表4-2 三种深度提取方法的带噪重复仿真结果</w:t>
      </w:r>
    </w:p>
    <w:tbl>
      <w:tblPr>
        <w:tblStyle w:val="23"/>
        <w:tblW w:w="5000" w:type="pct"/>
        <w:jc w:val="center"/>
        <w:tblLayout w:type="fixed"/>
        <w:tblCellMar>
          <w:top w:w="0" w:type="dxa"/>
          <w:left w:w="108" w:type="dxa"/>
          <w:bottom w:w="0" w:type="dxa"/>
          <w:right w:w="108" w:type="dxa"/>
        </w:tblCellMar>
      </w:tblPr>
      <w:tblGrid>
        <w:gridCol w:w="1846"/>
        <w:gridCol w:w="2462"/>
        <w:gridCol w:w="2462"/>
        <w:gridCol w:w="2462"/>
      </w:tblGrid>
      <w:tr w14:paraId="6A7A375D">
        <w:tblPrEx>
          <w:tblCellMar>
            <w:top w:w="0" w:type="dxa"/>
            <w:left w:w="108" w:type="dxa"/>
            <w:bottom w:w="0" w:type="dxa"/>
            <w:right w:w="108" w:type="dxa"/>
          </w:tblCellMar>
        </w:tblPrEx>
        <w:trPr>
          <w:cantSplit/>
          <w:tblHeader/>
          <w:jc w:val="center"/>
        </w:trPr>
        <w:tc>
          <w:tcPr>
            <w:tcW w:w="2948" w:type="dxa"/>
            <w:tcMar>
              <w:top w:w="60" w:type="dxa"/>
              <w:left w:w="80" w:type="dxa"/>
              <w:bottom w:w="60" w:type="dxa"/>
              <w:right w:w="80" w:type="dxa"/>
            </w:tcMar>
            <w:vAlign w:val="center"/>
          </w:tcPr>
          <w:p w14:paraId="4EDFBC1E">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color w:val="000000"/>
                <w:sz w:val="21"/>
                <w:szCs w:val="24"/>
                <w:lang w:val="en-US" w:eastAsia="en-US" w:bidi="ar-SA"/>
              </w:rPr>
              <w:t>场景</w:t>
            </w:r>
          </w:p>
        </w:tc>
        <w:tc>
          <w:tcPr>
            <w:tcW w:w="2040" w:type="dxa"/>
            <w:tcMar>
              <w:top w:w="60" w:type="dxa"/>
              <w:left w:w="80" w:type="dxa"/>
              <w:bottom w:w="60" w:type="dxa"/>
              <w:right w:w="80" w:type="dxa"/>
            </w:tcMar>
            <w:vAlign w:val="center"/>
          </w:tcPr>
          <w:p w14:paraId="3FC70144">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color w:val="000000"/>
                <w:sz w:val="21"/>
                <w:szCs w:val="24"/>
                <w:lang w:val="en-US" w:eastAsia="en-US" w:bidi="ar-SA"/>
              </w:rPr>
              <w:t>中心单点</w:t>
            </w:r>
          </w:p>
        </w:tc>
        <w:tc>
          <w:tcPr>
            <w:tcW w:w="2040" w:type="dxa"/>
            <w:tcMar>
              <w:top w:w="60" w:type="dxa"/>
              <w:left w:w="80" w:type="dxa"/>
              <w:bottom w:w="60" w:type="dxa"/>
              <w:right w:w="80" w:type="dxa"/>
            </w:tcMar>
            <w:vAlign w:val="center"/>
          </w:tcPr>
          <w:p w14:paraId="2C171D97">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color w:val="000000"/>
                <w:sz w:val="21"/>
                <w:szCs w:val="24"/>
                <w:lang w:val="en-US" w:eastAsia="en-US" w:bidi="ar-SA"/>
              </w:rPr>
              <w:t>框内整体中位数</w:t>
            </w:r>
          </w:p>
        </w:tc>
        <w:tc>
          <w:tcPr>
            <w:tcW w:w="2040" w:type="dxa"/>
            <w:tcMar>
              <w:top w:w="60" w:type="dxa"/>
              <w:left w:w="80" w:type="dxa"/>
              <w:bottom w:w="60" w:type="dxa"/>
              <w:right w:w="80" w:type="dxa"/>
            </w:tcMar>
            <w:vAlign w:val="center"/>
          </w:tcPr>
          <w:p w14:paraId="6FD5F1EE">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color w:val="000000"/>
                <w:sz w:val="21"/>
                <w:szCs w:val="24"/>
                <w:lang w:val="en-US" w:eastAsia="en-US" w:bidi="ar-SA"/>
              </w:rPr>
              <w:t>可信前景簇＋MAD</w:t>
            </w:r>
          </w:p>
        </w:tc>
      </w:tr>
      <w:tr w14:paraId="1F6CA534">
        <w:tblPrEx>
          <w:tblCellMar>
            <w:top w:w="0" w:type="dxa"/>
            <w:left w:w="108" w:type="dxa"/>
            <w:bottom w:w="0" w:type="dxa"/>
            <w:right w:w="108" w:type="dxa"/>
          </w:tblCellMar>
        </w:tblPrEx>
        <w:trPr>
          <w:cantSplit/>
          <w:jc w:val="center"/>
        </w:trPr>
        <w:tc>
          <w:tcPr>
            <w:tcW w:w="2948" w:type="dxa"/>
            <w:tcMar>
              <w:top w:w="60" w:type="dxa"/>
              <w:left w:w="80" w:type="dxa"/>
              <w:bottom w:w="60" w:type="dxa"/>
              <w:right w:w="80" w:type="dxa"/>
            </w:tcMar>
            <w:vAlign w:val="center"/>
          </w:tcPr>
          <w:p w14:paraId="5DC1310F">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完整目标表面</w:t>
            </w:r>
          </w:p>
        </w:tc>
        <w:tc>
          <w:tcPr>
            <w:tcW w:w="2040" w:type="dxa"/>
            <w:tcMar>
              <w:top w:w="60" w:type="dxa"/>
              <w:left w:w="80" w:type="dxa"/>
              <w:bottom w:w="60" w:type="dxa"/>
              <w:right w:w="80" w:type="dxa"/>
            </w:tcMar>
            <w:vAlign w:val="center"/>
          </w:tcPr>
          <w:p w14:paraId="6E2C212C">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0.013/0.030/98.3%</w:t>
            </w:r>
          </w:p>
        </w:tc>
        <w:tc>
          <w:tcPr>
            <w:tcW w:w="2040" w:type="dxa"/>
            <w:tcMar>
              <w:top w:w="60" w:type="dxa"/>
              <w:left w:w="80" w:type="dxa"/>
              <w:bottom w:w="60" w:type="dxa"/>
              <w:right w:w="80" w:type="dxa"/>
            </w:tcMar>
            <w:vAlign w:val="center"/>
          </w:tcPr>
          <w:p w14:paraId="3D24BDF3">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0.009/0.020/100%</w:t>
            </w:r>
          </w:p>
        </w:tc>
        <w:tc>
          <w:tcPr>
            <w:tcW w:w="2040" w:type="dxa"/>
            <w:tcMar>
              <w:top w:w="60" w:type="dxa"/>
              <w:left w:w="80" w:type="dxa"/>
              <w:bottom w:w="60" w:type="dxa"/>
              <w:right w:w="80" w:type="dxa"/>
            </w:tcMar>
            <w:vAlign w:val="center"/>
          </w:tcPr>
          <w:p w14:paraId="25EECBF0">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0.009/0.020/100%</w:t>
            </w:r>
          </w:p>
        </w:tc>
      </w:tr>
      <w:tr w14:paraId="273B2614">
        <w:tblPrEx>
          <w:tblCellMar>
            <w:top w:w="0" w:type="dxa"/>
            <w:left w:w="108" w:type="dxa"/>
            <w:bottom w:w="0" w:type="dxa"/>
            <w:right w:w="108" w:type="dxa"/>
          </w:tblCellMar>
        </w:tblPrEx>
        <w:trPr>
          <w:cantSplit/>
          <w:jc w:val="center"/>
        </w:trPr>
        <w:tc>
          <w:tcPr>
            <w:tcW w:w="2948" w:type="dxa"/>
            <w:tcMar>
              <w:top w:w="60" w:type="dxa"/>
              <w:left w:w="80" w:type="dxa"/>
              <w:bottom w:w="60" w:type="dxa"/>
              <w:right w:w="80" w:type="dxa"/>
            </w:tcMar>
            <w:vAlign w:val="center"/>
          </w:tcPr>
          <w:p w14:paraId="021C052D">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镂空目标、背景占多数</w:t>
            </w:r>
          </w:p>
        </w:tc>
        <w:tc>
          <w:tcPr>
            <w:tcW w:w="2040" w:type="dxa"/>
            <w:tcMar>
              <w:top w:w="60" w:type="dxa"/>
              <w:left w:w="80" w:type="dxa"/>
              <w:bottom w:w="60" w:type="dxa"/>
              <w:right w:w="80" w:type="dxa"/>
            </w:tcMar>
            <w:vAlign w:val="center"/>
          </w:tcPr>
          <w:p w14:paraId="392BB655">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1.981/2.071/99.3%</w:t>
            </w:r>
          </w:p>
        </w:tc>
        <w:tc>
          <w:tcPr>
            <w:tcW w:w="2040" w:type="dxa"/>
            <w:tcMar>
              <w:top w:w="60" w:type="dxa"/>
              <w:left w:w="80" w:type="dxa"/>
              <w:bottom w:w="60" w:type="dxa"/>
              <w:right w:w="80" w:type="dxa"/>
            </w:tcMar>
            <w:vAlign w:val="center"/>
          </w:tcPr>
          <w:p w14:paraId="16A24A38">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1.965/2.002/100%</w:t>
            </w:r>
          </w:p>
        </w:tc>
        <w:tc>
          <w:tcPr>
            <w:tcW w:w="2040" w:type="dxa"/>
            <w:tcMar>
              <w:top w:w="60" w:type="dxa"/>
              <w:left w:w="80" w:type="dxa"/>
              <w:bottom w:w="60" w:type="dxa"/>
              <w:right w:w="80" w:type="dxa"/>
            </w:tcMar>
            <w:vAlign w:val="center"/>
          </w:tcPr>
          <w:p w14:paraId="5BBA7A85">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0.008/0.018/100%</w:t>
            </w:r>
          </w:p>
        </w:tc>
      </w:tr>
      <w:tr w14:paraId="2721DD60">
        <w:trPr>
          <w:cantSplit/>
          <w:jc w:val="center"/>
        </w:trPr>
        <w:tc>
          <w:tcPr>
            <w:tcW w:w="2948" w:type="dxa"/>
            <w:tcMar>
              <w:top w:w="60" w:type="dxa"/>
              <w:left w:w="80" w:type="dxa"/>
              <w:bottom w:w="60" w:type="dxa"/>
              <w:right w:w="80" w:type="dxa"/>
            </w:tcMar>
            <w:vAlign w:val="center"/>
          </w:tcPr>
          <w:p w14:paraId="68BCB2FF">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中心附近6个飞点</w:t>
            </w:r>
          </w:p>
        </w:tc>
        <w:tc>
          <w:tcPr>
            <w:tcW w:w="2040" w:type="dxa"/>
            <w:tcMar>
              <w:top w:w="60" w:type="dxa"/>
              <w:left w:w="80" w:type="dxa"/>
              <w:bottom w:w="60" w:type="dxa"/>
              <w:right w:w="80" w:type="dxa"/>
            </w:tcMar>
            <w:vAlign w:val="center"/>
          </w:tcPr>
          <w:p w14:paraId="240896C9">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1.698/1.702/98.7%</w:t>
            </w:r>
          </w:p>
        </w:tc>
        <w:tc>
          <w:tcPr>
            <w:tcW w:w="2040" w:type="dxa"/>
            <w:tcMar>
              <w:top w:w="60" w:type="dxa"/>
              <w:left w:w="80" w:type="dxa"/>
              <w:bottom w:w="60" w:type="dxa"/>
              <w:right w:w="80" w:type="dxa"/>
            </w:tcMar>
            <w:vAlign w:val="center"/>
          </w:tcPr>
          <w:p w14:paraId="59F2B20B">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0.008/0.020/100%</w:t>
            </w:r>
          </w:p>
        </w:tc>
        <w:tc>
          <w:tcPr>
            <w:tcW w:w="2040" w:type="dxa"/>
            <w:tcMar>
              <w:top w:w="60" w:type="dxa"/>
              <w:left w:w="80" w:type="dxa"/>
              <w:bottom w:w="60" w:type="dxa"/>
              <w:right w:w="80" w:type="dxa"/>
            </w:tcMar>
            <w:vAlign w:val="center"/>
          </w:tcPr>
          <w:p w14:paraId="3E85903A">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0.008/0.020/100%</w:t>
            </w:r>
          </w:p>
        </w:tc>
      </w:tr>
      <w:tr w14:paraId="02FF6A5E">
        <w:tblPrEx>
          <w:tblCellMar>
            <w:top w:w="0" w:type="dxa"/>
            <w:left w:w="108" w:type="dxa"/>
            <w:bottom w:w="0" w:type="dxa"/>
            <w:right w:w="108" w:type="dxa"/>
          </w:tblCellMar>
        </w:tblPrEx>
        <w:trPr>
          <w:cantSplit/>
          <w:jc w:val="center"/>
        </w:trPr>
        <w:tc>
          <w:tcPr>
            <w:tcW w:w="2948" w:type="dxa"/>
            <w:tcMar>
              <w:top w:w="60" w:type="dxa"/>
              <w:left w:w="80" w:type="dxa"/>
              <w:bottom w:w="60" w:type="dxa"/>
              <w:right w:w="80" w:type="dxa"/>
            </w:tcMar>
            <w:vAlign w:val="center"/>
          </w:tcPr>
          <w:p w14:paraId="6178826A">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前景遮挡约7%</w:t>
            </w:r>
          </w:p>
        </w:tc>
        <w:tc>
          <w:tcPr>
            <w:tcW w:w="2040" w:type="dxa"/>
            <w:tcMar>
              <w:top w:w="60" w:type="dxa"/>
              <w:left w:w="80" w:type="dxa"/>
              <w:bottom w:w="60" w:type="dxa"/>
              <w:right w:w="80" w:type="dxa"/>
            </w:tcMar>
            <w:vAlign w:val="center"/>
          </w:tcPr>
          <w:p w14:paraId="7ACC8263">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0.800/0.811/98.7%</w:t>
            </w:r>
          </w:p>
        </w:tc>
        <w:tc>
          <w:tcPr>
            <w:tcW w:w="2040" w:type="dxa"/>
            <w:tcMar>
              <w:top w:w="60" w:type="dxa"/>
              <w:left w:w="80" w:type="dxa"/>
              <w:bottom w:w="60" w:type="dxa"/>
              <w:right w:w="80" w:type="dxa"/>
            </w:tcMar>
            <w:vAlign w:val="center"/>
          </w:tcPr>
          <w:p w14:paraId="27F5EDF2">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0.008/0.019/100%</w:t>
            </w:r>
          </w:p>
        </w:tc>
        <w:tc>
          <w:tcPr>
            <w:tcW w:w="2040" w:type="dxa"/>
            <w:tcMar>
              <w:top w:w="60" w:type="dxa"/>
              <w:left w:w="80" w:type="dxa"/>
              <w:bottom w:w="60" w:type="dxa"/>
              <w:right w:w="80" w:type="dxa"/>
            </w:tcMar>
            <w:vAlign w:val="center"/>
          </w:tcPr>
          <w:p w14:paraId="14B57D69">
            <w:pPr>
              <w:pageBreakBefore w:val="0"/>
              <w:kinsoku/>
              <w:wordWrap/>
              <w:overflowPunct/>
              <w:topLinePunct w:val="0"/>
              <w:autoSpaceDE/>
              <w:autoSpaceDN/>
              <w:bidi w:val="0"/>
              <w:spacing w:before="0" w:beforeLines="0" w:after="0" w:line="240" w:lineRule="auto"/>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0.800/0.809/100%</w:t>
            </w:r>
          </w:p>
        </w:tc>
      </w:tr>
    </w:tbl>
    <w:p w14:paraId="71CAEA64">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表中每项依次为平均绝对误差、绝对误差95%分位数和有效输出率，误差单位为米。完整表面下，中位数和前景簇方法均比单点稳定；背景占多数时，只有前景簇方法恢复了目标深度；少量飞点可被两种统计方法抑制。当前景遮挡形成像素数量可信的近处深度簇时，前景簇方法会把遮挡物作为目标，整体中位数反而更准确，这与4.6节所述局限一致。</w:t>
      </w:r>
    </w:p>
    <w:p w14:paraId="7E338AC1">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上述噪声参数用于构造非理想输入，并非D435实机标定所得。因此，该仿真比无噪声矩阵更接近实际数据形态，也更完整地展示了方法的适用条件，但仍不能作为真实相机的测距精度结论。后续需保存米制深度帧，并结合实测真值重复同样的比较。</w:t>
      </w:r>
    </w:p>
    <w:p w14:paraId="2C156E24">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22"/>
    <w:p w14:paraId="6DFF16E5">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23" w:name="综合讨论与系统局限"/>
      <w:r>
        <w:rPr>
          <w:rFonts w:ascii="Times New Roman" w:hAnsi="Times New Roman" w:eastAsia="黑体" w:cs="Times New Roman"/>
          <w:b/>
          <w:bCs/>
          <w:color w:val="000000"/>
          <w:sz w:val="21"/>
          <w:szCs w:val="28"/>
          <w:lang w:val="en-US" w:eastAsia="en-US" w:bidi="ar-SA"/>
        </w:rPr>
        <w:t>4.6 综合讨论与系统局限</w:t>
      </w:r>
    </w:p>
    <w:p w14:paraId="4D36E63D">
      <w:pPr>
        <w:keepNext/>
        <w:pageBreakBefore w:val="0"/>
        <w:widowControl/>
        <w:kinsoku/>
        <w:wordWrap/>
        <w:overflowPunct/>
        <w:topLinePunct w:val="0"/>
        <w:autoSpaceDE/>
        <w:autoSpaceDN/>
        <w:bidi w:val="0"/>
        <w:adjustRightInd/>
        <w:spacing w:line="240" w:lineRule="auto"/>
        <w:ind w:left="0" w:right="0" w:firstLine="0"/>
        <w:jc w:val="center"/>
        <w:textAlignment w:val="auto"/>
        <w:rPr>
          <w:rFonts w:ascii="Times New Roman" w:hAnsi="Times New Roman" w:eastAsia="宋体"/>
          <w:sz w:val="21"/>
          <w:szCs w:val="24"/>
          <w:lang w:eastAsia="en-US"/>
        </w:rPr>
      </w:pPr>
      <w:r>
        <w:rPr>
          <w:rFonts w:ascii="Times New Roman" w:hAnsi="Times New Roman" w:eastAsia="宋体"/>
          <w:sz w:val="21"/>
          <w:szCs w:val="24"/>
          <w:lang w:eastAsia="en-US"/>
        </w:rPr>
        <w:drawing>
          <wp:inline distT="0" distB="0" distL="0" distR="0">
            <wp:extent cx="5369560" cy="4739640"/>
            <wp:effectExtent l="0" t="0" r="2540" b="3810"/>
            <wp:docPr id="5" name="image5.png" descr="图4-3 实时界面与目标选择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descr="图4-3 实时界面与目标选择结果"/>
                    <pic:cNvPicPr>
                      <a:picLocks noChangeAspect="1"/>
                    </pic:cNvPicPr>
                  </pic:nvPicPr>
                  <pic:blipFill>
                    <a:blip r:embed="rId17"/>
                    <a:stretch>
                      <a:fillRect/>
                    </a:stretch>
                  </pic:blipFill>
                  <pic:spPr>
                    <a:xfrm>
                      <a:off x="0" y="0"/>
                      <a:ext cx="5369560" cy="4739640"/>
                    </a:xfrm>
                    <a:prstGeom prst="rect">
                      <a:avLst/>
                    </a:prstGeom>
                  </pic:spPr>
                </pic:pic>
              </a:graphicData>
            </a:graphic>
          </wp:inline>
        </w:drawing>
      </w:r>
    </w:p>
    <w:p w14:paraId="3EABB24B">
      <w:pPr>
        <w:keepNext/>
        <w:keepLines/>
        <w:pageBreakBefore w:val="0"/>
        <w:kinsoku/>
        <w:wordWrap/>
        <w:overflowPunct/>
        <w:topLinePunct w:val="0"/>
        <w:autoSpaceDE/>
        <w:autoSpaceDN/>
        <w:bidi w:val="0"/>
        <w:spacing w:before="0" w:beforeLines="0" w:after="0" w:line="240" w:lineRule="auto"/>
        <w:ind w:left="0" w:right="0" w:firstLine="0"/>
        <w:jc w:val="center"/>
        <w:rPr>
          <w:rFonts w:ascii="Times New Roman" w:hAnsi="Times New Roman" w:eastAsia="宋体" w:cs="Times New Roman"/>
          <w:sz w:val="21"/>
          <w:szCs w:val="24"/>
          <w:lang w:val="en-US" w:eastAsia="en-US" w:bidi="ar-SA"/>
        </w:rPr>
      </w:pPr>
      <w:r>
        <w:rPr>
          <w:rFonts w:ascii="Times New Roman" w:hAnsi="Times New Roman" w:eastAsia="宋体" w:cs="Times New Roman"/>
          <w:b w:val="0"/>
          <w:i w:val="0"/>
          <w:iCs/>
          <w:color w:val="000000"/>
          <w:sz w:val="21"/>
          <w:szCs w:val="24"/>
          <w:lang w:val="en-US" w:eastAsia="en-US" w:bidi="ar-SA"/>
        </w:rPr>
        <w:t>图4-3 实时界面与目标选择结果</w:t>
      </w:r>
    </w:p>
    <w:p w14:paraId="09943E7C">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图4-3表明系统已形成从彩色检测、对齐深度到稳定目标输出的完整流程。前景分簇降低了镂空目标测到背景的风险，记忆层缓冲短时遮挡和内部编号变化；语义模块只选择候选编号，距离与方向仍来自RGB-D测量。这种分工使目标选择不会修改测量值，也便于分别检查识别、测距和交互结果。</w:t>
      </w:r>
    </w:p>
    <w:p w14:paraId="2532315B">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当前尚未开展多距离、多角度真值试验，也没有带人工真值的视频集，因此定位误差、检测召回率和编号切换率仍未知。矩形框中央区域还可能被遮挡物占据，使近处簇对应遮挡物而非目标；反光、透明、深黑表面、强光和较远距离也会降低主动双目深度质量。</w:t>
      </w:r>
    </w:p>
    <w:p w14:paraId="2C5D9DA9">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目标记忆保存的是最后一次相机坐标，机器人明显移动后旧位置会失效；当前方法仅适合静止或低速时的短时补偿。四杆机构也仍处于设计阶段，装配误差、锁止可靠性和滚动冲击均需实物验证。因此，当前成果定位为目标感知与相对定位原型。</w:t>
      </w:r>
    </w:p>
    <w:p w14:paraId="421E631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17"/>
    <w:bookmarkEnd w:id="23"/>
    <w:p w14:paraId="67470895">
      <w:pPr>
        <w:keepNext/>
        <w:keepLines/>
        <w:pageBreakBefore w:val="0"/>
        <w:widowControl/>
        <w:kinsoku/>
        <w:wordWrap/>
        <w:overflowPunct/>
        <w:topLinePunct w:val="0"/>
        <w:autoSpaceDE/>
        <w:autoSpaceDN/>
        <w:bidi w:val="0"/>
        <w:adjustRightInd/>
        <w:snapToGrid/>
        <w:spacing w:before="219" w:beforeLines="50" w:after="219" w:afterLines="50" w:line="240" w:lineRule="auto"/>
        <w:ind w:left="0" w:right="0" w:firstLine="482" w:firstLineChars="200"/>
        <w:jc w:val="left"/>
        <w:textAlignment w:val="auto"/>
        <w:outlineLvl w:val="0"/>
        <w:rPr>
          <w:rFonts w:ascii="Calibri" w:hAnsi="Calibri" w:eastAsia="宋体" w:cs="Times New Roman"/>
          <w:b/>
          <w:bCs/>
          <w:color w:val="4F81BD"/>
          <w:sz w:val="32"/>
          <w:szCs w:val="32"/>
          <w:lang w:val="en-US" w:eastAsia="en-US" w:bidi="ar-SA"/>
        </w:rPr>
      </w:pPr>
      <w:bookmarkStart w:id="24" w:name="结论与展望"/>
      <w:r>
        <w:rPr>
          <w:rFonts w:ascii="Times New Roman" w:hAnsi="Times New Roman" w:eastAsia="黑体" w:cs="Times New Roman"/>
          <w:b/>
          <w:bCs/>
          <w:color w:val="000000"/>
          <w:sz w:val="24"/>
          <w:szCs w:val="32"/>
          <w:lang w:val="en-US" w:eastAsia="en-US" w:bidi="ar-SA"/>
        </w:rPr>
        <w:t>5 结论与展望</w:t>
      </w:r>
    </w:p>
    <w:p w14:paraId="1918B837">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25" w:name="研究结论"/>
      <w:r>
        <w:rPr>
          <w:rFonts w:ascii="Times New Roman" w:hAnsi="Times New Roman" w:eastAsia="黑体" w:cs="Times New Roman"/>
          <w:b/>
          <w:bCs/>
          <w:color w:val="000000"/>
          <w:sz w:val="21"/>
          <w:szCs w:val="28"/>
          <w:lang w:val="en-US" w:eastAsia="en-US" w:bidi="ar-SA"/>
        </w:rPr>
        <w:t>5.1 研究结论</w:t>
      </w:r>
    </w:p>
    <w:p w14:paraId="1C700531">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本文面向球形六足机器人展开或静止探测状态，完成了相机布置与相对定位原型设计。D435固定在内侧支架上，单自由度四杆机构驱动顶盖开合；探测时顶盖打开，滚动前闭合并恢复球形外轮廓。该方案明确了相机、翻盖和内部结构的布置关系，但目前仍处于计算机辅助设计阶段。</w:t>
      </w:r>
    </w:p>
    <w:p w14:paraId="65D1FCA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视觉系统形成了RGB-D采集、深度对齐与滤波、目标检测跟踪、稳健取深、三维反投影、目标记忆和目标选择流程。YOLO26m与BoT-SORT获得目标轨迹，可信前景簇、中位数和MAD用于提取深度，相机内参用于计算三维坐标、水平距离和方向角；指数平滑、不同记忆时限及编号重绑定共同缓冲位置抖动、漏检和短时遮挡。</w:t>
      </w:r>
    </w:p>
    <w:p w14:paraId="6842405F">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D435实机诊断得到</w:t>
      </w:r>
      <m:oMath>
        <m:r>
          <m:rPr/>
          <m:t>640</m:t>
        </m:r>
        <m:r>
          <m:rPr>
            <m:sty m:val="p"/>
          </m:rPr>
          <m:t>×</m:t>
        </m:r>
        <m:r>
          <m:rPr/>
          <m:t>480</m:t>
        </m:r>
      </m:oMath>
      <w:r>
        <w:rPr>
          <w:rFonts w:ascii="Times New Roman" w:hAnsi="Times New Roman" w:eastAsia="宋体" w:cs="Times New Roman"/>
          <w:color w:val="000000"/>
          <w:sz w:val="21"/>
          <w:szCs w:val="24"/>
          <w:lang w:val="en-US" w:eastAsia="en-US" w:bidi="ar-SA"/>
        </w:rPr>
        <w:t>对齐深度和99.8%的当次有效覆盖率；标准图测试识别出4个person和1个bus，模型与跟踪约为49.1 FPS，完整链路达到17.52 FPS。mouse #164遮挡后仍恢复原编号，49项功能测试覆盖了深度处理、坐标计算、目标选择、记忆、编号复用和显示等主要逻辑。上述结果表明，系统已形成可实时运行的局部感知链路。</w:t>
      </w:r>
    </w:p>
    <w:p w14:paraId="05FECDE8">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带噪仿真比较了中心单点、框内中位数和可信前景簇＋MAD。单点容易受无效像素和飞点影响，整体中位数在镂空目标中可能返回背景距离；可信前景簇能改善这两类情况，但会把具有足够像素的近处遮挡物作为目标。仿真说明了方法的适用条件，不能代替实机精度实验。</w:t>
      </w:r>
    </w:p>
    <w:p w14:paraId="478D31B5">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当前系统能够输出相机坐标系中的目标类别、稳定编号、可见状态、三维位置、距离和方向，可作为局部感知前端，可适用于展开或低速状态下的相对定位和短时目标保持，暂不包含世界坐标建图与自主导航。</w:t>
      </w:r>
    </w:p>
    <w:p w14:paraId="234FEDFA">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25"/>
    <w:p w14:paraId="2F3AAAA6">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1"/>
        <w:rPr>
          <w:rFonts w:ascii="Calibri" w:hAnsi="Calibri" w:eastAsia="宋体" w:cs="Times New Roman"/>
          <w:b/>
          <w:bCs/>
          <w:color w:val="4F81BD"/>
          <w:sz w:val="28"/>
          <w:szCs w:val="28"/>
          <w:lang w:val="en-US" w:eastAsia="en-US" w:bidi="ar-SA"/>
        </w:rPr>
      </w:pPr>
      <w:bookmarkStart w:id="26" w:name="工作展望"/>
      <w:r>
        <w:rPr>
          <w:rFonts w:ascii="Times New Roman" w:hAnsi="Times New Roman" w:eastAsia="黑体" w:cs="Times New Roman"/>
          <w:b/>
          <w:bCs/>
          <w:color w:val="000000"/>
          <w:sz w:val="21"/>
          <w:szCs w:val="28"/>
          <w:lang w:val="en-US" w:eastAsia="en-US" w:bidi="ar-SA"/>
        </w:rPr>
        <w:t>5.2 工作展望</w:t>
      </w:r>
    </w:p>
    <w:p w14:paraId="34313A16">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2"/>
        <w:rPr>
          <w:rFonts w:ascii="Calibri" w:hAnsi="Calibri" w:eastAsia="宋体" w:cs="Times New Roman"/>
          <w:b/>
          <w:bCs/>
          <w:color w:val="4F81BD"/>
          <w:sz w:val="24"/>
          <w:szCs w:val="24"/>
          <w:lang w:val="en-US" w:eastAsia="en-US" w:bidi="ar-SA"/>
        </w:rPr>
      </w:pPr>
      <w:bookmarkStart w:id="27" w:name="机构样机与标定验证"/>
      <w:r>
        <w:rPr>
          <w:rFonts w:ascii="Times New Roman" w:hAnsi="Times New Roman" w:eastAsia="黑体" w:cs="Times New Roman"/>
          <w:b/>
          <w:bCs/>
          <w:color w:val="000000"/>
          <w:sz w:val="21"/>
          <w:szCs w:val="24"/>
          <w:lang w:val="en-US" w:eastAsia="en-US" w:bidi="ar-SA"/>
        </w:rPr>
        <w:t>5.2.1 机构样机与标定验证</w:t>
      </w:r>
    </w:p>
    <w:p w14:paraId="5B0DB306">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近期可用3D打印制作顶盖、连杆、铰接件和相机支架，通过试装修正配合间隙、开合极限和线缆布置，并增加限位、锁止和状态反馈。随后开展反复开合、振动及滚动冲击试验，记录开启角、有效视场、关键间隙、支架位移和线缆磨损。同时标定相机到机器人本体的刚体变换，并在试验后复测外参。机构验收应满足开合无干涉、闭合可靠和外参变化可控，确认机械状态稳定后再开展整机感知试验。</w:t>
      </w:r>
    </w:p>
    <w:bookmarkEnd w:id="27"/>
    <w:p w14:paraId="587C51C8">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2"/>
        <w:rPr>
          <w:rFonts w:ascii="Calibri" w:hAnsi="Calibri" w:eastAsia="宋体" w:cs="Times New Roman"/>
          <w:b/>
          <w:bCs/>
          <w:color w:val="4F81BD"/>
          <w:sz w:val="24"/>
          <w:szCs w:val="24"/>
          <w:lang w:val="en-US" w:eastAsia="en-US" w:bidi="ar-SA"/>
        </w:rPr>
      </w:pPr>
      <w:bookmarkStart w:id="28" w:name="定位精度与遮挡统计"/>
      <w:r>
        <w:rPr>
          <w:rFonts w:ascii="Times New Roman" w:hAnsi="Times New Roman" w:eastAsia="黑体" w:cs="Times New Roman"/>
          <w:b/>
          <w:bCs/>
          <w:color w:val="000000"/>
          <w:sz w:val="21"/>
          <w:szCs w:val="24"/>
          <w:lang w:val="en-US" w:eastAsia="en-US" w:bidi="ar-SA"/>
        </w:rPr>
        <w:t>5.2.2 定位精度与遮挡统计</w:t>
      </w:r>
    </w:p>
    <w:p w14:paraId="0063BEB3">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sz w:val="21"/>
          <w:szCs w:val="24"/>
          <w:lang w:val="en-US" w:eastAsia="en-US" w:bidi="ar-SA"/>
        </w:rPr>
      </w:pPr>
      <w:r>
        <w:rPr>
          <w:rFonts w:ascii="Times New Roman" w:hAnsi="Times New Roman" w:eastAsia="宋体" w:cs="Times New Roman"/>
          <w:color w:val="000000"/>
          <w:sz w:val="21"/>
          <w:szCs w:val="24"/>
          <w:lang w:val="en-US" w:eastAsia="en-US" w:bidi="ar-SA"/>
        </w:rPr>
        <w:t>视觉部分应在不同距离和方位布置位置已知的目标，重复统计深度、水平距离和方向角的平均绝对误差、均方根误差与有效测量比例，并覆盖深色、反光、透明、镂空物体及不同光照。实验应同步保存彩色图、米制深度和真值，便于复核横向比较。遮挡视频集还应包含同类目标靠近、交叉和移动遮挡，统计漏检时长、编号切换及重绑定正确率。评价时分别记录检测、深度和关联失败；若同类交叉仍易误绑定，可加入外观重识别，对不规则目标则可比较实例分割与矩形框取深。</w:t>
      </w:r>
    </w:p>
    <w:bookmarkEnd w:id="28"/>
    <w:p w14:paraId="32A8B600">
      <w:pPr>
        <w:keepNext/>
        <w:keepLines/>
        <w:pageBreakBefore w:val="0"/>
        <w:kinsoku/>
        <w:wordWrap/>
        <w:overflowPunct/>
        <w:topLinePunct w:val="0"/>
        <w:autoSpaceDE/>
        <w:autoSpaceDN/>
        <w:bidi w:val="0"/>
        <w:spacing w:before="0" w:beforeLines="0" w:after="0" w:line="240" w:lineRule="auto"/>
        <w:ind w:left="0" w:right="0" w:firstLine="422" w:firstLineChars="200"/>
        <w:jc w:val="left"/>
        <w:outlineLvl w:val="2"/>
        <w:rPr>
          <w:rFonts w:ascii="Calibri" w:hAnsi="Calibri" w:eastAsia="宋体" w:cs="Times New Roman"/>
          <w:b/>
          <w:bCs/>
          <w:color w:val="4F81BD"/>
          <w:sz w:val="24"/>
          <w:szCs w:val="24"/>
          <w:lang w:val="en-US" w:eastAsia="en-US" w:bidi="ar-SA"/>
        </w:rPr>
      </w:pPr>
      <w:bookmarkStart w:id="29" w:name="机器人接口与语义地图"/>
      <w:r>
        <w:rPr>
          <w:rFonts w:ascii="Times New Roman" w:hAnsi="Times New Roman" w:eastAsia="黑体" w:cs="Times New Roman"/>
          <w:b/>
          <w:bCs/>
          <w:color w:val="000000"/>
          <w:sz w:val="21"/>
          <w:szCs w:val="24"/>
          <w:lang w:val="en-US" w:eastAsia="en-US" w:bidi="ar-SA"/>
        </w:rPr>
        <w:t>5.2.3 机器人接口与语义地图</w:t>
      </w:r>
    </w:p>
    <w:p w14:paraId="21E2EA25">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r>
        <w:rPr>
          <w:rFonts w:ascii="Times New Roman" w:hAnsi="Times New Roman" w:eastAsia="宋体" w:cs="Times New Roman"/>
          <w:color w:val="000000"/>
          <w:sz w:val="21"/>
          <w:szCs w:val="24"/>
          <w:lang w:val="en-US" w:eastAsia="en-US" w:bidi="ar-SA"/>
        </w:rPr>
        <w:t>感知程序可整理为周期节点，统一发布时间戳、坐标系、目标编号、可见状态、三维位置、方向和深度年龄，并以空状态和超时机制反映感知是否正常。随后结合相机外参与RGB-D视觉里程计或SLAM，将不同视角的目标转换到局部固定坐标系，利用空间关联和回环约束融合重复观测，形成包含类别、平面位置和高度的二维语义地图。地图需保存观测时间和置信度，并通过重复旋转试验评价位置偏差、重复条目和首尾对齐误差。系统可按静止定位、原地建图、低速更新和简单绕障的顺序验证，达到稳定性要求后再接入安全停靠点、路径规划和底盘闭环。</w:t>
      </w:r>
    </w:p>
    <w:p w14:paraId="3B0F677B">
      <w:pPr>
        <w:pageBreakBefore w:val="0"/>
        <w:kinsoku/>
        <w:wordWrap/>
        <w:overflowPunct/>
        <w:topLinePunct w:val="0"/>
        <w:autoSpaceDE/>
        <w:autoSpaceDN/>
        <w:bidi w:val="0"/>
        <w:spacing w:before="0" w:beforeLines="0" w:after="0" w:line="240" w:lineRule="auto"/>
        <w:ind w:left="0" w:right="0" w:firstLine="420" w:firstLineChars="200"/>
        <w:jc w:val="both"/>
        <w:rPr>
          <w:rFonts w:ascii="Times New Roman" w:hAnsi="Times New Roman" w:eastAsia="宋体" w:cs="Times New Roman"/>
          <w:color w:val="000000"/>
          <w:sz w:val="21"/>
          <w:szCs w:val="24"/>
          <w:lang w:val="en-US" w:eastAsia="en-US" w:bidi="ar-SA"/>
        </w:rPr>
      </w:pPr>
    </w:p>
    <w:bookmarkEnd w:id="24"/>
    <w:bookmarkEnd w:id="26"/>
    <w:bookmarkEnd w:id="29"/>
    <w:p w14:paraId="34B8AFE7">
      <w:pPr>
        <w:keepNext/>
        <w:keepLines/>
        <w:pageBreakBefore w:val="0"/>
        <w:kinsoku/>
        <w:wordWrap/>
        <w:overflowPunct/>
        <w:topLinePunct w:val="0"/>
        <w:autoSpaceDE/>
        <w:autoSpaceDN/>
        <w:bidi w:val="0"/>
        <w:spacing w:before="0" w:beforeLines="0" w:after="0" w:line="240" w:lineRule="auto"/>
        <w:ind w:left="0" w:right="0" w:firstLine="0"/>
        <w:jc w:val="left"/>
        <w:outlineLvl w:val="0"/>
        <w:rPr>
          <w:rFonts w:ascii="Calibri" w:hAnsi="Calibri" w:eastAsia="宋体" w:cs="Times New Roman"/>
          <w:b/>
          <w:bCs/>
          <w:color w:val="4F81BD"/>
          <w:sz w:val="32"/>
          <w:szCs w:val="32"/>
          <w:lang w:val="en-US" w:eastAsia="en-US" w:bidi="ar-SA"/>
        </w:rPr>
      </w:pPr>
      <w:bookmarkStart w:id="30" w:name="参考文献"/>
      <w:r>
        <w:rPr>
          <w:rFonts w:ascii="Times New Roman" w:hAnsi="Times New Roman" w:eastAsia="黑体" w:cs="Times New Roman"/>
          <w:b/>
          <w:bCs/>
          <w:color w:val="000000"/>
          <w:sz w:val="24"/>
          <w:szCs w:val="32"/>
          <w:lang w:val="en-US" w:eastAsia="en-US" w:bidi="ar-SA"/>
        </w:rPr>
        <w:t>参考文献</w:t>
      </w:r>
    </w:p>
    <w:p w14:paraId="37B7C731">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[1] Kitani K. M., Horita K., Koike H., BallCam!: Dynamic View Synthesis from Spinning Cameras, In Proceedings of the 25th Annual ACM Symposium on User Interface Software and Technology Adjunct, New York, ACM, 2012, 87–88</w:t>
      </w:r>
    </w:p>
    <w:p w14:paraId="0A4E673E">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[2] Keselman L., Woodfill J. I., Grunnet-Jepsen A., Bhowmik A., Intel RealSense Stereoscopic Depth Cameras, In 2017 IEEE Conference on Computer Vision and Pattern Recognition Workshops, Honolulu, IEEE, 2017, 1267–1276</w:t>
      </w:r>
    </w:p>
    <w:p w14:paraId="452356BF">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[3] Redmon J., Divvala S., Girshick R., Farhadi A., You Only Look Once: Unified, Real-Time Object Detection, In 2016 IEEE Conference on Computer Vision and Pattern Recognition, Las Vegas, IEEE, 2016, 779–788</w:t>
      </w:r>
    </w:p>
    <w:p w14:paraId="14EFCC88">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[4] Lin T.-Y., Maire M., Belongie S., Hays J., Perona P., Ramanan D., Dollár P., Zitnick C. L., Microsoft COCO: Common Objects in Context, In Fleet D., Pajdla T., Schiele B., Tuytelaars T. (eds), Computer Vision—ECCV 2014, Cham, Springer, 2014, 740–755</w:t>
      </w:r>
    </w:p>
    <w:p w14:paraId="167D9AC5">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[5] Aharon N., Orfaig R., Bobrovsky B. Z., BoT-SORT: Robust Associations Multi-Pedestrian Tracking, arXiv preprint arXiv:2206.14651, 2022</w:t>
      </w:r>
    </w:p>
    <w:p w14:paraId="55353381">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[6] Hampel F. R., The Influence Curve and Its Role in Robust Estimation, Journal of the American Statistical Association, 1974, 69(346), 383–393</w:t>
      </w:r>
    </w:p>
    <w:p w14:paraId="330B095F">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[7] 高翔，张涛，刘毅，视觉SLAM十四讲：从理论到实践，第2版，北京，电子工业出版社，2019</w:t>
      </w:r>
    </w:p>
    <w:p w14:paraId="11BD59FD">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sz w:val="21"/>
          <w:szCs w:val="24"/>
          <w:lang w:val="en-US" w:eastAsia="en-US" w:bidi="ar-SA"/>
        </w:rPr>
      </w:pPr>
      <w:r>
        <w:rPr>
          <w:rFonts w:ascii="Times New Roman" w:hAnsi="Times New Roman" w:eastAsia="宋体" w:cs="Times New Roman"/>
          <w:b w:val="0"/>
          <w:color w:val="000000"/>
          <w:sz w:val="21"/>
          <w:szCs w:val="24"/>
          <w:lang w:val="en-US" w:eastAsia="en-US" w:bidi="ar-SA"/>
        </w:rPr>
        <w:t>[8] Campos C., Elvira R., Gómez Rodríguez J. J., Montiel J. M. M., Tardós J. D., ORB-SLAM3: An Accurate Open-Source Library for Visual, Visual–Inertial, and Multimap SLAM, IEEE Transactions on Robotics, 2021, 37(6), 1874–1890</w:t>
      </w:r>
    </w:p>
    <w:p w14:paraId="41E1F3AB">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b w:val="0"/>
          <w:color w:val="000000"/>
          <w:sz w:val="21"/>
          <w:szCs w:val="24"/>
          <w:lang w:val="en-US" w:eastAsia="en-US" w:bidi="ar-SA"/>
        </w:rPr>
      </w:pPr>
      <w:r>
        <w:rPr>
          <w:rFonts w:ascii="Times New Roman" w:hAnsi="Times New Roman" w:eastAsia="宋体" w:cs="Times New Roman"/>
          <w:b w:val="0"/>
          <w:color w:val="000000"/>
          <w:sz w:val="21"/>
          <w:szCs w:val="24"/>
          <w:lang w:val="en-US" w:eastAsia="en-US" w:bidi="ar-SA"/>
        </w:rPr>
        <w:t>[9] Labbé M., Michaud F., RTAB-Map as an Open-Source Lidar and Visual SLAM Library for Large-Scale and Long-Term Online Operation, Journal of Field Robotics, 2019, 36(2), 416–446</w:t>
      </w:r>
    </w:p>
    <w:p w14:paraId="36AADA5D">
      <w:pPr>
        <w:pageBreakBefore w:val="0"/>
        <w:kinsoku/>
        <w:wordWrap/>
        <w:overflowPunct/>
        <w:topLinePunct w:val="0"/>
        <w:autoSpaceDE/>
        <w:autoSpaceDN/>
        <w:bidi w:val="0"/>
        <w:spacing w:before="0" w:beforeLines="0" w:after="0" w:line="240" w:lineRule="auto"/>
        <w:ind w:left="0" w:right="0" w:firstLine="0"/>
        <w:jc w:val="left"/>
        <w:rPr>
          <w:rFonts w:ascii="Times New Roman" w:hAnsi="Times New Roman" w:eastAsia="宋体" w:cs="Times New Roman"/>
          <w:b w:val="0"/>
          <w:color w:val="000000"/>
          <w:sz w:val="21"/>
          <w:szCs w:val="24"/>
          <w:lang w:val="en-US" w:eastAsia="en-US" w:bidi="ar-SA"/>
        </w:rPr>
      </w:pPr>
    </w:p>
    <w:bookmarkEnd w:id="30"/>
    <w:p w14:paraId="51B1BB66">
      <w:pPr>
        <w:keepNext/>
        <w:keepLines/>
        <w:pageBreakBefore w:val="0"/>
        <w:kinsoku/>
        <w:wordWrap/>
        <w:overflowPunct/>
        <w:topLinePunct w:val="0"/>
        <w:autoSpaceDE/>
        <w:autoSpaceDN/>
        <w:bidi w:val="0"/>
        <w:spacing w:before="0" w:beforeLines="0" w:after="0" w:line="240" w:lineRule="auto"/>
        <w:ind w:left="0" w:right="0" w:firstLine="0"/>
        <w:jc w:val="left"/>
        <w:outlineLvl w:val="0"/>
        <w:rPr>
          <w:rFonts w:ascii="Calibri" w:hAnsi="Calibri" w:eastAsia="宋体" w:cs="Times New Roman"/>
          <w:b/>
          <w:bCs/>
          <w:color w:val="4F81BD"/>
          <w:sz w:val="32"/>
          <w:szCs w:val="32"/>
          <w:lang w:val="en-US" w:eastAsia="en-US" w:bidi="ar-SA"/>
        </w:rPr>
      </w:pPr>
      <w:bookmarkStart w:id="31" w:name="谢辞"/>
      <w:r>
        <w:rPr>
          <w:rFonts w:ascii="Times New Roman" w:hAnsi="Times New Roman" w:eastAsia="黑体" w:cs="Times New Roman"/>
          <w:b/>
          <w:bCs/>
          <w:color w:val="000000"/>
          <w:sz w:val="24"/>
          <w:szCs w:val="32"/>
          <w:lang w:val="en-US" w:eastAsia="en-US" w:bidi="ar-SA"/>
        </w:rPr>
        <w:t>谢辞</w:t>
      </w:r>
    </w:p>
    <w:bookmarkEnd w:id="31"/>
    <w:p w14:paraId="39A674E3">
      <w:pPr>
        <w:pStyle w:val="7"/>
        <w:pageBreakBefore w:val="0"/>
        <w:kinsoku/>
        <w:wordWrap/>
        <w:overflowPunct/>
        <w:topLinePunct w:val="0"/>
        <w:autoSpaceDE/>
        <w:autoSpaceDN/>
        <w:bidi w:val="0"/>
        <w:snapToGrid w:val="0"/>
        <w:spacing w:before="0" w:beforeAutospacing="0" w:after="0" w:afterAutospacing="0" w:line="240" w:lineRule="auto"/>
        <w:ind w:left="0" w:firstLine="425" w:firstLineChars="0"/>
        <w:jc w:val="both"/>
        <w:rPr>
          <w:rFonts w:hint="eastAsia"/>
        </w:rPr>
      </w:pPr>
      <w:r>
        <w:rPr>
          <w:rFonts w:hint="eastAsia" w:ascii="Times New Roman" w:hAnsi="Times New Roman" w:eastAsia="宋体" w:cs="Times New Roman"/>
          <w:color w:val="000000"/>
          <w:sz w:val="21"/>
          <w:szCs w:val="24"/>
          <w:lang w:val="en-US" w:eastAsia="en-US" w:bidi="ar-SA"/>
        </w:rPr>
        <w:t>感谢指导教师在课题选题、机构方案设计、视觉感知方法和论文撰写过程中给予的耐心指导。通过本课题，我进一步掌握了RGB-D数据采集与对齐、目标检测与跟踪、稳健深度提取、三维坐标计算和系统测试方法，并对机械结构、传感器特性与感知算法之间的关系有了更深入的认识。感谢老师和</w:t>
      </w:r>
      <w:r>
        <w:rPr>
          <w:rFonts w:hint="eastAsia" w:ascii="Times New Roman" w:hAnsi="Times New Roman" w:cs="Times New Roman"/>
          <w:color w:val="000000"/>
          <w:sz w:val="21"/>
          <w:szCs w:val="24"/>
          <w:lang w:val="en-US" w:eastAsia="zh-CN" w:bidi="ar-SA"/>
        </w:rPr>
        <w:t>小组</w:t>
      </w:r>
      <w:r>
        <w:rPr>
          <w:rFonts w:hint="eastAsia" w:ascii="Times New Roman" w:hAnsi="Times New Roman" w:eastAsia="宋体" w:cs="Times New Roman"/>
          <w:color w:val="000000"/>
          <w:sz w:val="21"/>
          <w:szCs w:val="24"/>
          <w:lang w:val="en-US" w:eastAsia="en-US" w:bidi="ar-SA"/>
        </w:rPr>
        <w:t>同学在设备使用、方案讨论和实验准备方面提供的帮助。在此向所有给予指导和支持的老师与同学表示诚挚的感谢。</w:t>
      </w:r>
    </w:p>
    <w:sectPr>
      <w:headerReference r:id="rId8" w:type="default"/>
      <w:footerReference r:id="rId9" w:type="default"/>
      <w:pgSz w:w="11907" w:h="16840"/>
      <w:pgMar w:top="1814" w:right="1417" w:bottom="1440" w:left="1417" w:header="850" w:footer="992" w:gutter="0"/>
      <w:cols w:space="0" w:num="1"/>
      <w:rtlGutter w:val="0"/>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楷体_GB2312">
    <w:altName w:val="楷体"/>
    <w:panose1 w:val="02010609030101010101"/>
    <w:charset w:val="00"/>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w:altName w:val="宋体"/>
    <w:panose1 w:val="02040503050406030204"/>
    <w:charset w:val="86"/>
    <w:family w:val="auto"/>
    <w:pitch w:val="default"/>
    <w:sig w:usb0="00000000" w:usb1="00000000" w:usb2="00000000" w:usb3="00000000" w:csb0="00000001" w:csb1="00000000"/>
  </w:font>
  <w:font w:name="Cambria">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DejaVu Math TeX Gyre">
    <w:panose1 w:val="02000503000000000000"/>
    <w:charset w:val="00"/>
    <w:family w:val="auto"/>
    <w:pitch w:val="default"/>
    <w:sig w:usb0="A10000EF" w:usb1="4A00F9EE" w:usb2="02000008" w:usb3="00000000" w:csb0="60000193" w:csb1="0DD40000"/>
  </w:font>
  <w:font w:name="文泉驿正黑">
    <w:panose1 w:val="02000603000000000000"/>
    <w:charset w:val="86"/>
    <w:family w:val="auto"/>
    <w:pitch w:val="default"/>
    <w:sig w:usb0="900002BF" w:usb1="2BDF7DFB" w:usb2="00000036" w:usb3="00000000" w:csb0="603E000D" w:csb1="D2D70000"/>
  </w:font>
  <w:font w:name="Cambria Math">
    <w:altName w:val="DejaVu Math TeX Gyre"/>
    <w:panose1 w:val="00000000000000000000"/>
    <w:charset w:val="00"/>
    <w:family w:val="auto"/>
    <w:pitch w:val="default"/>
    <w:sig w:usb0="00000000" w:usb1="00000000" w:usb2="00000000" w:usb3="00000000" w:csb0="00000000" w:csb1="00000000"/>
  </w:font>
  <w:font w:name="MS Mincho">
    <w:altName w:val="Gubb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3BDE9B">
    <w:pPr>
      <w:pStyle w:val="11"/>
      <w:jc w:val="center"/>
    </w:pPr>
    <w:r>
      <w:rPr>
        <w:lang w:val="zh-CN"/>
      </w:rPr>
      <w:t xml:space="preserve"> </w:t>
    </w:r>
  </w:p>
  <w:p w14:paraId="1F2A4BBF">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0D9C">
    <w:pPr>
      <w:pStyle w:val="11"/>
      <w:framePr w:wrap="around" w:vAnchor="text" w:hAnchor="margin" w:xAlign="right" w:y="1"/>
      <w:rPr>
        <w:rStyle w:val="17"/>
      </w:rPr>
    </w:pPr>
    <w:r>
      <w:rPr>
        <w:rStyle w:val="17"/>
      </w:rPr>
      <w:fldChar w:fldCharType="begin"/>
    </w:r>
    <w:r>
      <w:rPr>
        <w:rStyle w:val="17"/>
      </w:rPr>
      <w:instrText xml:space="preserve">PAGE  </w:instrText>
    </w:r>
    <w:r>
      <w:rPr>
        <w:rStyle w:val="17"/>
      </w:rPr>
      <w:fldChar w:fldCharType="end"/>
    </w:r>
  </w:p>
  <w:p w14:paraId="7EB1E5D2">
    <w:pPr>
      <w:pStyle w:val="11"/>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CB41F4">
    <w:pPr>
      <w:pStyle w:val="11"/>
      <w:jc w:val="center"/>
    </w:pPr>
    <w:r>
      <w:rPr>
        <w:lang w:val="zh-CN"/>
      </w:rPr>
      <w:t xml:space="preserve"> </w:t>
    </w:r>
  </w:p>
  <w:p w14:paraId="43E0FC4D">
    <w:pPr>
      <w:pStyle w:val="11"/>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2E9D1">
    <w:r>
      <w:drawing>
        <wp:anchor distT="0" distB="0" distL="114300" distR="114300" simplePos="0" relativeHeight="251659264" behindDoc="1" locked="0" layoutInCell="1" allowOverlap="1">
          <wp:simplePos x="0" y="0"/>
          <wp:positionH relativeFrom="column">
            <wp:posOffset>523875</wp:posOffset>
          </wp:positionH>
          <wp:positionV relativeFrom="paragraph">
            <wp:posOffset>3648075</wp:posOffset>
          </wp:positionV>
          <wp:extent cx="4581525" cy="4581525"/>
          <wp:effectExtent l="0" t="0" r="0" b="0"/>
          <wp:wrapNone/>
          <wp:docPr id="1" name="图片 13" descr="clip_image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3" descr="clip_image002"/>
                  <pic:cNvPicPr>
                    <a:picLocks noChangeAspect="1"/>
                  </pic:cNvPicPr>
                </pic:nvPicPr>
                <pic:blipFill>
                  <a:blip r:embed="rId1">
                    <a:lum bright="39999"/>
                  </a:blip>
                  <a:stretch>
                    <a:fillRect/>
                  </a:stretch>
                </pic:blipFill>
                <pic:spPr>
                  <a:xfrm>
                    <a:off x="0" y="0"/>
                    <a:ext cx="4581525" cy="4581525"/>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5807EE">
    <w:pPr>
      <w:pStyle w:val="12"/>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0"/>
  <w:bordersDoNotSurroundFooter w:val="0"/>
  <w:documentProtection w:enforcement="0"/>
  <w:defaultTabStop w:val="425"/>
  <w:hyphenationZone w:val="360"/>
  <w:drawingGridHorizontalSpacing w:val="160"/>
  <w:drawingGridVerticalSpacing w:val="435"/>
  <w:displayHorizontalDrawingGridEvery w:val="1"/>
  <w:displayVerticalDrawingGridEvery w:val="1"/>
  <w:noPunctuationKerning w:val="1"/>
  <w:characterSpacingControl w:val="compressPunctuation"/>
  <w:noLineBreaksAfter w:lang="zh-CN" w:val="([{·‘“〈《「『【〔〖（．［｛"/>
  <w:noLineBreaksBefore w:lang="zh-CN" w:val="!),.:;?]}¨·ˇˉ—‖’”…∶、。〃々〉》」』】〕〗！＂＇），．：；？］｀｜｝～"/>
  <w:footnotePr>
    <w:footnote w:id="0"/>
    <w:footnote w:id="1"/>
  </w:footnotePr>
  <w:endnotePr>
    <w:endnote w:id="0"/>
    <w:endnote w:id="1"/>
  </w:endnotePr>
  <w:compat>
    <w:spaceForUL/>
    <w:balanceSingleByteDoubleByteWidth/>
    <w:doNotLeaveBackslashAlone/>
    <w:ulTrailSpace/>
    <w:doNotExpandShiftReturn/>
    <w:doNotBreakWrappedTables/>
    <w:doNotWrapTextWithPunct/>
    <w:doNotUseEastAsianBreakRules/>
    <w:useFELayout/>
    <w:useAltKinsokuLineBreakRules/>
    <w:underlineTabInNumLis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0F37"/>
    <w:rsid w:val="000064F0"/>
    <w:rsid w:val="000118E5"/>
    <w:rsid w:val="00037402"/>
    <w:rsid w:val="000C35C0"/>
    <w:rsid w:val="00173DC2"/>
    <w:rsid w:val="001B686A"/>
    <w:rsid w:val="00202614"/>
    <w:rsid w:val="002566FB"/>
    <w:rsid w:val="00265F8F"/>
    <w:rsid w:val="002F67B4"/>
    <w:rsid w:val="00312F78"/>
    <w:rsid w:val="00334AE9"/>
    <w:rsid w:val="003435C9"/>
    <w:rsid w:val="00367C75"/>
    <w:rsid w:val="003A628B"/>
    <w:rsid w:val="003E4C84"/>
    <w:rsid w:val="00455C38"/>
    <w:rsid w:val="00473A14"/>
    <w:rsid w:val="004B124E"/>
    <w:rsid w:val="004D2E40"/>
    <w:rsid w:val="005C264B"/>
    <w:rsid w:val="00605586"/>
    <w:rsid w:val="0060720F"/>
    <w:rsid w:val="006604E5"/>
    <w:rsid w:val="006A4E98"/>
    <w:rsid w:val="006C0C1A"/>
    <w:rsid w:val="00705667"/>
    <w:rsid w:val="007533CB"/>
    <w:rsid w:val="007805D4"/>
    <w:rsid w:val="007D7C38"/>
    <w:rsid w:val="00812A38"/>
    <w:rsid w:val="008F31EC"/>
    <w:rsid w:val="009E5FC4"/>
    <w:rsid w:val="00A066E0"/>
    <w:rsid w:val="00A06F60"/>
    <w:rsid w:val="00A12734"/>
    <w:rsid w:val="00A23FFB"/>
    <w:rsid w:val="00A30686"/>
    <w:rsid w:val="00A43E1D"/>
    <w:rsid w:val="00BA38E6"/>
    <w:rsid w:val="00BB6A8D"/>
    <w:rsid w:val="00BF6DC3"/>
    <w:rsid w:val="00C40F37"/>
    <w:rsid w:val="00C737B3"/>
    <w:rsid w:val="00C928E2"/>
    <w:rsid w:val="00CA61E5"/>
    <w:rsid w:val="00CB0E32"/>
    <w:rsid w:val="00CC0CAB"/>
    <w:rsid w:val="00DF7277"/>
    <w:rsid w:val="00EB3302"/>
    <w:rsid w:val="00EF2CAE"/>
    <w:rsid w:val="00F94F9D"/>
    <w:rsid w:val="1735EB3B"/>
    <w:rsid w:val="1FF70CCF"/>
    <w:rsid w:val="3FFB856D"/>
    <w:rsid w:val="51AF8608"/>
    <w:rsid w:val="5F72A51E"/>
    <w:rsid w:val="5F7F834E"/>
    <w:rsid w:val="6E3E657E"/>
    <w:rsid w:val="6FFFF0F5"/>
    <w:rsid w:val="737E88B9"/>
    <w:rsid w:val="761F9D18"/>
    <w:rsid w:val="77F74080"/>
    <w:rsid w:val="7FFF5AFB"/>
    <w:rsid w:val="8BFFB77D"/>
    <w:rsid w:val="ACF4C4D2"/>
    <w:rsid w:val="BFFB21F3"/>
    <w:rsid w:val="E0DBA4FE"/>
    <w:rsid w:val="EBFED667"/>
    <w:rsid w:val="F399813A"/>
    <w:rsid w:val="F6E502F1"/>
    <w:rsid w:val="F78BD09D"/>
    <w:rsid w:val="F7E61F21"/>
    <w:rsid w:val="FBCBDBCC"/>
    <w:rsid w:val="FD7D4BD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qFormat="1" w:unhideWhenUsed="0" w:uiPriority="0" w:semiHidden="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name="Date"/>
    <w:lsdException w:uiPriority="99" w:name="Body Text First Indent"/>
    <w:lsdException w:uiPriority="99" w:name="Body Text First Indent 2"/>
    <w:lsdException w:uiPriority="99" w:name="Note Heading"/>
    <w:lsdException w:uiPriority="99" w:name="Body Text 2"/>
    <w:lsdException w:uiPriority="99" w:name="Body Text 3"/>
    <w:lsdException w:unhideWhenUsed="0" w:uiPriority="0" w:name="Body Text Indent 2"/>
    <w:lsdException w:unhideWhenUsed="0" w:uiPriority="0"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name="Plain Text"/>
    <w:lsdException w:uiPriority="99" w:name="E-mail Signature"/>
    <w:lsdException w:unhideWhenUsed="0"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312" w:lineRule="atLeast"/>
      <w:jc w:val="both"/>
      <w:textAlignment w:val="baseline"/>
    </w:pPr>
    <w:rPr>
      <w:rFonts w:ascii="Arial" w:hAnsi="Arial" w:eastAsia="楷体_GB2312" w:cs="Times New Roman"/>
      <w:sz w:val="32"/>
      <w:lang w:val="en-US" w:eastAsia="zh-CN"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14:textFill>
        <w14:solidFill>
          <w14:schemeClr w14:val="accent1"/>
        </w14:solidFill>
      </w14:textFill>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14:textFill>
        <w14:solidFill>
          <w14:schemeClr w14:val="accent1"/>
        </w14:solidFill>
      </w14:textFill>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14:textFill>
        <w14:solidFill>
          <w14:schemeClr w14:val="accent1"/>
        </w14:solidFill>
      </w14:textFill>
    </w:rPr>
  </w:style>
  <w:style w:type="character" w:default="1" w:styleId="16">
    <w:name w:val="Default Paragraph Font"/>
    <w:semiHidden/>
    <w:qFormat/>
    <w:uiPriority w:val="0"/>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pPr>
      <w:spacing w:before="0" w:after="0" w:line="240" w:lineRule="auto"/>
    </w:pPr>
    <w:rPr>
      <w:rFonts w:ascii="Times New Roman" w:hAnsi="Times New Roman" w:eastAsia="宋体"/>
      <w:sz w:val="21"/>
    </w:rPr>
  </w:style>
  <w:style w:type="paragraph" w:styleId="6">
    <w:name w:val="Body Text Indent"/>
    <w:basedOn w:val="1"/>
    <w:semiHidden/>
    <w:uiPriority w:val="0"/>
    <w:pPr>
      <w:ind w:firstLine="640"/>
    </w:pPr>
    <w:rPr>
      <w:sz w:val="30"/>
    </w:rPr>
  </w:style>
  <w:style w:type="paragraph" w:styleId="7">
    <w:name w:val="Plain Text"/>
    <w:basedOn w:val="1"/>
    <w:semiHidden/>
    <w:uiPriority w:val="0"/>
    <w:pPr>
      <w:widowControl/>
      <w:adjustRightInd/>
      <w:spacing w:before="100" w:beforeAutospacing="1" w:after="100" w:afterAutospacing="1" w:line="240" w:lineRule="auto"/>
      <w:jc w:val="left"/>
      <w:textAlignment w:val="auto"/>
    </w:pPr>
    <w:rPr>
      <w:rFonts w:ascii="宋体" w:hAnsi="宋体" w:eastAsia="宋体"/>
      <w:sz w:val="24"/>
      <w:szCs w:val="24"/>
    </w:rPr>
  </w:style>
  <w:style w:type="paragraph" w:styleId="8">
    <w:name w:val="Date"/>
    <w:basedOn w:val="1"/>
    <w:next w:val="1"/>
    <w:semiHidden/>
    <w:uiPriority w:val="0"/>
    <w:pPr>
      <w:adjustRightInd/>
      <w:spacing w:line="240" w:lineRule="auto"/>
      <w:textAlignment w:val="auto"/>
    </w:pPr>
    <w:rPr>
      <w:rFonts w:ascii="Times New Roman" w:hAnsi="Times New Roman" w:eastAsia="宋体"/>
      <w:kern w:val="2"/>
      <w:sz w:val="21"/>
    </w:rPr>
  </w:style>
  <w:style w:type="paragraph" w:styleId="9">
    <w:name w:val="Body Text Indent 2"/>
    <w:basedOn w:val="1"/>
    <w:semiHidden/>
    <w:uiPriority w:val="0"/>
    <w:pPr>
      <w:ind w:left="54" w:leftChars="17" w:firstLine="560" w:firstLineChars="200"/>
    </w:pPr>
    <w:rPr>
      <w:sz w:val="28"/>
    </w:rPr>
  </w:style>
  <w:style w:type="paragraph" w:styleId="10">
    <w:name w:val="Balloon Text"/>
    <w:basedOn w:val="1"/>
    <w:semiHidden/>
    <w:uiPriority w:val="0"/>
    <w:rPr>
      <w:sz w:val="18"/>
      <w:szCs w:val="18"/>
    </w:rPr>
  </w:style>
  <w:style w:type="paragraph" w:styleId="11">
    <w:name w:val="footer"/>
    <w:basedOn w:val="1"/>
    <w:link w:val="19"/>
    <w:uiPriority w:val="99"/>
    <w:pPr>
      <w:tabs>
        <w:tab w:val="center" w:pos="4153"/>
        <w:tab w:val="right" w:pos="8306"/>
      </w:tabs>
      <w:snapToGrid w:val="0"/>
      <w:spacing w:line="240" w:lineRule="atLeast"/>
      <w:jc w:val="left"/>
    </w:pPr>
    <w:rPr>
      <w:sz w:val="18"/>
    </w:rPr>
  </w:style>
  <w:style w:type="paragraph" w:styleId="12">
    <w:name w:val="header"/>
    <w:basedOn w:val="1"/>
    <w:link w:val="20"/>
    <w:uiPriority w:val="99"/>
    <w:pPr>
      <w:pBdr>
        <w:bottom w:val="single" w:color="auto" w:sz="6" w:space="1"/>
      </w:pBdr>
      <w:tabs>
        <w:tab w:val="center" w:pos="4153"/>
        <w:tab w:val="right" w:pos="8306"/>
      </w:tabs>
      <w:snapToGrid w:val="0"/>
      <w:spacing w:line="240" w:lineRule="atLeast"/>
      <w:jc w:val="center"/>
    </w:pPr>
    <w:rPr>
      <w:sz w:val="18"/>
      <w:szCs w:val="18"/>
    </w:rPr>
  </w:style>
  <w:style w:type="paragraph" w:styleId="13">
    <w:name w:val="Body Text Indent 3"/>
    <w:basedOn w:val="1"/>
    <w:semiHidden/>
    <w:uiPriority w:val="0"/>
    <w:pPr>
      <w:ind w:firstLine="638" w:firstLineChars="228"/>
      <w:jc w:val="left"/>
    </w:pPr>
    <w:rPr>
      <w:sz w:val="28"/>
    </w:rPr>
  </w:style>
  <w:style w:type="paragraph" w:styleId="14">
    <w:name w:val="Normal (Web)"/>
    <w:basedOn w:val="1"/>
    <w:semiHidden/>
    <w:uiPriority w:val="99"/>
    <w:pPr>
      <w:widowControl/>
      <w:adjustRightInd/>
      <w:spacing w:before="100" w:beforeAutospacing="1" w:after="100" w:afterAutospacing="1" w:line="240" w:lineRule="auto"/>
      <w:jc w:val="left"/>
      <w:textAlignment w:val="auto"/>
    </w:pPr>
    <w:rPr>
      <w:rFonts w:ascii="宋体" w:hAnsi="宋体" w:eastAsia="宋体"/>
      <w:sz w:val="24"/>
      <w:szCs w:val="24"/>
    </w:rPr>
  </w:style>
  <w:style w:type="character" w:styleId="17">
    <w:name w:val="page number"/>
    <w:basedOn w:val="16"/>
    <w:semiHidden/>
    <w:uiPriority w:val="0"/>
  </w:style>
  <w:style w:type="character" w:customStyle="1" w:styleId="18">
    <w:name w:val="ourfont1"/>
    <w:basedOn w:val="16"/>
    <w:uiPriority w:val="0"/>
    <w:rPr>
      <w:rFonts w:hint="eastAsia" w:ascii="宋体" w:hAnsi="宋体" w:eastAsia="宋体"/>
      <w:sz w:val="18"/>
      <w:szCs w:val="18"/>
    </w:rPr>
  </w:style>
  <w:style w:type="character" w:customStyle="1" w:styleId="19">
    <w:name w:val="页脚 Char"/>
    <w:basedOn w:val="16"/>
    <w:link w:val="11"/>
    <w:uiPriority w:val="99"/>
    <w:rPr>
      <w:rFonts w:ascii="Arial" w:hAnsi="Arial" w:eastAsia="楷体_GB2312"/>
      <w:sz w:val="18"/>
    </w:rPr>
  </w:style>
  <w:style w:type="character" w:customStyle="1" w:styleId="20">
    <w:name w:val="页眉 Char"/>
    <w:basedOn w:val="16"/>
    <w:link w:val="12"/>
    <w:uiPriority w:val="99"/>
    <w:rPr>
      <w:rFonts w:ascii="Arial" w:hAnsi="Arial" w:eastAsia="楷体_GB2312"/>
      <w:sz w:val="18"/>
      <w:szCs w:val="18"/>
    </w:rPr>
  </w:style>
  <w:style w:type="paragraph" w:customStyle="1" w:styleId="21">
    <w:name w:val="First Paragraph"/>
    <w:basedOn w:val="3"/>
    <w:next w:val="3"/>
    <w:qFormat/>
    <w:uiPriority w:val="0"/>
    <w:pPr>
      <w:spacing w:before="0" w:after="0" w:line="240" w:lineRule="auto"/>
    </w:pPr>
    <w:rPr>
      <w:rFonts w:ascii="Times New Roman" w:hAnsi="Times New Roman" w:eastAsia="宋体"/>
      <w:sz w:val="21"/>
    </w:rPr>
  </w:style>
  <w:style w:type="paragraph" w:customStyle="1" w:styleId="22">
    <w:name w:val="Compact"/>
    <w:basedOn w:val="3"/>
    <w:qFormat/>
    <w:uiPriority w:val="0"/>
    <w:pPr>
      <w:spacing w:before="36" w:after="36"/>
    </w:pPr>
  </w:style>
  <w:style w:type="table" w:customStyle="1" w:styleId="2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w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未知组织</Company>
  <Pages>11</Pages>
  <Words>336</Words>
  <Characters>1920</Characters>
  <Lines>16</Lines>
  <Paragraphs>4</Paragraphs>
  <TotalTime>2</TotalTime>
  <ScaleCrop>false</ScaleCrop>
  <LinksUpToDate>false</LinksUpToDate>
  <CharactersWithSpaces>2252</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2009-03-03T18:36:00Z</dcterms:created>
  <dc:creator>jw</dc:creator>
  <cp:lastModifiedBy>张顾璇</cp:lastModifiedBy>
  <cp:lastPrinted>2009-03-03T01:05:00Z</cp:lastPrinted>
  <dcterms:modified xsi:type="dcterms:W3CDTF">2026-09-24T19:25:29Z</dcterms:modified>
  <dc:title>    </dc:title>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6BE45473A5D6816A3AECB46AC4E7173D_43</vt:lpwstr>
  </property>
</Properties>
</file>