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МИНОБРНАУКИ РОССИИ</w:t>
      </w: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</w:t>
      </w: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высшего образования</w:t>
      </w: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«Чувашский государственный университет им. И.Н. Ульянова»</w:t>
      </w: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Факультет информатики и вычислительной техники</w:t>
      </w:r>
    </w:p>
    <w:p>
      <w:pPr>
        <w:spacing w:line="360" w:lineRule="auto" w:after="12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Кафедра вычислительной техники</w:t>
      </w: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80" w:before="0"/>
        <w:ind w:firstLine="0" w:left="0"/>
        <w:jc w:val="center"/>
      </w:pPr>
      <w:r>
        <w:rPr>
          <w:rFonts w:ascii="Times New Roman" w:hAnsi="Times New Roman"/>
          <w:b/>
          <w:i w:val="0"/>
          <w:sz w:val="36"/>
        </w:rPr>
        <w:t>Лабораторная работа</w:t>
      </w: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/>
          <w:i w:val="0"/>
          <w:sz w:val="36"/>
        </w:rPr>
        <w:t>«Модель анализа»</w:t>
      </w: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«Технология разработки программного обеспечения»</w:t>
      </w: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right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ИВТ-42-23</w:t>
      </w:r>
    </w:p>
    <w:p>
      <w:pPr>
        <w:spacing w:line="360" w:lineRule="auto" w:after="240" w:before="0"/>
        <w:ind w:firstLine="0" w:left="0"/>
        <w:jc w:val="right"/>
      </w:pPr>
      <w:r>
        <w:rPr>
          <w:rFonts w:ascii="Times New Roman" w:hAnsi="Times New Roman"/>
          <w:b w:val="0"/>
          <w:i w:val="0"/>
          <w:sz w:val="28"/>
        </w:rPr>
        <w:t>Иванов И.Л.</w:t>
      </w:r>
    </w:p>
    <w:p>
      <w:pPr>
        <w:spacing w:line="360" w:lineRule="auto" w:after="0" w:before="0"/>
        <w:ind w:firstLine="0" w:left="0"/>
        <w:jc w:val="right"/>
      </w:pPr>
      <w:r>
        <w:rPr>
          <w:rFonts w:ascii="Times New Roman" w:hAnsi="Times New Roman"/>
          <w:b w:val="0"/>
          <w:i w:val="0"/>
          <w:sz w:val="28"/>
        </w:rPr>
        <w:t>Проверил: кандидат технических наук</w:t>
      </w:r>
    </w:p>
    <w:p>
      <w:pPr>
        <w:spacing w:line="360" w:lineRule="auto" w:after="0" w:before="0"/>
        <w:ind w:firstLine="0" w:left="0"/>
        <w:jc w:val="right"/>
      </w:pPr>
      <w:r>
        <w:rPr>
          <w:rFonts w:ascii="Times New Roman" w:hAnsi="Times New Roman"/>
          <w:b w:val="0"/>
          <w:i w:val="0"/>
          <w:sz w:val="28"/>
        </w:rPr>
        <w:t>Ржавин В. В.</w:t>
      </w: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</w:p>
    <w:p>
      <w:pPr>
        <w:spacing w:line="360" w:lineRule="auto" w:after="0" w:before="0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Чебоксары, 2026</w:t>
      </w:r>
    </w:p>
    <w:p>
      <w:pPr>
        <w:spacing w:after="0"/>
      </w:pPr>
      <w:r>
        <w:br w:type="page"/>
      </w:r>
    </w:p>
    <w:p>
      <w:pPr>
        <w:spacing w:line="360" w:lineRule="auto" w:after="160" w:before="280"/>
        <w:ind w:firstLine="0" w:left="0"/>
        <w:jc w:val="left"/>
      </w:pPr>
      <w:r>
        <w:rPr>
          <w:rFonts w:ascii="Times New Roman" w:hAnsi="Times New Roman"/>
          <w:b/>
          <w:i w:val="0"/>
          <w:sz w:val="32"/>
        </w:rPr>
        <w:t>1. Модель предметной области (диаграмма классов анализа)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6388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Модель_предметной_област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8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1 – Модель предметной области ИС «Экскурсионное бюро»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Модель предметной области представляет собой концептуальную схему классов UML — согласованный словарь бизнес-понятий. В модели 13 классов; операции и интерфейсы не отображаются, показаны атрибуты, ассоциации, агрегация, композиция и обобщение.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Ядро модели образует абстрактный класс </w:t>
      </w:r>
      <w:r>
        <w:rPr>
          <w:rFonts w:ascii="Times New Roman" w:hAnsi="Times New Roman"/>
          <w:b/>
          <w:i w:val="0"/>
          <w:sz w:val="28"/>
        </w:rPr>
        <w:t>ФизическоеЛицо</w:t>
      </w:r>
      <w:r>
        <w:rPr>
          <w:rFonts w:ascii="Times New Roman" w:hAnsi="Times New Roman"/>
          <w:b w:val="0"/>
          <w:i w:val="0"/>
          <w:sz w:val="28"/>
        </w:rPr>
        <w:t xml:space="preserve">, от которого наследуются </w:t>
      </w:r>
      <w:r>
        <w:rPr>
          <w:rFonts w:ascii="Times New Roman" w:hAnsi="Times New Roman"/>
          <w:b/>
          <w:i w:val="0"/>
          <w:sz w:val="28"/>
        </w:rPr>
        <w:t>Клиент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Гид</w:t>
      </w:r>
      <w:r>
        <w:rPr>
          <w:rFonts w:ascii="Times New Roman" w:hAnsi="Times New Roman"/>
          <w:b w:val="0"/>
          <w:i w:val="0"/>
          <w:sz w:val="28"/>
        </w:rPr>
        <w:t xml:space="preserve">. Заказ оформляется классом </w:t>
      </w:r>
      <w:r>
        <w:rPr>
          <w:rFonts w:ascii="Times New Roman" w:hAnsi="Times New Roman"/>
          <w:b/>
          <w:i w:val="0"/>
          <w:sz w:val="28"/>
        </w:rPr>
        <w:t>Договор</w:t>
      </w:r>
      <w:r>
        <w:rPr>
          <w:rFonts w:ascii="Times New Roman" w:hAnsi="Times New Roman"/>
          <w:b w:val="0"/>
          <w:i w:val="0"/>
          <w:sz w:val="28"/>
        </w:rPr>
        <w:t xml:space="preserve">, связанным с </w:t>
      </w:r>
      <w:r>
        <w:rPr>
          <w:rFonts w:ascii="Times New Roman" w:hAnsi="Times New Roman"/>
          <w:b/>
          <w:i w:val="0"/>
          <w:sz w:val="28"/>
        </w:rPr>
        <w:t>Экскурсией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Платежами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ЭлектроннымиБилетами</w:t>
      </w:r>
      <w:r>
        <w:rPr>
          <w:rFonts w:ascii="Times New Roman" w:hAnsi="Times New Roman"/>
          <w:b w:val="0"/>
          <w:i w:val="0"/>
          <w:sz w:val="28"/>
        </w:rPr>
        <w:t xml:space="preserve">. Каталог образуют </w:t>
      </w:r>
      <w:r>
        <w:rPr>
          <w:rFonts w:ascii="Times New Roman" w:hAnsi="Times New Roman"/>
          <w:b/>
          <w:i w:val="0"/>
          <w:sz w:val="28"/>
        </w:rPr>
        <w:t>Маршрут</w:t>
      </w:r>
      <w:r>
        <w:rPr>
          <w:rFonts w:ascii="Times New Roman" w:hAnsi="Times New Roman"/>
          <w:b w:val="0"/>
          <w:i w:val="0"/>
          <w:sz w:val="28"/>
        </w:rPr>
        <w:t xml:space="preserve"> и входящие в него </w:t>
      </w:r>
      <w:r>
        <w:rPr>
          <w:rFonts w:ascii="Times New Roman" w:hAnsi="Times New Roman"/>
          <w:b/>
          <w:i w:val="0"/>
          <w:sz w:val="28"/>
        </w:rPr>
        <w:t>Точки</w:t>
      </w:r>
      <w:r>
        <w:rPr>
          <w:rFonts w:ascii="Times New Roman" w:hAnsi="Times New Roman"/>
          <w:b w:val="0"/>
          <w:i w:val="0"/>
          <w:sz w:val="28"/>
        </w:rPr>
        <w:t xml:space="preserve">; проведение экскурсии обеспечивают </w:t>
      </w:r>
      <w:r>
        <w:rPr>
          <w:rFonts w:ascii="Times New Roman" w:hAnsi="Times New Roman"/>
          <w:b/>
          <w:i w:val="0"/>
          <w:sz w:val="28"/>
        </w:rPr>
        <w:t>Гид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Транспорт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ОтчётОПроведении</w:t>
      </w:r>
      <w:r>
        <w:rPr>
          <w:rFonts w:ascii="Times New Roman" w:hAnsi="Times New Roman"/>
          <w:b w:val="0"/>
          <w:i w:val="0"/>
          <w:sz w:val="28"/>
        </w:rPr>
        <w:t xml:space="preserve">, а обратную связь — </w:t>
      </w:r>
      <w:r>
        <w:rPr>
          <w:rFonts w:ascii="Times New Roman" w:hAnsi="Times New Roman"/>
          <w:b/>
          <w:i w:val="0"/>
          <w:sz w:val="28"/>
        </w:rPr>
        <w:t>Отзыв</w:t>
      </w:r>
      <w:r>
        <w:rPr>
          <w:rFonts w:ascii="Times New Roman" w:hAnsi="Times New Roman"/>
          <w:b w:val="0"/>
          <w:i w:val="0"/>
          <w:sz w:val="28"/>
        </w:rPr>
        <w:t xml:space="preserve">. Уведомления вынесены в отдельный класс </w:t>
      </w:r>
      <w:r>
        <w:rPr>
          <w:rFonts w:ascii="Times New Roman" w:hAnsi="Times New Roman"/>
          <w:b/>
          <w:i w:val="0"/>
          <w:sz w:val="28"/>
        </w:rPr>
        <w:t>Уведомление</w:t>
      </w:r>
      <w:r>
        <w:rPr>
          <w:rFonts w:ascii="Times New Roman" w:hAnsi="Times New Roman"/>
          <w:b w:val="0"/>
          <w:i w:val="0"/>
          <w:sz w:val="28"/>
        </w:rPr>
        <w:t>, связанный с физическим лицом.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Словарь классов модели приведён в таблице 1.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</w:trPr>
        <w:tc>
          <w:tcPr>
            <w:tcW w:type="dxa" w:w="1928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Класс</w:t>
            </w:r>
          </w:p>
        </w:tc>
        <w:tc>
          <w:tcPr>
            <w:tcW w:type="dxa" w:w="2211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Атрибуты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Требования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ФизическоеЛицо (абстрактный)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Общие персональные данные клиента и гида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фамилия; имя; отчество; дата рождения; номер телефона; email; серия и номер паспорта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ПТ8–ПТ12, ПТ46–ПТ48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Заказчик услуг бюро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дата регистрации; согласие на обработку ПД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ПТ7–ПТ14, ПТ25, ПТ74–ПТ76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Сотрудник, проводящий экскурсии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специализация; статус занятости; внешний подрядчик; доступ активен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ПТ26–ПТ28, ПТ41–ПТ49, ПТ66–ПТ69, ПТ79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Уведомление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Сообщение, отправляемое физическому лицу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канал доставки; тема; текст сообщения; дата отправки; статус доставки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ПТ17, ПТ18, ПТ23, ПТ41, ПТ42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Маршрут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Каталожная услуга: маршрут с характеристиками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название; описание; продолжительность, ч; базовая стоимость; макс. размер группы; возрастное ограничение; тип передвижения; активен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ПТ1–ПТ6, ПТ54–ПТ59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Точка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Точка маршрута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название; описание; страна; населённый пункт; широта; долгота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ПТ1–ПТ6, ПТ54–ПТ59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Конкретное проведение маршрута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дата и время начала; дата и время окончания; оклад гида; статус экскурсии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ПТ2, ПТ29–ПТ36, ПТ70, ПТ71; НФТ-7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Транспорт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Транспортное средство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вид транспорта; госномер; вместимость мест; телефон водителя; статус занятости; внешний подрядчик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ПТ40, ПТ43, ПТ50–ПТ53, ПТ67, ПТ69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ОтчётОПроведении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Отчёт гида о проведённой экскурсии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дата формирования; текст отчёта; ссылки на фото; описание инцидентов (ЧП); фактическая явка, чел.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ПТ37–ПТ39, ПТ72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Отзыв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Отзыв клиента об экскурсии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рейтинг; комментарий; дата составления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новые требования; УЧ «Оставить отзыв об экскурсии»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Юридическое оформление заказа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номер договора; дата составления; количество участников; итоговая стоимость; статус договора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ПТ7, ПТ13–ПТ15, ПТ19, ПТ24, ПТ60–ПТ65; НФТ-8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ЭлектронныйБилет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Билет участника экскурсии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QR-код; ФИО участника; отметка явки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ПТ21, ПТ22, ПТ31–ПТ34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Платёж</w:t>
            </w:r>
          </w:p>
        </w:tc>
        <w:tc>
          <w:tcPr>
            <w:tcW w:type="dxa" w:w="221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Финансовая операция по договору</w:t>
            </w:r>
          </w:p>
        </w:tc>
        <w:tc>
          <w:tcPr>
            <w:tcW w:type="dxa" w:w="311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внешний ID транзакции; сумма; вид оплаты; срок оплаты; дата изменения статуса; статус оплаты; причина отказа банка</w:t>
            </w:r>
          </w:p>
        </w:tc>
        <w:tc>
          <w:tcPr>
            <w:tcW w:type="dxa" w:w="209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ПТ15–ПТ18, ПТ61–ПТ63, ПТ77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1 – Словарь классов модели предметной области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Основные отношения между классами приведены в таблице 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</w:trPr>
        <w:tc>
          <w:tcPr>
            <w:tcW w:type="dxa" w:w="283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Связь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Кратности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Тип</w:t>
            </w:r>
          </w:p>
        </w:tc>
        <w:tc>
          <w:tcPr>
            <w:tcW w:type="dxa" w:w="368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Пояснение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ФизическоеЛицо — Клиент, Гид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обобщение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 и Гид наследуют персональные данные физического лица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ФизическоеЛицо — Уведомление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Физическое лицо получает уведомления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 — Договор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 заключает договоры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 — Отзыв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 оставляет отзывы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Маршрут — Точка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1..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композиция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Маршрут состоит из точек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Маршрут — Экскурсия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Маршрут является основой для экскурсий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 — Экскурсия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 проводит экскурсии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— Договор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 оформляется по экскурсии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— ОтчётОПроведении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0..1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композиция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завершается отчётом о проведении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— Транспорт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агрегация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комплектуется транспортными средствами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 — ЭлектронныйБилет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1..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композиция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 включает электронные билеты участников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 — Платёж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1..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 оплачивается через платежи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ОтчётОПроведении — Отзыв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 : 0..</w:t>
            </w:r>
          </w:p>
        </w:tc>
        <w:tc>
          <w:tcPr>
            <w:tcW w:type="dxa" w:w="147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ассоциация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Отчёт получает отзывы клиентов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2 – Основные отношения модели предметной области</w:t>
      </w:r>
    </w:p>
    <w:p>
      <w:pPr>
        <w:spacing w:line="360" w:lineRule="auto" w:after="120" w:before="24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1.1. Согласование требований с моделью предметной области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Имена классов модели используются как единый словарь терминов в требованиях и сценариях вариантов использования. В таблице 3 исходные формулировки требований приведены в соответствие с разработанной моделью.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1191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Идент.</w:t>
            </w:r>
          </w:p>
        </w:tc>
        <w:tc>
          <w:tcPr>
            <w:tcW w:type="dxa" w:w="3458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Исходная формулировка (фрагмент)</w:t>
            </w:r>
          </w:p>
        </w:tc>
        <w:tc>
          <w:tcPr>
            <w:tcW w:type="dxa" w:w="4706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Скорректированная формулировка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просматривать список доступных экскурсионных продуктов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иметь возможность просматривать каталог активных «Маршрутов» и назначенных «Экскурсий»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фильтровать экскурсии по дате проведения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иметь возможность фильтровать и сортировать «Экскурсии» по дате проведения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ПТ7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инициировать оформление заявки на экскурсию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иметь возможность оформить «Договор» на выбранную «Экскурсию»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ПТ8–ПТ12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вводить имя, фамилию, отчество, серию и номер паспорта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указать персональные данные «ФизическогоЛица» (ФИО, серию и номер паспорта) при оформлении «Договора»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ПТ13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указывать количество участников группы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указать количество участников в «Договоре»; для каждого участника формируется «ЭлектронныйБилет»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ПТ15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переходить к оплате сформированной заявки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иметь возможность перейти к оплате «Договора» (созданию «Платежа»)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ПТ16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вводить реквизиты банковской карты в модуле эквайринга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ввести реквизиты карты в «Банковском эквайринге» при оплате «Договора»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ПТ19–ПТ22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скачивать договор, счёт, маршрутный лист, билет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получать пакет документов: «Договор», счёт и «ЭлектронныеБилеты» с QR-кодами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ПТ24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инициировать отказ от сделки до момента оказания услуги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«Клиент» должен инициировать отказ от «Договора» (состояние «Отменён») до начала «Экскурсии»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ПТ27, ПТ28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устанавливать статус своей занятости «свободен»/«занят»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«Гид» должен изменять статус занятости на выбранную дату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ПТ29, ПТ30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просматривать календарь назначенных экскурсий и их детали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«Гид» должен просматривать расписание «Экскурсий», назначенных ему, и их детали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ПТ31, ПТ33, ПТ34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просматривать посадочную ведомость, отмечать явку и неявку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«Гид» должен просматривать посадочную ведомость и отмечать явку в «ЭлектронномБилете»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ПТ35, ПТ36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изменять статус экскурсии на «начата»/«завершена»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«Гид» должен переводить «Экскурсию» в состояния «Начата» и «Завершена»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ПТ37–ПТ39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формировать отчёт, прикреплять фотографии, отправлять отчёт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«Гид» должен формировать «ОтчётОПроведении» (текст, фото, инциденты, фактическая явка) и отправлять его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ПТ46–ПТ49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добавлять и удалять запись о гиде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«Руководитель» должен управлять учётными записями «Гидов» (специализация, доступ активен)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ПТ50–ПТ53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добавлять и удалять транспортные средства, указывать госномер и вместимость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«Руководитель» должен управлять справочником «Транспорта» (вид, госномер, вместимость, телефон водителя)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ПТ54–ПТ58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добавлять, редактировать и деактивировать экскурсионный продукт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«Руководитель» должен управлять каталогом «Маршрутов» и «Экскурсий» (название, стоимость, продолжительность, активность)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ПТ60–ПТ64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реестр договоров, фильтрация по статусу оплаты, итоговая сумма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«Руководитель» должен работать с реестром «Договоров» и «Платежей», фильтровать по статусу оплаты и получать итоговую сумму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ПТ65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инициировать возврат средств клиенту при отмене экскурсии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«Руководитель» должен инициировать возврат средств по «Договору» через «Банковский эквайринг»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ПТ70–ПТ73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отчёты о количестве экскурсий и рентабельности, выгрузка в Excel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«Руководитель» должен формировать отчёты по «Экскурсиям», «Маршрутам», «Договорам» и «Платежам» с выгрузкой в Excel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НФТ-7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микроавтобус до 15 человек, автобус свыше 15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назначает «Транспорт» с вместимостью: до 15 участников — микроавтобус, свыше 15 — автобус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НФТ-8</w:t>
            </w:r>
          </w:p>
        </w:tc>
        <w:tc>
          <w:tcPr>
            <w:tcW w:type="dxa" w:w="345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заявка аннулируется, если оплата не поступила в течение 10 минут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«Договор» переходит в состояние «Аннулирован», если «Платёж» не подтверждён до срока оплаты (10 минут)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3 – Скорректированные формулировки требований</w:t>
      </w:r>
    </w:p>
    <w:p>
      <w:pPr>
        <w:spacing w:line="360" w:lineRule="auto" w:after="160" w:before="280"/>
        <w:ind w:firstLine="0" w:left="0"/>
        <w:jc w:val="left"/>
      </w:pPr>
      <w:r>
        <w:rPr>
          <w:rFonts w:ascii="Times New Roman" w:hAnsi="Times New Roman"/>
          <w:b/>
          <w:i w:val="0"/>
          <w:sz w:val="32"/>
        </w:rPr>
        <w:t>2. Модель состояний предметной области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Модель состояний построена для классов, объекты которых за время жизни сменяют качественно различные состояния: «Договор» (жизненный цикл оформления, оплаты и закрытия заказа) и «Экскурсия» (жизненный цикл проведения). Для каждого класса выделены состояния, события с параметрами, охраняющие условия и действия.</w:t>
      </w:r>
    </w:p>
    <w:p>
      <w:pPr>
        <w:spacing w:line="360" w:lineRule="auto" w:after="120" w:before="24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2.1. Состояния договора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60407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Состояния_Договор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04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2 – Диаграмма состояний класса «Договор»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 состояний класса «Договор» приведено в таблице 4, перечень событий и переходов — в таблице 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2154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Состояние</w:t>
            </w:r>
          </w:p>
        </w:tc>
        <w:tc>
          <w:tcPr>
            <w:tcW w:type="dxa" w:w="7200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Описание и ограничения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Черновик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Договор создан, итоговая стоимость рассчитана; электронные билеты и счёт не сформированы, оплата не начата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ОжидаетОплаты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Сформированы «ЭлектронныеБилеты» и счёт; действует срок оплаты; при отказе банка возможны повторные попытки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Оплачен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«Платёж» подтверждён (внешний ID транзакции); билеты действительны; отмена возможна до начала «Экскурсии»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Завершён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«Экскурсия» проведена, фактическая явка зафиксирована; договор закрыт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Отменён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Отказ клиента или отмена экскурсии; при оплаченном договоре выполняется возврат средств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ВозвратСредств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Возврат выполняется через «Банковский эквайринг»; договор закрывается после подтверждения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Аннулирован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Оплата не поступила до срока оплаты либо клиент отказался до оплаты; билеты аннулированы, места освобождены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4 – Состояния класса «Договор»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283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Событие (параметры)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Переход</w:t>
            </w:r>
          </w:p>
        </w:tc>
        <w:tc>
          <w:tcPr>
            <w:tcW w:type="dxa" w:w="368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Условие / действие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создать (Клиент)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</w:t>
            </w:r>
            <w:r>
              <w:rPr>
                <w:rFonts w:ascii="Times New Roman" w:hAnsi="Times New Roman"/>
                <w:b w:val="0"/>
                <w:i/>
                <w:sz w:val="22"/>
              </w:rPr>
              <w:t>] → Черновик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рассчитать итоговую стоимость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подтвердить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Черновик → ОжидаетОплаты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сформировать «ЭлектронныеБилеты» и счёт; установить срок оплаты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отказаться (Клиент)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Черновик → Аннулирован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аннулировать билеты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платёж подтверждён (внешний ID транзакции)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ОжидаетОплаты → Оплачен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сохранить «Платёж» со статусом «Оплачен»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банк отклонил платёж (причина)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ОжидаетОплаты → ОжидаетОплаты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сохранить «Платёж» со статусом «Отклонён», причину отказа; разрешить повтор до срока оплаты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истёк срок оплаты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ОжидаетОплаты → Аннулирован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[платёж не подтверждён] / аннулировать билеты, освободить места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отказаться (Клиент)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ОжидаетОплаты → Отменён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аннулировать билеты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отказаться (Клиент)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Оплачен → Отменён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[до начала «Экскурсии»]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отменить экскурсию (Руководитель)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Оплачен → Отменён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проведена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Оплачен → Завершён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зафиксировать фактическую явку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оформить возврат (сумма)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Отменён → ВозвратСредств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[договор оплачен] / вернуть средства через «Банковский эквайринг»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возврат подтверждён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ВозвратСредств → [</w:t>
            </w:r>
            <w:r>
              <w:rPr>
                <w:rFonts w:ascii="Times New Roman" w:hAnsi="Times New Roman"/>
                <w:b w:val="0"/>
                <w:i/>
                <w:sz w:val="22"/>
              </w:rPr>
              <w:t>]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Отменён → [</w:t>
            </w:r>
            <w:r>
              <w:rPr>
                <w:rFonts w:ascii="Times New Roman" w:hAnsi="Times New Roman"/>
                <w:b w:val="0"/>
                <w:i/>
                <w:sz w:val="22"/>
              </w:rPr>
              <w:t>]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[договор не оплачен]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5 – События и переходы состояний класса «Договор»</w:t>
      </w:r>
    </w:p>
    <w:p>
      <w:pPr>
        <w:spacing w:line="360" w:lineRule="auto" w:after="120" w:before="24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2.2. Состояния экскурсии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4664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остояния_Экскурси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664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3 – Диаграмма состояний класса «Экскурсия»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2154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Состояние</w:t>
            </w:r>
          </w:p>
        </w:tc>
        <w:tc>
          <w:tcPr>
            <w:tcW w:type="dxa" w:w="7200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Описание и ограничения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Запланирована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Назначены «Маршрут», «Гид» и «Транспорт»; определены дата и время начала; участники уведомлены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Начата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Зафиксировано фактическое время начала; гид отмечает явку по «ЭлектроннымБилетам»; статус занятости гида и транспорта — «занят»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Завершена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Зафиксировано фактическое время окончания; ожидается «ОтчётОПроведении»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Закрыта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«ОтчётОПроведении» сформирован (текст, фото, инциденты, фактическая явка); данные переданы в аналитику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Отменена</w:t>
            </w:r>
          </w:p>
        </w:tc>
        <w:tc>
          <w:tcPr>
            <w:tcW w:type="dxa" w:w="7200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Экскурсия не состоялась или прервана; клиенты уведомлены, по оплаченным «Договорам» инициированы возвраты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6 – Состояния класса «Экскурсия»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283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Событие (параметры)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Переход</w:t>
            </w:r>
          </w:p>
        </w:tc>
        <w:tc>
          <w:tcPr>
            <w:tcW w:type="dxa" w:w="368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Условие / действие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создать экскурсию (Маршрут, Гид, Транспорт)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</w:t>
            </w:r>
            <w:r>
              <w:rPr>
                <w:rFonts w:ascii="Times New Roman" w:hAnsi="Times New Roman"/>
                <w:b w:val="0"/>
                <w:i/>
                <w:sz w:val="22"/>
              </w:rPr>
              <w:t>] → Запланирована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уведомить участников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начать (фактическое время)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Запланирована → Начата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[гид назначен, доступ активен] / статус занятости гида = «занят»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завершить (фактическое время)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Начата → Завершена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статус занятости гида = «свободен»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сформировать отчёт (текст, фото, ЧП, фактическая явка)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Завершена → Закрыта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создать «ОтчётОПроведении»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отменить (причина)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Запланирована → Отменена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[группа не набрана или форс-мажор] / уведомить клиентов, инициировать возвраты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прервать (причина)</w:t>
            </w:r>
          </w:p>
        </w:tc>
        <w:tc>
          <w:tcPr>
            <w:tcW w:type="dxa" w:w="28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Начата → Отменена</w:t>
            </w:r>
          </w:p>
        </w:tc>
        <w:tc>
          <w:tcPr>
            <w:tcW w:type="dxa" w:w="368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 зафиксировать причину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7 – События и переходы состояний класса «Экскурсия»</w:t>
      </w:r>
    </w:p>
    <w:p>
      <w:pPr>
        <w:spacing w:line="360" w:lineRule="auto" w:after="160" w:before="280"/>
        <w:ind w:firstLine="0" w:left="0"/>
        <w:jc w:val="left"/>
      </w:pPr>
      <w:r>
        <w:rPr>
          <w:rFonts w:ascii="Times New Roman" w:hAnsi="Times New Roman"/>
          <w:b/>
          <w:i w:val="0"/>
          <w:sz w:val="32"/>
        </w:rPr>
        <w:t>3. Анализ приложения</w:t>
      </w:r>
    </w:p>
    <w:p>
      <w:pPr>
        <w:spacing w:line="360" w:lineRule="auto" w:after="120" w:before="24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3.1. Диаграмма вариантов использования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отражает три подсистемы: работу с клиентами, АРМ руководителя (администратора) и мобильное рабочее место гида. На диаграммах использованы все виды отношений: ассоциации, обобщение (актёров и вариантов использования), включение и расширение.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Обобщение актёров:</w:t>
      </w:r>
      <w:r>
        <w:rPr>
          <w:rFonts w:ascii="Times New Roman" w:hAnsi="Times New Roman"/>
          <w:b w:val="0"/>
          <w:i w:val="0"/>
          <w:sz w:val="28"/>
        </w:rPr>
        <w:t xml:space="preserve"> «Гид» и «Руководитель (Администратор)» наследуют абстрактному актёру «Сотрудник бюро», который связан с вариантом использования «Авторизоваться в системе». </w:t>
      </w:r>
      <w:r>
        <w:rPr>
          <w:rFonts w:ascii="Times New Roman" w:hAnsi="Times New Roman"/>
          <w:b/>
          <w:i w:val="0"/>
          <w:sz w:val="28"/>
        </w:rPr>
        <w:t>Обобщение вариантов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«Получить пакет документов» обобщает «Получить копию пакета документов на Email» и «Скачать документы и электронные билеты (PDF/QR)»; «Управлять справочниками ресурсов и каталогом» обобщает «Управлять каталогом маршрутов и экскурсий», «Управлять автопарком (транспортом)» и «Управлять учетными записями гидов».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Включение:</w:t>
      </w:r>
      <w:r>
        <w:rPr>
          <w:rFonts w:ascii="Times New Roman" w:hAnsi="Times New Roman"/>
          <w:b w:val="0"/>
          <w:i w:val="0"/>
          <w:sz w:val="28"/>
        </w:rPr>
        <w:t xml:space="preserve"> «Оформить договор на экскурсию» включает «Получить пакет документов» и «Провести платёж по договору»; «Провести экскурсию» включает «Проконтролировать посадку (отметить явку по билетам)» и «Сформировать и отправить отчет о проведении»; «Формировать сводные аналитические отчеты» включает «Просматривать отчеты гидов о проведенных экскурсиях»; «Управлять справочниками ресурсов и каталогом», «Контролировать реестр договоров и платежей» и «Просмотреть расписание и детали назначенной экскурсии» включают «Авторизоваться в системе».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Расширение:</w:t>
      </w:r>
      <w:r>
        <w:rPr>
          <w:rFonts w:ascii="Times New Roman" w:hAnsi="Times New Roman"/>
          <w:b w:val="0"/>
          <w:i w:val="0"/>
          <w:sz w:val="28"/>
        </w:rPr>
        <w:t xml:space="preserve"> «Отфильтровать и отсортировать экскурсии» и «Просмотреть детальное описание маршрута» расширяют «Просмотреть каталог маршрутов и экскурсий»; «Инициировать отказ от договора» — «Просмотреть историю бронирований (договоров)»; «Вручную переназначить гида или транспорт (форс-мажор)» — «Мониторить занятость ресурсов и логи ошибок распределения»; «Экспортировать отчет в формат Excel» — «Формировать сводные аналитические отчеты»; «Инициировать возврат средств и закрытие сделок» — «Контролировать реестр договоров и платежей»; «Скачать посадочную ведомость и маршрутный лист» — «Просмотреть расписание и детали назначенной экскурсии»; «Зафиксировать инцидент (ЧП) и прикрепить фото» — «Сформировать и отправить отчет о проведении».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Внешними актёрами являются «Банковский эквайринг» (проведение платежей и возвратов) и «Почтовый шлюз (SMTP)» (отправка уведомлений и копий пакетов документов).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Действующие лица приведены в таблице 8, перечень вариантов использования — в таблице 9.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1814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Актёр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Тип</w:t>
            </w:r>
          </w:p>
        </w:tc>
        <w:tc>
          <w:tcPr>
            <w:tcW w:type="dxa" w:w="5272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Основной, внешний</w:t>
            </w:r>
          </w:p>
        </w:tc>
        <w:tc>
          <w:tcPr>
            <w:tcW w:type="dxa" w:w="5272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Просматривает каталог, оформляет и оплачивает «Договоры», получает билеты, оставляет отзывы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Основной, внутренний</w:t>
            </w:r>
          </w:p>
        </w:tc>
        <w:tc>
          <w:tcPr>
            <w:tcW w:type="dxa" w:w="5272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Ведёт расписание, отмечает явку, меняет статус «Экскурсии», формирует «ОтчётОПроведении»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 (Администратор)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Основной, внутренний</w:t>
            </w:r>
          </w:p>
        </w:tc>
        <w:tc>
          <w:tcPr>
            <w:tcW w:type="dxa" w:w="5272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Управляет справочниками и учётными записями, контролирует договоры и платежи, формирует отчёты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Сотрудник бюро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Абстрактный</w:t>
            </w:r>
          </w:p>
        </w:tc>
        <w:tc>
          <w:tcPr>
            <w:tcW w:type="dxa" w:w="5272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Обобщение актёров «Гид» и «Руководитель (Администратор)»; наследует вариант «Авторизоваться в системе»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Банковский эквайринг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Второстепенный, внешняя система</w:t>
            </w:r>
          </w:p>
        </w:tc>
        <w:tc>
          <w:tcPr>
            <w:tcW w:type="dxa" w:w="5272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Проведение платежей и возвратов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Почтовый шлюз (SMTP)</w:t>
            </w:r>
          </w:p>
        </w:tc>
        <w:tc>
          <w:tcPr>
            <w:tcW w:type="dxa" w:w="2268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Второстепенный, внешняя система</w:t>
            </w:r>
          </w:p>
        </w:tc>
        <w:tc>
          <w:tcPr>
            <w:tcW w:type="dxa" w:w="5272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Отправка уведомлений и копий пакетов документов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8 – Действующие лица (актёры)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</w:trPr>
        <w:tc>
          <w:tcPr>
            <w:tcW w:type="dxa" w:w="454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Подсистема</w:t>
            </w:r>
          </w:p>
        </w:tc>
        <w:tc>
          <w:tcPr>
            <w:tcW w:type="dxa" w:w="317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Вариант использования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Главный актёр</w:t>
            </w:r>
          </w:p>
        </w:tc>
        <w:tc>
          <w:tcPr>
            <w:tcW w:type="dxa" w:w="266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Отношения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Просмотреть каталог маршрутов и экскурсий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Расширяется УЧ 2, 3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Отфильтровать и отсортировать экскурсии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1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Просмотреть детальное описание маршрута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1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Оформить договор на экскурсию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 УЧ 5, 8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Получить пакет документов (договор, счёт, билеты)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Обобщается УЧ 6, 7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Получить копию пакета документов на Email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Специализация УЧ 5; ассоциация с Почтовым шлюзом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Скачать документы и электронные билеты (PDF/QR)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Специализация УЧ 5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Провести платёж по договору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Включается в УЧ 4; ассоциация с Банковским эквайрингом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Просмотреть историю бронирований (договоров)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Расширяется УЧ 10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Инициировать отказ от договора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9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Клиенты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Оставить отзыв об экскурсии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Клиент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Мониторить занятость ресурсов и логи ошибок распределения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Расширяется УЧ 13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Вручную переназначить гида или транспорт (форс-мажор)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12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Формировать сводные аналитические отчеты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 УЧ 15; расширяется УЧ 16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Просматривать отчеты гидов о проведенных экскурсиях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Включается в УЧ 14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Экспортировать отчет в формат Excel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14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Управлять справочниками ресурсов и каталогом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Обобщаемый; включает УЧ 32; специализации 18–20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Управлять каталогом маршрутов и экскурсий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Специализация УЧ 17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Управлять автопарком (транспортом)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Специализация УЧ 17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Управлять учетными записями гидов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Специализация УЧ 17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Вести поиск и учет клиентов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Контролировать реестр договоров и платежей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 УЧ 32; расширяется УЧ 23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Инициировать возврат средств и закрытие сделок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Руководитель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22; ассоциация с Банковским эквайрингом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Провести экскурсию (смена статуса «начата»/«завершена»)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 УЧ 25, 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Проконтролировать посадку (отметить явку по билетам)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Включается в УЧ 24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Сформировать и отправить отчет о проведении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Включается в УЧ 24; расширяется УЧ 27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Зафиксировать инцидент (ЧП) и прикрепить фото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26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Управлять статусом своей занятости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Просмотреть расписание и детали назначенной экскурсии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Включает УЧ 32; расширяется УЧ 30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Скачать посадочную ведомость и маршрутный лист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Расширяет УЧ 29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31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Редактировать контактные данные профиля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Гид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36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Общая</w:t>
            </w:r>
          </w:p>
        </w:tc>
        <w:tc>
          <w:tcPr>
            <w:tcW w:type="dxa" w:w="317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Авторизоваться в системе</w:t>
            </w:r>
          </w:p>
        </w:tc>
        <w:tc>
          <w:tcPr>
            <w:tcW w:type="dxa" w:w="1701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Сотрудник бюро</w:t>
            </w:r>
          </w:p>
        </w:tc>
        <w:tc>
          <w:tcPr>
            <w:tcW w:type="dxa" w:w="266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Наследуется Гидом и Руководителем</w:t>
            </w:r>
          </w:p>
        </w:tc>
      </w:tr>
    </w:tbl>
    <w:p>
      <w:pPr>
        <w:spacing w:after="40"/>
      </w:pP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Таблица 9 – Варианты использования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Варианты_использования_Клиен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4 – Диаграмма вариантов использования: подсистема работы с клиентами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Варианты_использования_Руководител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5 – Диаграмма вариантов использования: АРМ руководителя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Варианты_использования_Ги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6 – Диаграмма вариантов использования: мобильное рабочее место гида</w:t>
      </w:r>
    </w:p>
    <w:p>
      <w:pPr>
        <w:spacing w:line="360" w:lineRule="auto" w:after="120" w:before="24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3.2. Контекстная диаграмма C4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Контекстная диаграмма C4 (уровень 1) показывает проектируемую систему «чёрным ящиком» в окружении пользователей и внешних систем. Диаграмма приведена в соответствие с обновлёнными моделью предметной области и диаграммами вариантов использования.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Проверка соответствия: пользователи на C4 — «Клиент», «Гид», «Руководитель (Администратор)» — совпадают с актёрами диаграмм вариантов использования; внешние системы «Банковский эквайринг» и «Почтовый шлюз (SMTP)» соответствуют внешним актёрам и классу «Уведомление»; связи отражают оформление и оплату договоров, выдачу электронных билетов, проведение экскурсий, отчёты и уведомления. Внутренние классы («Договор», «Платёж», «ЭлектронныйБилет») на контекстный уровень не выносятся, что соответствует уровню C4.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147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Контекст_C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147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00" w:before="120"/>
        <w:ind w:firstLine="0" w:left="0"/>
        <w:jc w:val="center"/>
      </w:pPr>
      <w:r>
        <w:rPr>
          <w:rFonts w:ascii="Times New Roman" w:hAnsi="Times New Roman"/>
          <w:b w:val="0"/>
          <w:i w:val="0"/>
          <w:sz w:val="24"/>
        </w:rPr>
        <w:t>Рисунок 7 – Контекстная диаграмма C4 (уровень 1) ИС «Экскурсионное бюро»</w:t>
      </w:r>
    </w:p>
    <w:p>
      <w:pPr>
        <w:spacing w:line="360" w:lineRule="auto" w:after="120" w:before="24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3.3. Сценарии вариантов использования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Сценарии составлены по шаблонам приложения А и отражают основной поток, альтернативные потоки, поток с включением, поток с расширением и поток с обобщением. Постусловия каждого сценария содержат гарантии успеха и минимальные гарантии.</w:t>
      </w:r>
    </w:p>
    <w:p>
      <w:pPr>
        <w:spacing w:line="360" w:lineRule="auto" w:after="80" w:before="20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3.3.1. Вариант использования «Оформить договор на экскурсию» (основной поток, альтернативы, включение)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Вариант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Оформить договор на экскурсию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ID:</w:t>
      </w:r>
      <w:r>
        <w:rPr>
          <w:rFonts w:ascii="Times New Roman" w:hAnsi="Times New Roman"/>
          <w:b w:val="0"/>
          <w:i w:val="0"/>
          <w:sz w:val="28"/>
        </w:rPr>
        <w:t xml:space="preserve"> УЧ-04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Краткое описание:</w:t>
      </w:r>
      <w:r>
        <w:rPr>
          <w:rFonts w:ascii="Times New Roman" w:hAnsi="Times New Roman"/>
          <w:b w:val="0"/>
          <w:i w:val="0"/>
          <w:sz w:val="28"/>
        </w:rPr>
        <w:t xml:space="preserve"> «Клиент» выбирает экскурсию, указывает количество участников и персональные данные; система формирует «Договор», «ЭлектронныеБилеты», проводит платёж и выдаёт пакет документов.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Главное действующее лицо:</w:t>
      </w:r>
      <w:r>
        <w:rPr>
          <w:rFonts w:ascii="Times New Roman" w:hAnsi="Times New Roman"/>
          <w:b w:val="0"/>
          <w:i w:val="0"/>
          <w:sz w:val="28"/>
        </w:rPr>
        <w:t xml:space="preserve"> Клиент.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Второстепенные действующие лица:</w:t>
      </w:r>
      <w:r>
        <w:rPr>
          <w:rFonts w:ascii="Times New Roman" w:hAnsi="Times New Roman"/>
          <w:b w:val="0"/>
          <w:i w:val="0"/>
          <w:sz w:val="28"/>
        </w:rPr>
        <w:t xml:space="preserve"> Банковский эквайринг, Почтовый шлюз (SMTP).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Предусловия:</w:t>
      </w:r>
      <w:r>
        <w:rPr>
          <w:rFonts w:ascii="Times New Roman" w:hAnsi="Times New Roman"/>
          <w:b w:val="0"/>
          <w:i w:val="0"/>
          <w:sz w:val="28"/>
        </w:rPr>
        <w:t xml:space="preserve"> выбрана «Экскурсия» со статусом «Запланирована»; на дату есть свободные места; «Маршрут» активен.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Основной поток: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</w:trPr>
        <w:tc>
          <w:tcPr>
            <w:tcW w:type="dxa" w:w="4535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Действия пользователя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Отклик системы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 Клиент открывает карточку экскурсии и нажимает «Оформить договор»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запрашивает количество участников и персональные данные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 Клиент указывает количество участников, вводит ФИО и паспортные данные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проверяет доступность мест и корректность данных, рассчитывает итоговую стоимость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 Клиент подтверждает согласие на обработку персональных данных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создаёт «Договор» в состоянии «Черновик» и формирует «ЭлектронныеБилеты» с QR-кодами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 Клиент нажимает «Оплатить»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выполняет включаемый УЧ «Провести платёж по договору»: передаёт платёж в «Банковский эквайринг» и после подтверждения переводит «Договор» в состояние «Оплачен»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5. —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выполняет включаемый УЧ «Получить пакет документов»: формирует договор, счёт и электронные билеты, публикует их в личном кабинете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6. Клиент скачивает документы или запрашивает копию на e-mail</w:t>
            </w:r>
          </w:p>
        </w:tc>
        <w:tc>
          <w:tcPr>
            <w:tcW w:type="dxa" w:w="4819"/>
          </w:tcPr>
          <w:p>
            <w:pPr>
              <w:spacing w:after="40" w:before="40" w:line="240" w:lineRule="auto"/>
              <w:ind w:firstLine="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Система фиксирует выдачу; при запросе копии отправляет её через «Почтовый шлюз (SMTP)»</w:t>
            </w:r>
          </w:p>
        </w:tc>
      </w:tr>
    </w:tbl>
    <w:p>
      <w:pPr>
        <w:spacing w:after="40"/>
      </w:pP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Постусловия.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Гарантии успеха:</w:t>
      </w:r>
      <w:r>
        <w:rPr>
          <w:rFonts w:ascii="Times New Roman" w:hAnsi="Times New Roman"/>
          <w:b w:val="0"/>
          <w:i w:val="0"/>
          <w:sz w:val="28"/>
        </w:rPr>
        <w:t xml:space="preserve"> «Договор» создан и оплачен; «ЭлектронныеБилеты» сформированы и действительны; пакет документов доступен клиенту; уведомление отправлено; места закреплены за участниками.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Минимальные гарантии:</w:t>
      </w:r>
      <w:r>
        <w:rPr>
          <w:rFonts w:ascii="Times New Roman" w:hAnsi="Times New Roman"/>
          <w:b w:val="0"/>
          <w:i w:val="0"/>
          <w:sz w:val="28"/>
        </w:rPr>
        <w:t xml:space="preserve"> при сбое «Договор» не переходит в состояние «Оплачен»; билеты не выдаются как действительные; введённые данные не теряются; зарезервированные места освобождаются; ошибка фиксируется в журнале.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Альтернативные потоки: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А1. Нет свободных мест или экскурсия отменена.</w:t>
      </w:r>
      <w:r>
        <w:rPr>
          <w:rFonts w:ascii="Times New Roman" w:hAnsi="Times New Roman"/>
          <w:b w:val="0"/>
          <w:i w:val="0"/>
          <w:sz w:val="28"/>
        </w:rPr>
        <w:t xml:space="preserve"> Система сообщает причину и предлагает выбрать другую дату или экскурсию; договор не создаётся.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А2. Некорректные персональные данные.</w:t>
      </w:r>
      <w:r>
        <w:rPr>
          <w:rFonts w:ascii="Times New Roman" w:hAnsi="Times New Roman"/>
          <w:b w:val="0"/>
          <w:i w:val="0"/>
          <w:sz w:val="28"/>
        </w:rPr>
        <w:t xml:space="preserve"> Система выводит перечень ошибок и возвращает клиента к шагу 2.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А3. Банк отклонил платёж.</w:t>
      </w:r>
      <w:r>
        <w:rPr>
          <w:rFonts w:ascii="Times New Roman" w:hAnsi="Times New Roman"/>
          <w:b w:val="0"/>
          <w:i w:val="0"/>
          <w:sz w:val="28"/>
        </w:rPr>
        <w:t xml:space="preserve"> «Договор» остаётся в состоянии «Ожидает оплаты», «Платёж» получает статус «Отклонён» и причину отказа; клиент может повторить оплату до истечения срока оплаты (см. 3.3.2).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А4. Истёк срок оплаты.</w:t>
      </w:r>
      <w:r>
        <w:rPr>
          <w:rFonts w:ascii="Times New Roman" w:hAnsi="Times New Roman"/>
          <w:b w:val="0"/>
          <w:i w:val="0"/>
          <w:sz w:val="28"/>
        </w:rPr>
        <w:t xml:space="preserve"> «Договор» переходит в состояние «Аннулирован», «ЭлектронныеБилеты» аннулируются, места освобождаются.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А5. Ошибка почтового шлюза.</w:t>
      </w:r>
      <w:r>
        <w:rPr>
          <w:rFonts w:ascii="Times New Roman" w:hAnsi="Times New Roman"/>
          <w:b w:val="0"/>
          <w:i w:val="0"/>
          <w:sz w:val="28"/>
        </w:rPr>
        <w:t xml:space="preserve"> Пакет документов остаётся доступен в личном кабинете; отправка уведомления повторяется; договор не откатывается.</w:t>
      </w:r>
    </w:p>
    <w:p>
      <w:pPr>
        <w:spacing w:line="360" w:lineRule="auto" w:after="80" w:before="20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3.3.2. Вариант использования «Провести платёж по договору» (основной и альтернативные потоки)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Вариант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Провести платёж по договору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ID:</w:t>
      </w:r>
      <w:r>
        <w:rPr>
          <w:rFonts w:ascii="Times New Roman" w:hAnsi="Times New Roman"/>
          <w:b w:val="0"/>
          <w:i w:val="0"/>
          <w:sz w:val="28"/>
        </w:rPr>
        <w:t xml:space="preserve"> УЧ-08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Краткое описание:</w:t>
      </w:r>
      <w:r>
        <w:rPr>
          <w:rFonts w:ascii="Times New Roman" w:hAnsi="Times New Roman"/>
          <w:b w:val="0"/>
          <w:i w:val="0"/>
          <w:sz w:val="28"/>
        </w:rPr>
        <w:t xml:space="preserve"> «Клиент» оплачивает «Договор» через «Банковский эквайринг»; система создаёт «Платёж», фиксирует статус и переводит договор в состояние «Оплачен».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Главное действующее лицо:</w:t>
      </w:r>
      <w:r>
        <w:rPr>
          <w:rFonts w:ascii="Times New Roman" w:hAnsi="Times New Roman"/>
          <w:b w:val="0"/>
          <w:i w:val="0"/>
          <w:sz w:val="28"/>
        </w:rPr>
        <w:t xml:space="preserve"> Клиент.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Второстепенные действующие лица:</w:t>
      </w:r>
      <w:r>
        <w:rPr>
          <w:rFonts w:ascii="Times New Roman" w:hAnsi="Times New Roman"/>
          <w:b w:val="0"/>
          <w:i w:val="0"/>
          <w:sz w:val="28"/>
        </w:rPr>
        <w:t xml:space="preserve"> Банковский эквайринг, Почтовый шлюз (SMTP).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Предусловия:</w:t>
      </w:r>
      <w:r>
        <w:rPr>
          <w:rFonts w:ascii="Times New Roman" w:hAnsi="Times New Roman"/>
          <w:b w:val="0"/>
          <w:i w:val="0"/>
          <w:sz w:val="28"/>
        </w:rPr>
        <w:t xml:space="preserve"> «Договор» в состоянии «Ожидает оплаты»; сформирован счёт; срок оплаты не истёк.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Основной поток: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1. Клиент выбирает оплату банковской картой; система открывает форму «Банковского эквайринга».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2. Клиент вводит реквизиты и подтверждает платёж; система создаёт «Платёж» со статусом «Ожидает» и передаёт запрос в «Банковский эквайринг».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3. «Банковский эквайринг» подтверждает операцию и возвращает внешний ID транзакции.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4. Система фиксирует статус «Оплачен», дату изменения статуса; «Договор» переходит в состояние «Оплачен».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5. Система формирует «Уведомление» и отправляет его клиенту через «Почтовый шлюз (SMTP)».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Постусловия.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Гарантии успеха:</w:t>
      </w:r>
      <w:r>
        <w:rPr>
          <w:rFonts w:ascii="Times New Roman" w:hAnsi="Times New Roman"/>
          <w:b w:val="0"/>
          <w:i w:val="0"/>
          <w:sz w:val="28"/>
        </w:rPr>
        <w:t xml:space="preserve"> «Платёж» сохранён со статусом «Оплачен» и внешним ID транзакции; «Договор» оплачен; уведомление отправлено.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Минимальные гарантии:</w:t>
      </w:r>
      <w:r>
        <w:rPr>
          <w:rFonts w:ascii="Times New Roman" w:hAnsi="Times New Roman"/>
          <w:b w:val="0"/>
          <w:i w:val="0"/>
          <w:sz w:val="28"/>
        </w:rPr>
        <w:t xml:space="preserve"> при неудаче «Договор» остаётся в состоянии «Ожидает оплаты»; успешный «Платёж» не создаётся; повторный платёж не дублируется.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Альтернативные потоки: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А1. Банк отклонил платёж.</w:t>
      </w:r>
      <w:r>
        <w:rPr>
          <w:rFonts w:ascii="Times New Roman" w:hAnsi="Times New Roman"/>
          <w:b w:val="0"/>
          <w:i w:val="0"/>
          <w:sz w:val="28"/>
        </w:rPr>
        <w:t xml:space="preserve"> «Платёж» получает статус «Отклонён» и причину отказа; договор остаётся «Ожидает оплаты»; клиент может повторить попытку до срока оплаты.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А2. Истёк срок оплаты.</w:t>
      </w:r>
      <w:r>
        <w:rPr>
          <w:rFonts w:ascii="Times New Roman" w:hAnsi="Times New Roman"/>
          <w:b w:val="0"/>
          <w:i w:val="0"/>
          <w:sz w:val="28"/>
        </w:rPr>
        <w:t xml:space="preserve"> «Договор» переходит в состояние «Аннулирован»; «ЭлектронныеБилеты» аннулируются, места освобождаются.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А3. Ошибка связи или таймаут эквайринга.</w:t>
      </w:r>
      <w:r>
        <w:rPr>
          <w:rFonts w:ascii="Times New Roman" w:hAnsi="Times New Roman"/>
          <w:b w:val="0"/>
          <w:i w:val="0"/>
          <w:sz w:val="28"/>
        </w:rPr>
        <w:t xml:space="preserve"> Система не меняет статус договора, сохраняет попытку и предлагает проверить статус по внешнему ID транзакции или повторить операцию позже.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А4. Повторная оплата.</w:t>
      </w:r>
      <w:r>
        <w:rPr>
          <w:rFonts w:ascii="Times New Roman" w:hAnsi="Times New Roman"/>
          <w:b w:val="0"/>
          <w:i w:val="0"/>
          <w:sz w:val="28"/>
        </w:rPr>
        <w:t xml:space="preserve"> Система проверяет наличие успешного «Платежа» по внешнему ID транзакции и не создаёт дубликат.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А5. Возврат средств.</w:t>
      </w:r>
      <w:r>
        <w:rPr>
          <w:rFonts w:ascii="Times New Roman" w:hAnsi="Times New Roman"/>
          <w:b w:val="0"/>
          <w:i w:val="0"/>
          <w:sz w:val="28"/>
        </w:rPr>
        <w:t xml:space="preserve"> При отмене оплаченного договора система создаёт «Платёж» со статусом «Возврат», инициирует возврат в «Банковском эквайринге», переводит договор в состояние «Возврат средств».</w:t>
      </w:r>
    </w:p>
    <w:p>
      <w:pPr>
        <w:spacing w:line="360" w:lineRule="auto" w:after="80" w:before="20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3.3.3. Вариант использования «Провести экскурсию» (поток с включением)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Вариант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Провести экскурсию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ID:</w:t>
      </w:r>
      <w:r>
        <w:rPr>
          <w:rFonts w:ascii="Times New Roman" w:hAnsi="Times New Roman"/>
          <w:b w:val="0"/>
          <w:i w:val="0"/>
          <w:sz w:val="28"/>
        </w:rPr>
        <w:t xml:space="preserve"> УЧ-24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Краткое описание:</w:t>
      </w:r>
      <w:r>
        <w:rPr>
          <w:rFonts w:ascii="Times New Roman" w:hAnsi="Times New Roman"/>
          <w:b w:val="0"/>
          <w:i w:val="0"/>
          <w:sz w:val="28"/>
        </w:rPr>
        <w:t xml:space="preserve"> «Гид» начинает экскурсию, контролирует посадку и явку участников, завершает экскурсию и формирует «ОтчётОПроведении».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Главное действующее лицо:</w:t>
      </w:r>
      <w:r>
        <w:rPr>
          <w:rFonts w:ascii="Times New Roman" w:hAnsi="Times New Roman"/>
          <w:b w:val="0"/>
          <w:i w:val="0"/>
          <w:sz w:val="28"/>
        </w:rPr>
        <w:t xml:space="preserve"> Гид.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Второстепенные действующие лица:</w:t>
      </w:r>
      <w:r>
        <w:rPr>
          <w:rFonts w:ascii="Times New Roman" w:hAnsi="Times New Roman"/>
          <w:b w:val="0"/>
          <w:i w:val="0"/>
          <w:sz w:val="28"/>
        </w:rPr>
        <w:t xml:space="preserve"> нет.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Предусловия:</w:t>
      </w:r>
      <w:r>
        <w:rPr>
          <w:rFonts w:ascii="Times New Roman" w:hAnsi="Times New Roman"/>
          <w:b w:val="0"/>
          <w:i w:val="0"/>
          <w:sz w:val="28"/>
        </w:rPr>
        <w:t xml:space="preserve"> «Экскурсия» в состоянии «Запланирована»; гид назначен, доступ активен; сформированы «ЭлектронныеБилеты» участников.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Основной поток: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1. Гид открывает расписание и выбирает назначенную «Экскурсию»; система отображает детали и список «ЭлектронныхБилетов».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2. Гид нажимает «Начать экскурсию»; система фиксирует фактическое время начала, переводит «Экскурсию» в состояние «Начата», статус занятости гида — «занят».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3. Система выполняет включаемый УЧ «Проконтролировать посадку (отметить явку по билетам)»: гид отмечает явку каждого участника.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4. Гид проводит экскурсию.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5. Гид нажимает «Завершить экскурсию»; система фиксирует фактическое время окончания, переводит «Экскурсию» в состояние «Завершена», статус занятости гида — «свободен».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6. Система выполняет включаемый УЧ «Сформировать и отправить отчет о проведении»; после отправки «Экскурсия» переходит в состояние «Закрыта».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Постусловия.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Гарантии успеха:</w:t>
      </w:r>
      <w:r>
        <w:rPr>
          <w:rFonts w:ascii="Times New Roman" w:hAnsi="Times New Roman"/>
          <w:b w:val="0"/>
          <w:i w:val="0"/>
          <w:sz w:val="28"/>
        </w:rPr>
        <w:t xml:space="preserve"> фактические время начала и окончания зафиксированы; явка отмечена по каждому билету; «ОтчётОПроведении» отправлен; экскурсия закрыта.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Минимальные гарантии:</w:t>
      </w:r>
      <w:r>
        <w:rPr>
          <w:rFonts w:ascii="Times New Roman" w:hAnsi="Times New Roman"/>
          <w:b w:val="0"/>
          <w:i w:val="0"/>
          <w:sz w:val="28"/>
        </w:rPr>
        <w:t xml:space="preserve"> при сбое статус экскурсии не меняется необратимо; отметки явки не теряются; причина сбоя фиксируется в журнале.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Альтернативные потоки: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А1. Часть участников не явилась.</w:t>
      </w:r>
      <w:r>
        <w:rPr>
          <w:rFonts w:ascii="Times New Roman" w:hAnsi="Times New Roman"/>
          <w:b w:val="0"/>
          <w:i w:val="0"/>
          <w:sz w:val="28"/>
        </w:rPr>
        <w:t xml:space="preserve"> Гид отмечает неявку; в отчёте фиксируется фактическая явка.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А2. Инцидент (ЧП) во время экскурсии.</w:t>
      </w:r>
      <w:r>
        <w:rPr>
          <w:rFonts w:ascii="Times New Roman" w:hAnsi="Times New Roman"/>
          <w:b w:val="0"/>
          <w:i w:val="0"/>
          <w:sz w:val="28"/>
        </w:rPr>
        <w:t xml:space="preserve"> Выполняется расширяющий УЧ «Зафиксировать инцидент (ЧП) и прикрепить фото» (см. 3.3.4).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/>
          <w:i w:val="0"/>
          <w:sz w:val="28"/>
        </w:rPr>
        <w:t>А3. Экскурсия прервана.</w:t>
      </w:r>
      <w:r>
        <w:rPr>
          <w:rFonts w:ascii="Times New Roman" w:hAnsi="Times New Roman"/>
          <w:b w:val="0"/>
          <w:i w:val="0"/>
          <w:sz w:val="28"/>
        </w:rPr>
        <w:t xml:space="preserve"> Гид фиксирует причину; «Экскурсия» переходит в состояние «Отменена», клиенты уведомляются, по оплаченным договорам инициируются возвраты.</w:t>
      </w:r>
    </w:p>
    <w:p>
      <w:pPr>
        <w:spacing w:line="360" w:lineRule="auto" w:after="40" w:before="12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Включаемый вариант использования «Проконтролировать посадку (отметить явку по билетам)»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ID:</w:t>
      </w:r>
      <w:r>
        <w:rPr>
          <w:rFonts w:ascii="Times New Roman" w:hAnsi="Times New Roman"/>
          <w:b w:val="0"/>
          <w:i w:val="0"/>
          <w:sz w:val="28"/>
        </w:rPr>
        <w:t xml:space="preserve"> УЧ-25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Краткое описание:</w:t>
      </w:r>
      <w:r>
        <w:rPr>
          <w:rFonts w:ascii="Times New Roman" w:hAnsi="Times New Roman"/>
          <w:b w:val="0"/>
          <w:i w:val="0"/>
          <w:sz w:val="28"/>
        </w:rPr>
        <w:t xml:space="preserve"> гид отмечает явку или неявку каждого участника по «ЭлектроннымБилетам»; вариант включается в «Провести экскурсию».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Главное действующее лицо:</w:t>
      </w:r>
      <w:r>
        <w:rPr>
          <w:rFonts w:ascii="Times New Roman" w:hAnsi="Times New Roman"/>
          <w:b w:val="0"/>
          <w:i w:val="0"/>
          <w:sz w:val="28"/>
        </w:rPr>
        <w:t xml:space="preserve"> Гид.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Предусловия:</w:t>
      </w:r>
      <w:r>
        <w:rPr>
          <w:rFonts w:ascii="Times New Roman" w:hAnsi="Times New Roman"/>
          <w:b w:val="0"/>
          <w:i w:val="0"/>
          <w:sz w:val="28"/>
        </w:rPr>
        <w:t xml:space="preserve"> «Экскурсия» в состоянии «Начата»; гиду доступен список билетов.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Основной поток: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1. Гид открывает посадочную ведомость; система отображает «ЭлектронныеБилеты» участников.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2. Для каждого участника гид отмечает явку или неявку; система сохраняет признак в атрибуте «отметка явки».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3. Гид подтверждает завершение контроля; система фиксирует итоговую явку и возвращает управление в «Провести экскурсию».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Постусловия.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Гарантии успеха:</w:t>
      </w:r>
      <w:r>
        <w:rPr>
          <w:rFonts w:ascii="Times New Roman" w:hAnsi="Times New Roman"/>
          <w:b w:val="0"/>
          <w:i w:val="0"/>
          <w:sz w:val="28"/>
        </w:rPr>
        <w:t xml:space="preserve"> по каждому билету зафиксирована явка/неявка; данные доступны для отчёта.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Минимальные гарантии:</w:t>
      </w:r>
      <w:r>
        <w:rPr>
          <w:rFonts w:ascii="Times New Roman" w:hAnsi="Times New Roman"/>
          <w:b w:val="0"/>
          <w:i w:val="0"/>
          <w:sz w:val="28"/>
        </w:rPr>
        <w:t xml:space="preserve"> при сбое ранее сохранённые отметки не теряются; незавершённые отметки можно повторить.</w:t>
      </w:r>
    </w:p>
    <w:p>
      <w:pPr>
        <w:spacing w:line="360" w:lineRule="auto" w:after="80" w:before="20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3.3.4. Расширяющий вариант использования «Зафиксировать инцидент (ЧП) и прикрепить фото»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Расширяемый вариант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Сформировать и отправить отчет о проведении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Расширяющий вариант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Зафиксировать инцидент (ЧП) и прикрепить фото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ID:</w:t>
      </w:r>
      <w:r>
        <w:rPr>
          <w:rFonts w:ascii="Times New Roman" w:hAnsi="Times New Roman"/>
          <w:b w:val="0"/>
          <w:i w:val="0"/>
          <w:sz w:val="28"/>
        </w:rPr>
        <w:t xml:space="preserve"> УЧ-27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Главное действующее лицо:</w:t>
      </w:r>
      <w:r>
        <w:rPr>
          <w:rFonts w:ascii="Times New Roman" w:hAnsi="Times New Roman"/>
          <w:b w:val="0"/>
          <w:i w:val="0"/>
          <w:sz w:val="28"/>
        </w:rPr>
        <w:t xml:space="preserve"> Гид.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Точка расширения:</w:t>
      </w:r>
      <w:r>
        <w:rPr>
          <w:rFonts w:ascii="Times New Roman" w:hAnsi="Times New Roman"/>
          <w:b w:val="0"/>
          <w:i w:val="0"/>
          <w:sz w:val="28"/>
        </w:rPr>
        <w:t xml:space="preserve"> черновик «Отчёта о проведении».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Условие активации:</w:t>
      </w:r>
      <w:r>
        <w:rPr>
          <w:rFonts w:ascii="Times New Roman" w:hAnsi="Times New Roman"/>
          <w:b w:val="0"/>
          <w:i w:val="0"/>
          <w:sz w:val="28"/>
        </w:rPr>
        <w:t xml:space="preserve"> во время экскурсии произошёл инцидент (ЧП), который необходимо зафиксировать в отчёте, и/или у гида есть фотографии инцидента.</w:t>
      </w:r>
    </w:p>
    <w:p>
      <w:pPr>
        <w:spacing w:line="360" w:lineRule="auto" w:after="40" w:before="12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Сегмент 1. Фиксация инцидента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Краткое описание: гид вносит описание инцидента в «ОтчётОПроведении».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Предусловия: «ОтчётОПроведении» открыт в состоянии «Черновик».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Поток сегмента: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1. Гид нажимает «Зафиксировать инцидент»; система открывает форму.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2. Гид указывает время, участников и описание инцидента; система сохраняет значение атрибута «описание инцидентов (ЧП)».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3. Система отображает инцидент в карточке отчёта.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Постусловия: нет.</w:t>
      </w:r>
    </w:p>
    <w:p>
      <w:pPr>
        <w:spacing w:line="360" w:lineRule="auto" w:after="40" w:before="12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Сегмент 2. Прикрепление фотографий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Краткое описание: гид прикладывает к отчёту фотографии места или последствий инцидента.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Предусловия: отчёт открыт; у гида есть файлы фотографий.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Поток сегмента: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1. Гид нажимает «Прикрепить фото»; система открывает выбор файлов.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2. Гид выбирает файлы (jpg/png); система проверяет формат и размер, сохраняет ссылки в атрибуте «ссылки на фото» и отображает миниатюры.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3. Гид может удалить ошибочно прикреплённое фото.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Постусловия: нет. После завершения расширения базовый сценарий продолжается: отчёт проверяется и отправляется.</w:t>
      </w:r>
    </w:p>
    <w:p>
      <w:pPr>
        <w:spacing w:line="360" w:lineRule="auto" w:after="80" w:before="200"/>
        <w:ind w:firstLine="0" w:left="0"/>
        <w:jc w:val="left"/>
      </w:pPr>
      <w:r>
        <w:rPr>
          <w:rFonts w:ascii="Times New Roman" w:hAnsi="Times New Roman"/>
          <w:b/>
          <w:i w:val="0"/>
          <w:sz w:val="28"/>
        </w:rPr>
        <w:t>3.3.5. Обобщение: вариант использования «Управлять справочниками ресурсов и каталогом» и его специализации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Вариант использования:</w:t>
      </w:r>
      <w:r>
        <w:rPr>
          <w:rFonts w:ascii="Times New Roman" w:hAnsi="Times New Roman"/>
          <w:b w:val="0"/>
          <w:i w:val="0"/>
          <w:sz w:val="28"/>
        </w:rPr>
        <w:t xml:space="preserve"> Управлять справочниками ресурсов и каталогом (абстрактный, обобщающий)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ID:</w:t>
      </w:r>
      <w:r>
        <w:rPr>
          <w:rFonts w:ascii="Times New Roman" w:hAnsi="Times New Roman"/>
          <w:b w:val="0"/>
          <w:i w:val="0"/>
          <w:sz w:val="28"/>
        </w:rPr>
        <w:t xml:space="preserve"> УЧ-17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Краткое описание:</w:t>
      </w:r>
      <w:r>
        <w:rPr>
          <w:rFonts w:ascii="Times New Roman" w:hAnsi="Times New Roman"/>
          <w:b w:val="0"/>
          <w:i w:val="0"/>
          <w:sz w:val="28"/>
        </w:rPr>
        <w:t xml:space="preserve"> «Руководитель (Администратор)» управляет справочниками ресурсов и каталогом. Специализированные варианты наследуют основной поток и уточняют тип ресурса и состав операций.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Главное действующее лицо:</w:t>
      </w:r>
      <w:r>
        <w:rPr>
          <w:rFonts w:ascii="Times New Roman" w:hAnsi="Times New Roman"/>
          <w:b w:val="0"/>
          <w:i w:val="0"/>
          <w:sz w:val="28"/>
        </w:rPr>
        <w:t xml:space="preserve"> Руководитель (Администратор).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Второстепенные действующие лица:</w:t>
      </w:r>
      <w:r>
        <w:rPr>
          <w:rFonts w:ascii="Times New Roman" w:hAnsi="Times New Roman"/>
          <w:b w:val="0"/>
          <w:i w:val="0"/>
          <w:sz w:val="28"/>
        </w:rPr>
        <w:t xml:space="preserve"> нет.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Предусловия:</w:t>
      </w:r>
      <w:r>
        <w:rPr>
          <w:rFonts w:ascii="Times New Roman" w:hAnsi="Times New Roman"/>
          <w:b w:val="0"/>
          <w:i w:val="0"/>
          <w:sz w:val="28"/>
        </w:rPr>
        <w:t xml:space="preserve"> руководитель авторизован; у него есть права администратора.</w:t>
      </w:r>
    </w:p>
    <w:p>
      <w:pPr>
        <w:spacing w:line="360" w:lineRule="auto" w:after="4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Основной поток (наследуется специализациями):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1. Руководитель открывает раздел справочников; система выполняет включаемый УЧ «Авторизоваться в системе» и проверяет права.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2. Руководитель выбирает тип ресурса (каталог, автопарк или учётные записи гидов).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3. Руководитель создаёт, изменяет или деактивирует запись; система проверяет обязательность и корректность атрибутов.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4. Система сохраняет изменения и отображает обновлённый справочник.</w:t>
      </w:r>
    </w:p>
    <w:p>
      <w:pPr>
        <w:spacing w:line="360" w:lineRule="auto" w:after="40" w:before="8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Постусловия.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Гарантии успеха:</w:t>
      </w:r>
      <w:r>
        <w:rPr>
          <w:rFonts w:ascii="Times New Roman" w:hAnsi="Times New Roman"/>
          <w:b w:val="0"/>
          <w:i w:val="0"/>
          <w:sz w:val="28"/>
        </w:rPr>
        <w:t xml:space="preserve"> изменения сохранены; справочник отображает актуальные данные; связанные экскурсии не потеряли ссылки на ресурсы.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/>
          <w:sz w:val="28"/>
        </w:rPr>
        <w:t>Минимальные гарантии:</w:t>
      </w:r>
      <w:r>
        <w:rPr>
          <w:rFonts w:ascii="Times New Roman" w:hAnsi="Times New Roman"/>
          <w:b w:val="0"/>
          <w:i w:val="0"/>
          <w:sz w:val="28"/>
        </w:rPr>
        <w:t xml:space="preserve"> при ошибке изменения не применяются частично; исходные данные остаются неизменными; выводится сообщение об ошибке.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Специализация «Управлять каталогом маршрутов и экскурсий» (УЧ-18).</w:t>
      </w:r>
      <w:r>
        <w:rPr>
          <w:rFonts w:ascii="Times New Roman" w:hAnsi="Times New Roman"/>
          <w:b w:val="0"/>
          <w:i w:val="0"/>
          <w:sz w:val="28"/>
        </w:rPr>
        <w:t xml:space="preserve"> Наследует основной поток; дополнительно позволяет задавать атрибуты «Маршрута» (название, описание, продолжительность, базовая стоимость, максимальный размер группы, возрастное ограничение, тип передвижения, активность), состав «Точек» и расписание «Экскурсий».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Специализация «Управлять автопарком (транспортом)» (УЧ-19).</w:t>
      </w:r>
      <w:r>
        <w:rPr>
          <w:rFonts w:ascii="Times New Roman" w:hAnsi="Times New Roman"/>
          <w:b w:val="0"/>
          <w:i w:val="0"/>
          <w:sz w:val="28"/>
        </w:rPr>
        <w:t xml:space="preserve"> Наследует основной поток; дополнительно позволяет задавать вид транспорта, госномер, вместимость, телефон водителя, статус занятости и признак внешнего подрядчика.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/>
          <w:i w:val="0"/>
          <w:sz w:val="28"/>
        </w:rPr>
        <w:t>Специализация «Управлять учетными записями гидов» (УЧ-20).</w:t>
      </w:r>
      <w:r>
        <w:rPr>
          <w:rFonts w:ascii="Times New Roman" w:hAnsi="Times New Roman"/>
          <w:b w:val="0"/>
          <w:i w:val="0"/>
          <w:sz w:val="28"/>
        </w:rPr>
        <w:t xml:space="preserve"> Наследует основной поток; дополнительно позволяет создавать учётные записи, задавать специализацию, блокировать доступ (атрибут «доступ активен») и управлять статусом занятости.</w:t>
      </w:r>
    </w:p>
    <w:p>
      <w:pPr>
        <w:spacing w:line="360" w:lineRule="auto" w:after="160" w:before="280"/>
        <w:ind w:firstLine="0" w:left="0"/>
        <w:jc w:val="left"/>
      </w:pPr>
      <w:r>
        <w:rPr>
          <w:rFonts w:ascii="Times New Roman" w:hAnsi="Times New Roman"/>
          <w:b/>
          <w:i w:val="0"/>
          <w:sz w:val="32"/>
        </w:rPr>
        <w:t>4. Заключение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В ходе лабораторной работы разработана модель анализа информационной системы «Экскурсионное бюро»: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– построена модель предметной области (диаграмма классов анализа) из 13 классов, задающая согласованный словарь понятий; требования приведены в соответствие с именами классов модели;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– разработаны две модели состояний предметной области — классов «Договор» и «Экскурсия»; выделены состояния, события с параметрами, охраняющие условия и действия;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– разработаны диаграммы вариантов использования для трёх подсистем (клиенты, руководитель, гид), включающие все виды отношений: ассоциации, обобщение актёров и вариантов использования, включение и расширение;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– контекстная диаграмма C4 приведена в соответствие с новой моделью: роли, внешние системы «Банковский эквайринг» и «Почтовый шлюз (SMTP)», связи по оформлению и оплате договоров, билетам, отчётам и уведомлениям;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/>
          <w:b w:val="0"/>
          <w:i w:val="0"/>
          <w:sz w:val="28"/>
        </w:rPr>
        <w:t>– описаны сценарии вариантов использования: основной поток, альтернативные потоки, поток с включением, поток с расширением и поток с обобщением; постусловия включают гарантии успеха и минимальные гарантии.</w:t>
      </w:r>
    </w:p>
    <w:p>
      <w:pPr>
        <w:spacing w:line="360" w:lineRule="auto" w:after="120" w:before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Изображения всех диаграмм, а также PlantUML-исходники моделей состояний и контекстной диаграммы C4 находятся в папке «Диаграммы».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«Модель анализа»</dc:title>
  <dc:subject/>
  <dc:creator>Иванов И.Л.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