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МИНОБРНАУКИ РОССИИ</w:t>
      </w:r>
    </w:p>
    <w:p>
      <w:pPr>
        <w:spacing w:line="360" w:lineRule="auto" w:after="0" w:before="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Федеральное государственное бюджетное образовательное учреждение</w:t>
      </w:r>
    </w:p>
    <w:p>
      <w:pPr>
        <w:spacing w:line="360" w:lineRule="auto" w:after="0" w:before="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высшего образования</w:t>
      </w:r>
    </w:p>
    <w:p>
      <w:pPr>
        <w:spacing w:line="360" w:lineRule="auto" w:after="0" w:before="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«Чувашский государственный университет им. И.Н. Ульянова»</w:t>
      </w:r>
    </w:p>
    <w:p>
      <w:pPr>
        <w:spacing w:line="360" w:lineRule="auto" w:after="0" w:before="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Факультет информатики и вычислительной техники</w:t>
      </w:r>
    </w:p>
    <w:p>
      <w:pPr>
        <w:spacing w:line="360" w:lineRule="auto" w:after="120" w:before="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Кафедра вычислительной техники</w:t>
      </w:r>
    </w:p>
    <w:p>
      <w:pPr>
        <w:spacing w:line="360" w:lineRule="auto" w:after="0" w:before="0"/>
        <w:ind w:firstLine="0" w:left="0"/>
        <w:jc w:val="center"/>
      </w:pPr>
    </w:p>
    <w:p>
      <w:pPr>
        <w:spacing w:line="360" w:lineRule="auto" w:after="0" w:before="0"/>
        <w:ind w:firstLine="0" w:left="0"/>
        <w:jc w:val="center"/>
      </w:pPr>
    </w:p>
    <w:p>
      <w:pPr>
        <w:spacing w:line="360" w:lineRule="auto" w:after="0" w:before="0"/>
        <w:ind w:firstLine="0" w:left="0"/>
        <w:jc w:val="center"/>
      </w:pPr>
    </w:p>
    <w:p>
      <w:pPr>
        <w:spacing w:line="360" w:lineRule="auto" w:after="0" w:before="0"/>
        <w:ind w:firstLine="0" w:left="0"/>
        <w:jc w:val="center"/>
      </w:pPr>
    </w:p>
    <w:p>
      <w:pPr>
        <w:spacing w:line="360" w:lineRule="auto" w:after="0" w:before="0"/>
        <w:ind w:firstLine="0" w:left="0"/>
        <w:jc w:val="center"/>
      </w:pPr>
    </w:p>
    <w:p>
      <w:pPr>
        <w:spacing w:line="360" w:lineRule="auto" w:after="80" w:before="0"/>
        <w:ind w:firstLine="0" w:left="0"/>
        <w:jc w:val="center"/>
      </w:pPr>
      <w:r>
        <w:rPr>
          <w:rFonts w:ascii="Times New Roman" w:hAnsi="Times New Roman"/>
          <w:b/>
          <w:i w:val="0"/>
          <w:sz w:val="36"/>
        </w:rPr>
        <w:t>Лабораторная работа</w:t>
      </w:r>
    </w:p>
    <w:p>
      <w:pPr>
        <w:spacing w:line="360" w:lineRule="auto" w:after="0" w:before="0"/>
        <w:ind w:firstLine="0" w:left="0"/>
        <w:jc w:val="center"/>
      </w:pPr>
      <w:r>
        <w:rPr>
          <w:rFonts w:ascii="Times New Roman" w:hAnsi="Times New Roman"/>
          <w:b/>
          <w:i w:val="0"/>
          <w:sz w:val="36"/>
        </w:rPr>
        <w:t>«Модель анализа»</w:t>
      </w:r>
    </w:p>
    <w:p>
      <w:pPr>
        <w:spacing w:line="360" w:lineRule="auto" w:after="0" w:before="0"/>
        <w:ind w:firstLine="0" w:left="0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«Технология разработки программного обеспечения»</w:t>
      </w:r>
    </w:p>
    <w:p>
      <w:pPr>
        <w:spacing w:line="360" w:lineRule="auto" w:after="0" w:before="0"/>
        <w:ind w:firstLine="0" w:left="0"/>
        <w:jc w:val="center"/>
      </w:pPr>
    </w:p>
    <w:p>
      <w:pPr>
        <w:spacing w:line="360" w:lineRule="auto" w:after="0" w:before="0"/>
        <w:ind w:firstLine="0" w:left="0"/>
        <w:jc w:val="center"/>
      </w:pPr>
    </w:p>
    <w:p>
      <w:pPr>
        <w:spacing w:line="360" w:lineRule="auto" w:after="0" w:before="0"/>
        <w:ind w:firstLine="0" w:left="0"/>
        <w:jc w:val="center"/>
      </w:pPr>
    </w:p>
    <w:p>
      <w:pPr>
        <w:spacing w:line="360" w:lineRule="auto" w:after="0" w:before="0"/>
        <w:ind w:firstLine="0" w:left="0"/>
        <w:jc w:val="center"/>
      </w:pPr>
    </w:p>
    <w:p>
      <w:pPr>
        <w:spacing w:line="360" w:lineRule="auto" w:after="0" w:before="0"/>
        <w:ind w:firstLine="0" w:left="0"/>
        <w:jc w:val="right"/>
      </w:pPr>
      <w:r>
        <w:rPr>
          <w:rFonts w:ascii="Times New Roman" w:hAnsi="Times New Roman"/>
          <w:b w:val="0"/>
          <w:i w:val="0"/>
          <w:sz w:val="28"/>
        </w:rPr>
        <w:t>Выполнил: студент группы ИВТ-42-23</w:t>
      </w:r>
    </w:p>
    <w:p>
      <w:pPr>
        <w:spacing w:line="360" w:lineRule="auto" w:after="240" w:before="0"/>
        <w:ind w:firstLine="0" w:left="0"/>
        <w:jc w:val="right"/>
      </w:pPr>
      <w:r>
        <w:rPr>
          <w:rFonts w:ascii="Times New Roman" w:hAnsi="Times New Roman"/>
          <w:b w:val="0"/>
          <w:i w:val="0"/>
          <w:sz w:val="28"/>
        </w:rPr>
        <w:t>Иванов И.Л.</w:t>
      </w:r>
    </w:p>
    <w:p>
      <w:pPr>
        <w:spacing w:line="360" w:lineRule="auto" w:after="0" w:before="0"/>
        <w:ind w:firstLine="0" w:left="0"/>
        <w:jc w:val="right"/>
      </w:pPr>
      <w:r>
        <w:rPr>
          <w:rFonts w:ascii="Times New Roman" w:hAnsi="Times New Roman"/>
          <w:b w:val="0"/>
          <w:i w:val="0"/>
          <w:sz w:val="28"/>
        </w:rPr>
        <w:t>Проверил: кандидат технических наук</w:t>
      </w:r>
    </w:p>
    <w:p>
      <w:pPr>
        <w:spacing w:line="360" w:lineRule="auto" w:after="0" w:before="0"/>
        <w:ind w:firstLine="0" w:left="0"/>
        <w:jc w:val="right"/>
      </w:pPr>
      <w:r>
        <w:rPr>
          <w:rFonts w:ascii="Times New Roman" w:hAnsi="Times New Roman"/>
          <w:b w:val="0"/>
          <w:i w:val="0"/>
          <w:sz w:val="28"/>
        </w:rPr>
        <w:t>Ржавин В. В.</w:t>
      </w:r>
    </w:p>
    <w:p>
      <w:pPr>
        <w:spacing w:line="360" w:lineRule="auto" w:after="0" w:before="0"/>
        <w:ind w:firstLine="0" w:left="0"/>
        <w:jc w:val="center"/>
      </w:pPr>
    </w:p>
    <w:p>
      <w:pPr>
        <w:spacing w:line="360" w:lineRule="auto" w:after="0" w:before="0"/>
        <w:ind w:firstLine="0" w:left="0"/>
        <w:jc w:val="center"/>
      </w:pPr>
    </w:p>
    <w:p>
      <w:pPr>
        <w:spacing w:line="360" w:lineRule="auto" w:after="0" w:before="0"/>
        <w:ind w:firstLine="0" w:left="0"/>
        <w:jc w:val="center"/>
      </w:pPr>
      <w:r>
        <w:rPr>
          <w:rFonts w:ascii="Times New Roman" w:hAnsi="Times New Roman"/>
          <w:b w:val="0"/>
          <w:i w:val="0"/>
          <w:sz w:val="28"/>
        </w:rPr>
        <w:t>Чебоксары, 2026</w:t>
      </w:r>
    </w:p>
    <w:p>
      <w:pPr>
        <w:spacing w:after="0"/>
      </w:pPr>
      <w:r>
        <w:br w:type="page"/>
      </w:r>
    </w:p>
    <w:p>
      <w:pPr>
        <w:spacing w:line="360" w:lineRule="auto" w:after="160" w:before="280"/>
        <w:ind w:firstLine="0" w:left="0"/>
        <w:jc w:val="left"/>
      </w:pPr>
      <w:r>
        <w:rPr>
          <w:rFonts w:ascii="Times New Roman" w:hAnsi="Times New Roman"/>
          <w:b/>
          <w:i w:val="0"/>
          <w:sz w:val="32"/>
        </w:rPr>
        <w:t>1. Модель предметной области (диаграмма классов анализа)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Модель предметной области представляет собой концептуальную схему классов UML — согласованный словарь бизнес-понятий. В соответствии с рекомендациями на диаграмме показаны только концептуальные классы, их атрибуты и отношения; операции и интерфейсы не отображаются. Модель фиксирует отношения ассоциации (в том числе агрегации) и обобщения, а также кратности связей.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Классы </w:t>
      </w:r>
      <w:r>
        <w:rPr>
          <w:rFonts w:ascii="Times New Roman" w:hAnsi="Times New Roman"/>
          <w:b/>
          <w:i w:val="0"/>
          <w:sz w:val="28"/>
        </w:rPr>
        <w:t>Клиент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Заявка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Участник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Договор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Times New Roman" w:hAnsi="Times New Roman"/>
          <w:b/>
          <w:i w:val="0"/>
          <w:sz w:val="28"/>
        </w:rPr>
        <w:t>Платёж</w:t>
      </w:r>
      <w:r>
        <w:rPr>
          <w:rFonts w:ascii="Times New Roman" w:hAnsi="Times New Roman"/>
          <w:b w:val="0"/>
          <w:i w:val="0"/>
          <w:sz w:val="28"/>
        </w:rPr>
        <w:t xml:space="preserve"> образуют контур оформления и оплаты заказа; классы </w:t>
      </w:r>
      <w:r>
        <w:rPr>
          <w:rFonts w:ascii="Times New Roman" w:hAnsi="Times New Roman"/>
          <w:b/>
          <w:i w:val="0"/>
          <w:sz w:val="28"/>
        </w:rPr>
        <w:t>ЭкскурсионныйПродукт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Экскурсия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Группа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Гид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Times New Roman" w:hAnsi="Times New Roman"/>
          <w:b/>
          <w:i w:val="0"/>
          <w:sz w:val="28"/>
        </w:rPr>
        <w:t>ТранспортноеСредство</w:t>
      </w:r>
      <w:r>
        <w:rPr>
          <w:rFonts w:ascii="Times New Roman" w:hAnsi="Times New Roman"/>
          <w:b w:val="0"/>
          <w:i w:val="0"/>
          <w:sz w:val="28"/>
        </w:rPr>
        <w:t xml:space="preserve"> — контур проведения экскурсий и управления ресурсами; класс </w:t>
      </w:r>
      <w:r>
        <w:rPr>
          <w:rFonts w:ascii="Times New Roman" w:hAnsi="Times New Roman"/>
          <w:b/>
          <w:i w:val="0"/>
          <w:sz w:val="28"/>
        </w:rPr>
        <w:t>ОтчётОПроведении</w:t>
      </w:r>
      <w:r>
        <w:rPr>
          <w:rFonts w:ascii="Times New Roman" w:hAnsi="Times New Roman"/>
          <w:b w:val="0"/>
          <w:i w:val="0"/>
          <w:sz w:val="28"/>
        </w:rPr>
        <w:t xml:space="preserve"> замыкает цикл обратной связи, а абстрактный класс </w:t>
      </w:r>
      <w:r>
        <w:rPr>
          <w:rFonts w:ascii="Times New Roman" w:hAnsi="Times New Roman"/>
          <w:b/>
          <w:i w:val="0"/>
          <w:sz w:val="28"/>
        </w:rPr>
        <w:t>Документ</w:t>
      </w:r>
      <w:r>
        <w:rPr>
          <w:rFonts w:ascii="Times New Roman" w:hAnsi="Times New Roman"/>
          <w:b w:val="0"/>
          <w:i w:val="0"/>
          <w:sz w:val="28"/>
        </w:rPr>
        <w:t xml:space="preserve"> с подклассами </w:t>
      </w:r>
      <w:r>
        <w:rPr>
          <w:rFonts w:ascii="Times New Roman" w:hAnsi="Times New Roman"/>
          <w:b/>
          <w:i w:val="0"/>
          <w:sz w:val="28"/>
        </w:rPr>
        <w:t>Договор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Счёт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Билет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МаршрутныйЛист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Times New Roman" w:hAnsi="Times New Roman"/>
          <w:b/>
          <w:i w:val="0"/>
          <w:sz w:val="28"/>
        </w:rPr>
        <w:t>ПосадочнаяВедомость</w:t>
      </w:r>
      <w:r>
        <w:rPr>
          <w:rFonts w:ascii="Times New Roman" w:hAnsi="Times New Roman"/>
          <w:b w:val="0"/>
          <w:i w:val="0"/>
          <w:sz w:val="28"/>
        </w:rPr>
        <w:t xml:space="preserve"> описывает формируемый системой документооборот. Состав атрибутов классов приведён в соответствии с логической схемой данных, разработанной в курсовой работе по дисциплине «Базы данных».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49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Модель_предметной_област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9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 – Модель предметной области ИС «Экскурсионное бюро»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Словарь классов модели, их атрибутов и связь с требованиями приведены в таблице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</w:trPr>
        <w:tc>
          <w:tcPr>
            <w:tcW w:type="dxa" w:w="1984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Класс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  <w:tc>
          <w:tcPr>
            <w:tcW w:type="dxa" w:w="2608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Ключевые атрибуты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Требования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Клиент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Заказчик услуг бюро (физическое лицо)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фамилия; имя; отчество; дата рождения; номер телефона; email; серия и номер паспорта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BR-02; ПТ7–ПТ12, ПТ25, ПТ74–ПТ76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Заявка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Оформленный клиентом запрос на участие в экскурсии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номер; дата оформления; количество участников; статус («Черновик», «Ожидает оплаты», «Оплачена», «Отменена», «Аннулирована», «Закрыта»)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ПТ7, ПТ13–ПТ15, ПТ24, ПТ60–ПТ64; НФТ-8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Участник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Физическое лицо, включаемое в заявку и в группу экскурсии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ФИО; отметка о явке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ПТ13, ПТ33, ПТ34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Договор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Юридический документ по заявке: клиент, экскурсия, стоимость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номер; дата составления; цена; статус оплаты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ПТ19, ПТ60–ПТ65; BR-05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Платёж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Финансовая операция по договору через эквайринг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сумма; вид оплаты; дата изменения статуса; статус («Ожидает подтверждения», «Оплачен», «Отклонён банком»)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ПТ15–ПТ18, ПТ61–ПТ63, ПТ77; BT-03, BR-05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ЭкскурсионныйПродукт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Каталожная услуга бюро: маршрут с характеристиками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название; описание; продолжительность; дата создания; базовая стоимость; тип; возрастное ограничение; статус («активен», «неактивен»)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ПТ1–ПТ6, ПТ54–ПТ59; ФТ-1.1–ФТ-1.25; RPT-2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Экскурсия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Конкретное проведение продукта в определённую дату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дата начала; дата окончания; оклад гиду; мин. и макс. число участников; статус («Запланирована», «Начата», «Завершена», «Отменена», «Закрыта»)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ПТ2, ПТ29–ПТ36, ПТ70, ПТ71; НФТ-7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Группа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Сформированная на экскурсию совокупность участников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размер группы; дата формирования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ПТ13, ПТ68; FE-02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Гид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Сотрудник, проводящий экскурсию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фамилия; имя; отчество; дата рождения; серия и номер паспорта; специализация; номер лицензии; номер телефона; email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ПТ26–ПТ28, ПТ41–ПТ44, ПТ46–ПТ49, ПТ66, ПТ68, ПТ79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ТранспортноеСредство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Автобус или микроавтобус, обслуживающий экскурсию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вид транспорта; госномер; вместимость; номер телефона водителя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ПТ40, ПТ43, ПТ50–ПТ53, ПТ67, ПТ69; НФТ-7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ОтчётОПроведении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Отчёт гида о фактически проведённой экскурсии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текст отчёта; дата; фотографии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ПТ37–ПТ39, ПТ72; BR-04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Документ (абстрактный)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Общее понятие формируемого системой документа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номер; дата формирования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ПТ19–ПТ23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Счёт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Документ на оплату по договору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сумма к оплате; наследует атрибуты документа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ПТ20; BT-02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Билет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Документ участника с QR-кодом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QR-код; наследует атрибуты документа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ПТ22, ПТ23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МаршрутныйЛист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Документ с планом проведения экскурсии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точки маршрута; расписание; наследует атрибуты документа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ПТ21, ПТ23, ПТ30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ПосадочнаяВедомость</w:t>
            </w:r>
          </w:p>
        </w:tc>
        <w:tc>
          <w:tcPr>
            <w:tcW w:type="dxa" w:w="249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Документ со списком участников и отметками о явке</w:t>
            </w:r>
          </w:p>
        </w:tc>
        <w:tc>
          <w:tcPr>
            <w:tcW w:type="dxa" w:w="260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список участников; наследует атрибуты документа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ПТ31–ПТ34</w:t>
            </w:r>
          </w:p>
        </w:tc>
      </w:tr>
    </w:tbl>
    <w:p>
      <w:pPr>
        <w:spacing w:after="40"/>
      </w:pP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1 – Словарь классов модели предметной области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Основные отношения между классами модели приведены в таблице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</w:trPr>
        <w:tc>
          <w:tcPr>
            <w:tcW w:type="dxa" w:w="2835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Связь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Кратности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3798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Пояснение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Клиент — Заявка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: 0..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Клиент оформляет заявки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Заявка — Участник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: 1..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Заявка включает участников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Заявка — Договор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: 1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 заявке формируется договор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Заявка — Экскурсия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0..</w:t>
            </w:r>
            <w:r>
              <w:rPr>
                <w:rFonts w:ascii="Times New Roman" w:hAnsi="Times New Roman"/>
                <w:b w:val="0"/>
                <w:i/>
                <w:sz w:val="22"/>
              </w:rPr>
              <w:t xml:space="preserve"> : 1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Заявки оформляются на конкретную экскурсию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Договор — Платёж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: 0..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Договор оплачивается платежами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Экскурсия — ЭкскурсионныйПродукт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0..</w:t>
            </w:r>
            <w:r>
              <w:rPr>
                <w:rFonts w:ascii="Times New Roman" w:hAnsi="Times New Roman"/>
                <w:b w:val="0"/>
                <w:i/>
                <w:sz w:val="22"/>
              </w:rPr>
              <w:t xml:space="preserve"> : 1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Экскурсия проводится по продукту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Экскурсия — Гид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0..</w:t>
            </w:r>
            <w:r>
              <w:rPr>
                <w:rFonts w:ascii="Times New Roman" w:hAnsi="Times New Roman"/>
                <w:b w:val="0"/>
                <w:i/>
                <w:sz w:val="22"/>
              </w:rPr>
              <w:t xml:space="preserve"> : 1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Гид проводит экскурсии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Экскурсия — ТранспортноеСредство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0..</w:t>
            </w:r>
            <w:r>
              <w:rPr>
                <w:rFonts w:ascii="Times New Roman" w:hAnsi="Times New Roman"/>
                <w:b w:val="0"/>
                <w:i/>
                <w:sz w:val="22"/>
              </w:rPr>
              <w:t xml:space="preserve"> : 1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Транспортное средство обслуживает экскурсии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Экскурсия — Группа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: 0..1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Для экскурсии формируется группа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Группа — Участник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: 1..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агрегация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Группа объединяет участников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Экскурсия — ОтчётОПроведении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: 0..1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Завершённая экскурсия описывается отчётом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Документ — Договор, Счёт, Билет, МаршрутныйЛист, ПосадочнаяВедомость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обобщение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Подклассы наследуют номер и дату формирования документа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Договор — Счёт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: 0..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 договору выставляются счета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Участник — Билет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: 1..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Каждому участнику выписывается билет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Экскурсия — МаршрутныйЛист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: 1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Экскурсию сопровождает маршрутный лист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Группа — ПосадочнаяВедомость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 : 1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</w:t>
            </w:r>
          </w:p>
        </w:tc>
        <w:tc>
          <w:tcPr>
            <w:tcW w:type="dxa" w:w="379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Состав группы фиксируется в посадочной ведомости</w:t>
            </w:r>
          </w:p>
        </w:tc>
      </w:tr>
    </w:tbl>
    <w:p>
      <w:pPr>
        <w:spacing w:after="40"/>
      </w:pP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2 – Основные отношения модели предметной области</w:t>
      </w:r>
    </w:p>
    <w:p>
      <w:pPr>
        <w:spacing w:line="360" w:lineRule="auto" w:after="120" w:before="2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1.1. Согласование требований с моделью предметной области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Имена классов модели используются как единый словарь терминов в требованиях и сценариях вариантов использования. В таблице 3 исходные формулировки требований приведены в соответствие с разработанной моделью: размытые понятия заменены именами классов, устранены синонимы и неоднозначности.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1191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Идент.</w:t>
            </w:r>
          </w:p>
        </w:tc>
        <w:tc>
          <w:tcPr>
            <w:tcW w:type="dxa" w:w="3458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Исходная формулировка (фрагмент)</w:t>
            </w:r>
          </w:p>
        </w:tc>
        <w:tc>
          <w:tcPr>
            <w:tcW w:type="dxa" w:w="4706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Скорректированная формулировка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ПТ1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просматривать список доступных экскурсионных продуктов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«Клиент» должен иметь возможность просматривать список доступных «ЭкскурсионныхПродуктов» со статусом «активен»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ПТ2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фильтровать экскурсии по дате проведения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«Клиент» должен иметь возможность фильтровать «Экскурсии» по дате проведения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ПТ7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инициировать процесс оформления заявки на экскурсию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«Клиент» должен иметь возможность инициировать оформление «Заявки» на выбранную «Экскурсию»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ПТ8–ПТ12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вводить имя, фамилию, отчество, серию и номер паспорта при оформлении заявки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«Клиент» должен иметь возможность указать персональные данные (фамилию, имя, отчество, серию и номер паспорта) при оформлении «Заявки»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ПТ13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указывать количество участников группы в рамках одной заявки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«Клиент» должен иметь возможность указать количество «Участников» в «Заявке»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ПТ15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переходить к оплате сформированной заявки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«Клиент» должен иметь возможность перейти к оплате «Заявки» (созданию «Платежа» по «Договору»)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ПТ16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вводить реквизиты банковской карты в модуле эквайринга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«Клиент» должен иметь возможность ввести реквизиты карты в «Платёжном шлюзе» при оплате «Заявки»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ПТ19–ПТ22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скачивать договор, счёт, маршрутный лист, билет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«Клиент» должен иметь возможность скачивать документы — подклассы «Документа»: «Договор», «Счёт», «МаршрутныйЛист», «Билет»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ПТ24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инициировать отказ от сделки до момента оказания услуги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«Клиент» должен иметь возможность инициировать отказ от «Заявки» (переход в состояние «Отменена») до начала «Экскурсии»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ПТ27, ПТ28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устанавливать статус своей занятости «свободен»/«занят»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«Гид» должен иметь возможность изменять статус занятости («свободен»/«занят») на выбранную дату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ПТ29, ПТ30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просматривать календарь назначенных экскурсий и их детали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«Гид» должен иметь возможность просматривать календарь «Экскурсий», назначенных ему, и детали каждой «Экскурсии»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ПТ31, ПТ33, ПТ34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просматривать посадочную ведомость, отмечать явку и неявку клиента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«Гид» должен иметь возможность просматривать «ПосадочнуюВедомость» и отмечать явку/неявку каждого «Участника»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ПТ35, ПТ36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изменять статус экскурсии на «начата»/«завершена»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«Гид» должен иметь возможность переводить «Экскурсию» в состояния «Начата» и «Завершена»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ПТ37–ПТ39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формировать отчёт, прикреплять фотографии, отправлять отчёт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«Гид» должен иметь возможность формировать «ОтчётОПроведении», прикреплять к нему фотографии и отправлять его в систему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ПТ50–ПТ53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добавлять и удалять записи о транспортных средствах, указывать госномер и вместимость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«Руководитель» должен управлять справочником «ТранспортныхСредств» (вид, госномер, вместимость, телефон водителя)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ПТ54–ПТ58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добавлять, редактировать и деактивировать экскурсионный продукт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«Руководитель» должен управлять «ЭкскурсионнымиПродуктами» (название, базовая стоимость, длительность, статус)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ПТ60–ПТ64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реестр договоров, фильтрация по статусу оплаты, итоговая сумма поступлений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«Руководитель» должен работать с реестром «Договоров» и «Платежей», фильтровать их по статусу и получать итоговую сумму за период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ПТ70–ПТ73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отчёты о количестве экскурсий и рентабельности, выгрузка в Excel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«Руководитель» должен формировать отчёты по «Экскурсиям», «ЭкскурсионнымПродуктам» и «Платежам» с выгрузкой в Excel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НФТ-7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микроавтобус до 15 человек, автобус свыше 15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автоматически назначает «ТранспортноеСредство»: микроавтобус — при размере «Группы» до 15 «Участников», автобус — свыше 15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НФТ-8</w:t>
            </w:r>
          </w:p>
        </w:tc>
        <w:tc>
          <w:tcPr>
            <w:tcW w:type="dxa" w:w="345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заявка аннулируется, если оплата не поступила в течение 10 минут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«Заявка» переходит в состояние «Аннулирована», если по «Договору» не создан «Платёж» со статусом «Оплачен» в течение 10 минут</w:t>
            </w:r>
          </w:p>
        </w:tc>
      </w:tr>
    </w:tbl>
    <w:p>
      <w:pPr>
        <w:spacing w:after="40"/>
      </w:pP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3 – Скорректированные формулировки требований</w:t>
      </w:r>
    </w:p>
    <w:p>
      <w:pPr>
        <w:spacing w:line="360" w:lineRule="auto" w:after="160" w:before="280"/>
        <w:ind w:firstLine="0" w:left="0"/>
        <w:jc w:val="left"/>
      </w:pPr>
      <w:r>
        <w:rPr>
          <w:rFonts w:ascii="Times New Roman" w:hAnsi="Times New Roman"/>
          <w:b/>
          <w:i w:val="0"/>
          <w:sz w:val="32"/>
        </w:rPr>
        <w:t>2. Модель состояний предметной области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Модель состояний построена для классов предметной области, объекты которых за время жизни сменяют качественно различные состояния: «Заявка» (жизненный цикл оформления, оплаты и закрытия заказа) и «Экскурсия» (жизненный цикл проведения). Для каждого класса выделены состояния, события (с параметрами), вызывающие переходы, и охраняющие условия; переходы могут сопровождаться действиями.</w:t>
      </w:r>
    </w:p>
    <w:p>
      <w:pPr>
        <w:spacing w:line="360" w:lineRule="auto" w:after="120" w:before="2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2.1. Состояния заявки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64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Состояния_Заявк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2 – Диаграмма состояний класса «Заявка»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Описание состояний класса «Заявка» приведено в таблице 4, перечень событий и переходов — в таблице 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2154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Состояние</w:t>
            </w:r>
          </w:p>
        </w:tc>
        <w:tc>
          <w:tcPr>
            <w:tcW w:type="dxa" w:w="7200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Описание и ограничения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Черновик</w:t>
            </w:r>
          </w:p>
        </w:tc>
        <w:tc>
          <w:tcPr>
            <w:tcW w:type="dxa" w:w="7200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Заявка создана; состав участников можно изменять; ресурсы не закреплены, договор не сформирован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ОжидаетОплаты</w:t>
            </w:r>
          </w:p>
        </w:tc>
        <w:tc>
          <w:tcPr>
            <w:tcW w:type="dxa" w:w="7200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Сформированы «Договор» и «Счёт», зарезервированы «Гид» и «ТранспортноеСредство»; действует ограничение — не более 10 минут на оплату (НФТ-8)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ОтклоненаБанком</w:t>
            </w:r>
          </w:p>
        </w:tc>
        <w:tc>
          <w:tcPr>
            <w:tcW w:type="dxa" w:w="7200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«Платёж» отклонён «Платёжным шлюзом»; возможна повторная попытка оплаты, пока не истёк 10-минутный лимит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Оплачена</w:t>
            </w:r>
          </w:p>
        </w:tc>
        <w:tc>
          <w:tcPr>
            <w:tcW w:type="dxa" w:w="7200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«Платёж» прошёл; место в «Группе» закреплено; отказ возможен только до начала «Экскурсии»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Отменена</w:t>
            </w:r>
          </w:p>
        </w:tc>
        <w:tc>
          <w:tcPr>
            <w:tcW w:type="dxa" w:w="7200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Оформлен отказ «Клиента» либо «Экскурсия» отменена; требуется вернуть средства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ВозвратВыполнен</w:t>
            </w:r>
          </w:p>
        </w:tc>
        <w:tc>
          <w:tcPr>
            <w:tcW w:type="dxa" w:w="7200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Средства возвращены клиенту через «Платёжный шлюз»; заявка закрыта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Закрыта</w:t>
            </w:r>
          </w:p>
        </w:tc>
        <w:tc>
          <w:tcPr>
            <w:tcW w:type="dxa" w:w="7200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Услуга оказана («Экскурсия» завершена), «ОтчётОПроведении» сформирован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Аннулирована</w:t>
            </w:r>
          </w:p>
        </w:tc>
        <w:tc>
          <w:tcPr>
            <w:tcW w:type="dxa" w:w="7200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Оплата не поступила в срок либо клиент отказался до оплаты; зарезервированные ресурсы освобождены</w:t>
            </w:r>
          </w:p>
        </w:tc>
      </w:tr>
    </w:tbl>
    <w:p>
      <w:pPr>
        <w:spacing w:after="40"/>
      </w:pP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4 – Состояния класса «Заявка»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2835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Событие (параметры)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Переход</w:t>
            </w:r>
          </w:p>
        </w:tc>
        <w:tc>
          <w:tcPr>
            <w:tcW w:type="dxa" w:w="3685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Условие / действие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создать заявку (Клиент)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</w:t>
            </w:r>
            <w:r>
              <w:rPr>
                <w:rFonts w:ascii="Times New Roman" w:hAnsi="Times New Roman"/>
                <w:b w:val="0"/>
                <w:i/>
                <w:sz w:val="22"/>
              </w:rPr>
              <w:t>] → Черновик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entry / сформировать состав участников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подтвердить заявку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Черновик → ОжидаетОплаты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 сформировать «Договор» и «Счёт»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отказаться (Клиент)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Черновик → Аннулирована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банк подтвердил платёж (код транзакции)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ОжидаетОплаты → Оплачена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 создать «Платёж» со статусом «Оплачен»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банк отклонил платёж (причина)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ОжидаетОплаты → ОтклоненаБанком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 создать «Платёж» со статусом «Отклонён банком»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истёк таймер оплаты (10 минут)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ОжидаетОплаты → Аннулирована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[оплата не поступила]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повторить оплату (Клиент)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ОтклоненаБанком → ОжидаетОплаты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[10 минут не истекли]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отказаться (Клиент)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ОтклоненаБанком → Аннулирована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отказаться (Клиент)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Оплачена → Отменена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[до начала «Экскурсии»]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отменить экскурсию (Руководитель)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Оплачена → Отменена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услуга оказана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Оплачена → Закрыта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 сформировать «ОтчётОПроведении»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оформить возврат (сумма)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Отменена → ВозвратВыполнен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 вернуть средства через «Платёжный шлюз»</w:t>
            </w:r>
          </w:p>
        </w:tc>
      </w:tr>
    </w:tbl>
    <w:p>
      <w:pPr>
        <w:spacing w:after="40"/>
      </w:pP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5 – События и переходы состояний класса «Заявка»</w:t>
      </w:r>
    </w:p>
    <w:p>
      <w:pPr>
        <w:spacing w:line="360" w:lineRule="auto" w:after="120" w:before="2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2.2. Состояния экскурсии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196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остояния_Экскурси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9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3 – Диаграмма состояний класса «Экскурсия»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2154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Состояние</w:t>
            </w:r>
          </w:p>
        </w:tc>
        <w:tc>
          <w:tcPr>
            <w:tcW w:type="dxa" w:w="7200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Описание и ограничения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Запланирована</w:t>
            </w:r>
          </w:p>
        </w:tc>
        <w:tc>
          <w:tcPr>
            <w:tcW w:type="dxa" w:w="7200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Назначены «Гид» и «ТранспортноеСредство»; гид уведомлён; ожидается наступление даты проведения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Начата</w:t>
            </w:r>
          </w:p>
        </w:tc>
        <w:tc>
          <w:tcPr>
            <w:tcW w:type="dxa" w:w="7200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Экскурсия фактически начата; ведётся отметка явки участников по «ПосадочнойВедомости»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Завершена</w:t>
            </w:r>
          </w:p>
        </w:tc>
        <w:tc>
          <w:tcPr>
            <w:tcW w:type="dxa" w:w="7200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Экскурсия фактически завершена; ожидается «ОтчётОПроведении» от гида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Отменена</w:t>
            </w:r>
          </w:p>
        </w:tc>
        <w:tc>
          <w:tcPr>
            <w:tcW w:type="dxa" w:w="7200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Экскурсия не состоялась (группа не набрана, форс-мажор) или прервана; по оплаченным «Заявкам» требуется возврат средств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Закрыта</w:t>
            </w:r>
          </w:p>
        </w:tc>
        <w:tc>
          <w:tcPr>
            <w:tcW w:type="dxa" w:w="7200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«ОтчётОПроведении» отправлен; фактические данные переданы в аналитику</w:t>
            </w:r>
          </w:p>
        </w:tc>
      </w:tr>
    </w:tbl>
    <w:p>
      <w:pPr>
        <w:spacing w:after="40"/>
      </w:pP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6 – Состояния класса «Экскурсия»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2835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Событие (параметры)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Переход</w:t>
            </w:r>
          </w:p>
        </w:tc>
        <w:tc>
          <w:tcPr>
            <w:tcW w:type="dxa" w:w="3685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Условие / действие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создать экскурсию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</w:t>
            </w:r>
            <w:r>
              <w:rPr>
                <w:rFonts w:ascii="Times New Roman" w:hAnsi="Times New Roman"/>
                <w:b w:val="0"/>
                <w:i/>
                <w:sz w:val="22"/>
              </w:rPr>
              <w:t>] → Запланирована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 назначить «Гида» и «ТранспортноеСредство»; entry / уведомить «Гида»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начать экскурсию (фактическое время)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Запланирована → Начата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[наступила дата и группа сформирована]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завершить экскурсию (фактическое время)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Начата → Завершена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отправить отчёт (текст, фотографии)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Завершена → Закрыта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/ связать «ОтчётОПроведении» с «Экскурсией»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отменить экскурсию (причина)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Запланирована → Отменена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[группа не набрана или форс-мажор]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прервать экскурсию (причина)</w:t>
            </w:r>
          </w:p>
        </w:tc>
        <w:tc>
          <w:tcPr>
            <w:tcW w:type="dxa" w:w="28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Начата → Отменена</w:t>
            </w:r>
          </w:p>
        </w:tc>
        <w:tc>
          <w:tcPr>
            <w:tcW w:type="dxa" w:w="368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</w:tbl>
    <w:p>
      <w:pPr>
        <w:spacing w:after="40"/>
      </w:pP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7 – События и переходы состояний класса «Экскурсия»</w:t>
      </w:r>
    </w:p>
    <w:p>
      <w:pPr>
        <w:spacing w:line="360" w:lineRule="auto" w:after="160" w:before="280"/>
        <w:ind w:firstLine="0" w:left="0"/>
        <w:jc w:val="left"/>
      </w:pPr>
      <w:r>
        <w:rPr>
          <w:rFonts w:ascii="Times New Roman" w:hAnsi="Times New Roman"/>
          <w:b/>
          <w:i w:val="0"/>
          <w:sz w:val="32"/>
        </w:rPr>
        <w:t>3. Анализ приложения</w:t>
      </w:r>
    </w:p>
    <w:p>
      <w:pPr>
        <w:spacing w:line="360" w:lineRule="auto" w:after="120" w:before="2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3.1. Диаграмма вариантов использования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Диаграмма вариантов использования отвечает на вопрос, что делает система во внешнем мире. Ввиду большого объёма диаграмма представлена тремя согласованными фрагментами единой модели: сервисы клиента, сервисы гида и сервисы руководителя. На диаграмме использованы все виды отношений: ассоциации (актёр — вариант использования), обобщение (актёров и вариантов использования), включение (include) и расширение (extend).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Действующие лица системы приведены в таблице 8, перечень вариантов использования — в таблице 9.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1701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Актёр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5386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Клиент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Основной, внешний</w:t>
            </w:r>
          </w:p>
        </w:tc>
        <w:tc>
          <w:tcPr>
            <w:tcW w:type="dxa" w:w="538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Заказчик услуг бюро: просматривает каталог, оформляет и оплачивает «Заявки», получает документы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Гид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Основной, внутренний</w:t>
            </w:r>
          </w:p>
        </w:tc>
        <w:tc>
          <w:tcPr>
            <w:tcW w:type="dxa" w:w="538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Проводит «Экскурсии», отмечает явку «Участников», формирует «ОтчётОПроведении»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Руководитель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Основной, внутренний</w:t>
            </w:r>
          </w:p>
        </w:tc>
        <w:tc>
          <w:tcPr>
            <w:tcW w:type="dxa" w:w="538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Ведёт справочники, контролирует «Договоры» и «Платежи», формирует отчёты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Сотрудник бюро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Абстрактный</w:t>
            </w:r>
          </w:p>
        </w:tc>
        <w:tc>
          <w:tcPr>
            <w:tcW w:type="dxa" w:w="538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Обобщение актёров «Гид» и «Руководитель»; наследует вариант использования «Авторизоваться в системе»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Платёжный шлюз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Второстепенный, внешняя система</w:t>
            </w:r>
          </w:p>
        </w:tc>
        <w:tc>
          <w:tcPr>
            <w:tcW w:type="dxa" w:w="538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Банковский эквайринг: приём оплаты и возврат средств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Сервис уведомлений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Второстепенный, внешняя система</w:t>
            </w:r>
          </w:p>
        </w:tc>
        <w:tc>
          <w:tcPr>
            <w:tcW w:type="dxa" w:w="5386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E-mail и SMS: уведомления и рассылка документов</w:t>
            </w:r>
          </w:p>
        </w:tc>
      </w:tr>
    </w:tbl>
    <w:p>
      <w:pPr>
        <w:spacing w:after="40"/>
      </w:pP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8 – Действующие лица (актёры)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</w:trPr>
        <w:tc>
          <w:tcPr>
            <w:tcW w:type="dxa" w:w="567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Вариант использования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Главный актёр</w:t>
            </w:r>
          </w:p>
        </w:tc>
        <w:tc>
          <w:tcPr>
            <w:tcW w:type="dxa" w:w="3345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Отношения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Просмотреть каталог экскурсионных продуктов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Клиент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Расширяется вариантом «Добавить продукт в избранное»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Оформить заявку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Клиент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Включает «Зарезервировать ресурсы экскурсии»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Зарезервировать ресурсы экскурсии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(включаемый)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Включается в «Оформить заявку»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Оплатить заявку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Клиент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Ассоциации с «Платёжным шлюзом» и «Сервисом уведомлений»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Получить пакет документов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Клиент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Ассоциация с «Сервисом уведомлений»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Отказаться от заявки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Клиент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Расширяет «Просмотреть историю бронирований»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Просмотреть историю бронирований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Клиент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Расширяется вариантом «Отказаться от заявки»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Добавить продукт в избранное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Клиент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Расширяет «Просмотреть каталог экскурсионных продуктов»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Управлять статусом занятости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Гид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Просмотреть календарь назначений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Гид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Включает «Просмотреть детали экскурсии»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Просмотреть детали экскурсии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(включаемый)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Включается в «Просмотреть календарь назначений»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Провести экскурсию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Гид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Включает «Отметить явку участников»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Отметить явку участников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(включаемый)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Включается в «Провести экскурсию»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Сформировать отчёт о проведении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Гид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Расширяется вариантом «Прикрепить фотографии к отчёту»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Прикрепить фотографии к отчёту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Гид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Расширяет «Сформировать отчёт о проведении»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Управлять справочником гидов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Руководитель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Управлять парком транспортных средств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Руководитель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Управлять каталогом экскурсионных продуктов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Руководитель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19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Контролировать договоры и платежи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Руководитель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Расширяется вариантом «Инициировать возврат средств»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Инициировать возврат средств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Руководитель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Расширяет «Контролировать договоры и платежи»; ассоциация с «Платёжным шлюзом»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Сформировать отчёт (абстрактный)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Руководитель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Обобщение; расширяется вариантом «Выгрузить отчёт в Excel»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Сформировать отчёт о рентабельности экскурсий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Руководитель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Специализация варианта «Сформировать отчёт»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23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Сформировать отчёт о загруженности ресурсов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Руководитель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Специализация варианта «Сформировать отчёт»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24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Выгрузить отчёт в Excel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Руководитель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Расширяет «Сформировать отчёт»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351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Авторизоваться в системе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Сотрудник бюро</w:t>
            </w:r>
          </w:p>
        </w:tc>
        <w:tc>
          <w:tcPr>
            <w:tcW w:type="dxa" w:w="334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Наследуется актёрами «Гид» и «Руководитель»</w:t>
            </w:r>
          </w:p>
        </w:tc>
      </w:tr>
    </w:tbl>
    <w:p>
      <w:pPr>
        <w:spacing w:after="40"/>
      </w:pP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Таблица 9 – Варианты использования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60078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Варианты_использования_Клиен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0078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4 – Диаграмма вариантов использования: сервисы клиента (фрагмент 1)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16541" cy="73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Варианты_использования_Ги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6541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5 – Диаграмма вариантов использования: сервисы гида (фрагмент 2)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1674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Варианты_использования_Руководител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67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6 – Диаграмма вариантов использования: сервисы руководителя (фрагмент 3)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Ассоциации</w:t>
      </w:r>
      <w:r>
        <w:rPr>
          <w:rFonts w:ascii="Times New Roman" w:hAnsi="Times New Roman"/>
          <w:b w:val="0"/>
          <w:i w:val="0"/>
          <w:sz w:val="28"/>
        </w:rPr>
        <w:t xml:space="preserve"> связывают актёров с вариантами использования, в которых они участвуют: «Клиент» — с оформлением, оплатой и получением документов; «Гид» — с проведением экскурсий и отчётностью; «Руководитель» — с управлением справочниками, финансовым контролем и аналитикой. Внешние системы «Платёжный шлюз» и «Сервис уведомлений» также являются второстепенными актёрами.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Обобщение</w:t>
      </w:r>
      <w:r>
        <w:rPr>
          <w:rFonts w:ascii="Times New Roman" w:hAnsi="Times New Roman"/>
          <w:b w:val="0"/>
          <w:i w:val="0"/>
          <w:sz w:val="28"/>
        </w:rPr>
        <w:t xml:space="preserve"> представлено на двух уровнях. Актёры «Гид» и «Руководитель» обобщены абстрактным актёром «Сотрудник бюро», который не имеет собственных экземпляров: он задаёт общее поведение — участие в варианте использования «Авторизоваться в системе», которое наследуется обоими актёрами. Абстрактный вариант использования «Сформировать отчёт» обобщает специализированные варианты «Сформировать отчёт о рентабельности экскурсий» и «Сформировать отчёт о загруженности ресурсов»: они наследуют его основной поток и уточняют состав показателей.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Включение (.include.)</w:t>
      </w:r>
      <w:r>
        <w:rPr>
          <w:rFonts w:ascii="Times New Roman" w:hAnsi="Times New Roman"/>
          <w:b w:val="0"/>
          <w:i w:val="0"/>
          <w:sz w:val="28"/>
        </w:rPr>
        <w:t xml:space="preserve"> применяется для выделения повторно используемого поведения: «Оформить заявку» включает «Зарезервировать ресурсы экскурсии», «Просмотреть календарь назначений» включает «Просмотреть детали экскурсии», «Провести экскурсию» включает «Отметить явку участников». Включаемый вариант обязательно выполняется как часть включающего.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Расширение (.extend.)</w:t>
      </w:r>
      <w:r>
        <w:rPr>
          <w:rFonts w:ascii="Times New Roman" w:hAnsi="Times New Roman"/>
          <w:b w:val="0"/>
          <w:i w:val="0"/>
          <w:sz w:val="28"/>
        </w:rPr>
        <w:t xml:space="preserve"> задаёт необязательное поведение, вставляемое в базовый вариант при выполнении условия. Точки расширения и условия активации: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«Добавить продукт в избранное» расширяет «Просмотреть каталог экскурсионных продуктов»: точка расширения — список избранного на экране каталога; условие — клиент решил сохранить продукт;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«Отказаться от заявки» расширяет «Просмотреть историю бронирований»: точка расширения — детали бронирования; условие — заявка допускает отмену (услуга не оказана);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«Прикрепить фотографии к отчёту» расширяет «Сформировать отчёт о проведении»: точка расширения — черновик отчёта; условие — у гида есть фотографии;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«Инициировать возврат средств» расширяет «Контролировать договоры и платежи»: точка расширения — состояние договора; условие — экскурсия отменена, а заявка оплачена;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«Выгрузить отчёт в Excel» расширяет «Сформировать отчёт»: точка расширения — форма вывода отчёта; условие — руководителю требуется файл выгрузки.</w:t>
      </w:r>
    </w:p>
    <w:p>
      <w:pPr>
        <w:spacing w:line="360" w:lineRule="auto" w:after="120" w:before="2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3.2. Контекстная диаграмма C4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Контекстная диаграмма C4 (уровень 1) показывает проектируемую систему «чёрным ящиком» в окружении пользователей и внешних систем. Система взаимодействует с тремя группами пользователей (клиент, гид, руководитель) по протоколу HTTPS и с двумя внешними системами: платёжным шлюзом (приём оплаты и возвраты через API эквайринга) и сервисом уведомлений (e-mail и SMS). Диаграмма построена в PlantUML с использованием библиотеки C4-PlantUML.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9206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Контекст_C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20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120"/>
        <w:ind w:firstLine="0" w:left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7 – Контекстная диаграмма C4 (уровень 1) ИС «Экскурсионное бюро»</w:t>
      </w:r>
    </w:p>
    <w:p>
      <w:pPr>
        <w:spacing w:line="360" w:lineRule="auto" w:after="120" w:before="24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3.3. Сценарии вариантов использования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В данном разделе приведены спецификации вариантов использования по шаблонам приложения А: основной поток, альтернативные потоки, поток с включением, поток с расширением и поток с обобщением. Постусловия каждого сценария содержат гарантии успеха и минимальные гарантии.</w:t>
      </w:r>
    </w:p>
    <w:p>
      <w:pPr>
        <w:spacing w:line="360" w:lineRule="auto" w:after="80" w:before="20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3.3.1. Вариант использования «Оформить заявку» (основной и альтернативные потоки)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Вариант использования:</w:t>
      </w:r>
      <w:r>
        <w:rPr>
          <w:rFonts w:ascii="Times New Roman" w:hAnsi="Times New Roman"/>
          <w:b w:val="0"/>
          <w:i w:val="0"/>
          <w:sz w:val="28"/>
        </w:rPr>
        <w:t xml:space="preserve"> Оформить заявку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ID:</w:t>
      </w:r>
      <w:r>
        <w:rPr>
          <w:rFonts w:ascii="Times New Roman" w:hAnsi="Times New Roman"/>
          <w:b w:val="0"/>
          <w:i w:val="0"/>
          <w:sz w:val="28"/>
        </w:rPr>
        <w:t xml:space="preserve"> УЧ-02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Краткое описание:</w:t>
      </w:r>
      <w:r>
        <w:rPr>
          <w:rFonts w:ascii="Times New Roman" w:hAnsi="Times New Roman"/>
          <w:b w:val="0"/>
          <w:i w:val="0"/>
          <w:sz w:val="28"/>
        </w:rPr>
        <w:t xml:space="preserve"> «Клиент» оформляет «Заявку» на выбранную «Экскурсию», указывает количество «Участников» и персональные данные; система резервирует ресурсы, формирует «Договор» и «Счёт».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Главное действующее лицо:</w:t>
      </w:r>
      <w:r>
        <w:rPr>
          <w:rFonts w:ascii="Times New Roman" w:hAnsi="Times New Roman"/>
          <w:b w:val="0"/>
          <w:i w:val="0"/>
          <w:sz w:val="28"/>
        </w:rPr>
        <w:t xml:space="preserve"> Клиент.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Второстепенные действующие лица:</w:t>
      </w:r>
      <w:r>
        <w:rPr>
          <w:rFonts w:ascii="Times New Roman" w:hAnsi="Times New Roman"/>
          <w:b w:val="0"/>
          <w:i w:val="0"/>
          <w:sz w:val="28"/>
        </w:rPr>
        <w:t xml:space="preserve"> нет.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Предусловия:</w:t>
      </w:r>
      <w:r>
        <w:rPr>
          <w:rFonts w:ascii="Times New Roman" w:hAnsi="Times New Roman"/>
          <w:b w:val="0"/>
          <w:i w:val="0"/>
          <w:sz w:val="28"/>
        </w:rPr>
        <w:t xml:space="preserve"> клиент выбрал «ЭкскурсионныйПродукт» со статусом «активен»; на выбранную дату существует «Экскурсия».</w:t>
      </w:r>
    </w:p>
    <w:p>
      <w:pPr>
        <w:spacing w:line="360" w:lineRule="auto" w:after="4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Основной поток: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4535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Действия пользователя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Отклик системы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 Клиент открывает карточку «Экскурсионного продукта» и нажимает «Оформить заявку»</w:t>
            </w:r>
          </w:p>
        </w:tc>
        <w:tc>
          <w:tcPr>
            <w:tcW w:type="dxa" w:w="481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запрашивает дату «Экскурсии» и количество «Участников»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 Клиент указывает количество участников</w:t>
            </w:r>
          </w:p>
        </w:tc>
        <w:tc>
          <w:tcPr>
            <w:tcW w:type="dxa" w:w="481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отображает предварительную стоимость (базовая стоимость продукта × количество участников)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3. Клиент вводит фамилию, имя, отчество и паспортные данные</w:t>
            </w:r>
          </w:p>
        </w:tc>
        <w:tc>
          <w:tcPr>
            <w:tcW w:type="dxa" w:w="481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проверяет полноту и корректность введённых данных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4. Клиент подтверждает согласие на обработку персональных данных</w:t>
            </w:r>
          </w:p>
        </w:tc>
        <w:tc>
          <w:tcPr>
            <w:tcW w:type="dxa" w:w="481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создаёт «Заявку» в состоянии «Черновик»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5. —</w:t>
            </w:r>
          </w:p>
        </w:tc>
        <w:tc>
          <w:tcPr>
            <w:tcW w:type="dxa" w:w="481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выполняет включаемый вариант использования «Зарезервировать ресурсы экскурсии»: подбирает и закрепляет «Гида» и «ТранспортноеСредство», включает «Участников» в «Группу»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6. Клиент нажимает «Перейти к оплате»</w:t>
            </w:r>
          </w:p>
        </w:tc>
        <w:tc>
          <w:tcPr>
            <w:tcW w:type="dxa" w:w="4819"/>
          </w:tcPr>
          <w:p>
            <w:pPr>
              <w:spacing w:after="40" w:before="40" w:line="240" w:lineRule="auto"/>
              <w:ind w:firstLine="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формирует «Договор» и «Счёт», переводит «Заявку» в состояние «Ожидает оплаты» и запускает вариант использования «Оплатить заявку»</w:t>
            </w:r>
          </w:p>
        </w:tc>
      </w:tr>
    </w:tbl>
    <w:p>
      <w:pPr>
        <w:spacing w:after="40"/>
      </w:pPr>
    </w:p>
    <w:p>
      <w:pPr>
        <w:spacing w:line="360" w:lineRule="auto" w:after="40" w:before="8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Постусловия.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/>
          <w:sz w:val="28"/>
        </w:rPr>
        <w:t>Гарантии успеха:</w:t>
      </w:r>
      <w:r>
        <w:rPr>
          <w:rFonts w:ascii="Times New Roman" w:hAnsi="Times New Roman"/>
          <w:b w:val="0"/>
          <w:i w:val="0"/>
          <w:sz w:val="28"/>
        </w:rPr>
        <w:t xml:space="preserve"> создана «Заявка» в состоянии «Ожидает оплаты»; зарезервированы «Гид» и «ТранспортноеСредство»; сформированы «Договор» и «Счёт»; клиенту доступен переход к оплате.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/>
          <w:sz w:val="28"/>
        </w:rPr>
        <w:t>Минимальные гарантии:</w:t>
      </w:r>
      <w:r>
        <w:rPr>
          <w:rFonts w:ascii="Times New Roman" w:hAnsi="Times New Roman"/>
          <w:b w:val="0"/>
          <w:i w:val="0"/>
          <w:sz w:val="28"/>
        </w:rPr>
        <w:t xml:space="preserve"> при сбое на любом шаге «Заявка» не создаётся частично; персональные данные не сохраняются; зарезервированные ресурсы освобождаются; факт ошибки фиксируется в журнале системы.</w:t>
      </w:r>
    </w:p>
    <w:p>
      <w:pPr>
        <w:spacing w:line="360" w:lineRule="auto" w:after="40" w:before="8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Альтернативные потоки: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/>
          <w:i w:val="0"/>
          <w:sz w:val="28"/>
        </w:rPr>
        <w:t>А1. Некорректные персональные данные.</w:t>
      </w:r>
      <w:r>
        <w:rPr>
          <w:rFonts w:ascii="Times New Roman" w:hAnsi="Times New Roman"/>
          <w:b w:val="0"/>
          <w:i w:val="0"/>
          <w:sz w:val="28"/>
        </w:rPr>
        <w:t xml:space="preserve"> Система выводит сообщение с перечнем ошибок и возвращает клиента к шагу 3 основного потока.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/>
          <w:i w:val="0"/>
          <w:sz w:val="28"/>
        </w:rPr>
        <w:t>А2. Нет свободных ресурсов.</w:t>
      </w:r>
      <w:r>
        <w:rPr>
          <w:rFonts w:ascii="Times New Roman" w:hAnsi="Times New Roman"/>
          <w:b w:val="0"/>
          <w:i w:val="0"/>
          <w:sz w:val="28"/>
        </w:rPr>
        <w:t xml:space="preserve"> Если на выбранную дату отсутствует свободный «Гид» или «ТранспортноеСредство» требуемой вместимости, система сообщает об этом и предлагает выбрать другую дату или продукт; «Заявка» не переводится в состояние «Ожидает оплаты».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/>
          <w:i w:val="0"/>
          <w:sz w:val="28"/>
        </w:rPr>
        <w:t>А3. Согласие на обработку данных не подтверждено.</w:t>
      </w:r>
      <w:r>
        <w:rPr>
          <w:rFonts w:ascii="Times New Roman" w:hAnsi="Times New Roman"/>
          <w:b w:val="0"/>
          <w:i w:val="0"/>
          <w:sz w:val="28"/>
        </w:rPr>
        <w:t xml:space="preserve"> «Заявка» не создаётся, персональные данные не сохраняются.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/>
          <w:i w:val="0"/>
          <w:sz w:val="28"/>
        </w:rPr>
        <w:t>А4. Превышено максимальное число участников.</w:t>
      </w:r>
      <w:r>
        <w:rPr>
          <w:rFonts w:ascii="Times New Roman" w:hAnsi="Times New Roman"/>
          <w:b w:val="0"/>
          <w:i w:val="0"/>
          <w:sz w:val="28"/>
        </w:rPr>
        <w:t xml:space="preserve"> Система сообщает ограничение «Экскурсии» и предлагает уменьшить количество «Участников».</w:t>
      </w:r>
    </w:p>
    <w:p>
      <w:pPr>
        <w:spacing w:line="360" w:lineRule="auto" w:after="80" w:before="20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3.3.2. Включаемый вариант использования «Зарезервировать ресурсы экскурсии»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Вариант использования:</w:t>
      </w:r>
      <w:r>
        <w:rPr>
          <w:rFonts w:ascii="Times New Roman" w:hAnsi="Times New Roman"/>
          <w:b w:val="0"/>
          <w:i w:val="0"/>
          <w:sz w:val="28"/>
        </w:rPr>
        <w:t xml:space="preserve"> Зарезервировать ресурсы экскурсии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ID:</w:t>
      </w:r>
      <w:r>
        <w:rPr>
          <w:rFonts w:ascii="Times New Roman" w:hAnsi="Times New Roman"/>
          <w:b w:val="0"/>
          <w:i w:val="0"/>
          <w:sz w:val="28"/>
        </w:rPr>
        <w:t xml:space="preserve"> УЧ-03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Краткое описание:</w:t>
      </w:r>
      <w:r>
        <w:rPr>
          <w:rFonts w:ascii="Times New Roman" w:hAnsi="Times New Roman"/>
          <w:b w:val="0"/>
          <w:i w:val="0"/>
          <w:sz w:val="28"/>
        </w:rPr>
        <w:t xml:space="preserve"> система автоматически подбирает и закрепляет «Гида» и «ТранспортноеСредство» под размер сформированной «Группы»; вариант включается в «Оформить заявку».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Главное действующее лицо:</w:t>
      </w:r>
      <w:r>
        <w:rPr>
          <w:rFonts w:ascii="Times New Roman" w:hAnsi="Times New Roman"/>
          <w:b w:val="0"/>
          <w:i w:val="0"/>
          <w:sz w:val="28"/>
        </w:rPr>
        <w:t xml:space="preserve"> система (включаемый вариант).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Второстепенные действующие лица:</w:t>
      </w:r>
      <w:r>
        <w:rPr>
          <w:rFonts w:ascii="Times New Roman" w:hAnsi="Times New Roman"/>
          <w:b w:val="0"/>
          <w:i w:val="0"/>
          <w:sz w:val="28"/>
        </w:rPr>
        <w:t xml:space="preserve"> нет.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Предусловия:</w:t>
      </w:r>
      <w:r>
        <w:rPr>
          <w:rFonts w:ascii="Times New Roman" w:hAnsi="Times New Roman"/>
          <w:b w:val="0"/>
          <w:i w:val="0"/>
          <w:sz w:val="28"/>
        </w:rPr>
        <w:t xml:space="preserve"> «Заявка» находится в состоянии «Черновик»; определён размер «Группы».</w:t>
      </w:r>
    </w:p>
    <w:p>
      <w:pPr>
        <w:spacing w:line="360" w:lineRule="auto" w:after="4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Основной поток: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1. Система определяет размер «Группы» по количеству «Участников» заявки.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2. Система ищет «Гида» со статусом занятости «свободен» на дату «Экскурсии».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3. Если размер «Группы» не превышает 15 человек, система подбирает микроавтобус вместимостью не менее 15 мест; иначе — автобус вместимостью не менее размера группы (НФТ-7).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4. Система закрепляет найденные «Гид» и «ТранспортноеСредство» за «Экскурсией» и включает «Участников» заявки в «Группу».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5. Система возвращает управление в вариант использования «Оформить заявку».</w:t>
      </w:r>
    </w:p>
    <w:p>
      <w:pPr>
        <w:spacing w:line="360" w:lineRule="auto" w:after="40" w:before="8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Постусловия.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/>
          <w:sz w:val="28"/>
        </w:rPr>
        <w:t>Гарантии успеха:</w:t>
      </w:r>
      <w:r>
        <w:rPr>
          <w:rFonts w:ascii="Times New Roman" w:hAnsi="Times New Roman"/>
          <w:b w:val="0"/>
          <w:i w:val="0"/>
          <w:sz w:val="28"/>
        </w:rPr>
        <w:t xml:space="preserve"> «Гид» и «ТранспортноеСредство» закреплены за «Экскурсией»; «Участники» включены в «Группу».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/>
          <w:sz w:val="28"/>
        </w:rPr>
        <w:t>Минимальные гарантии:</w:t>
      </w:r>
      <w:r>
        <w:rPr>
          <w:rFonts w:ascii="Times New Roman" w:hAnsi="Times New Roman"/>
          <w:b w:val="0"/>
          <w:i w:val="0"/>
          <w:sz w:val="28"/>
        </w:rPr>
        <w:t xml:space="preserve"> при неудаче ресурсы не изменяются, частичное резервирование отменяется, «Заявка» не переводится в состояние «Ожидает оплаты».</w:t>
      </w:r>
    </w:p>
    <w:p>
      <w:pPr>
        <w:spacing w:line="360" w:lineRule="auto" w:after="40" w:before="8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Альтернативные потоки: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/>
          <w:i w:val="0"/>
          <w:sz w:val="28"/>
        </w:rPr>
        <w:t>А1. Нет свободного гида</w:t>
      </w:r>
      <w:r>
        <w:rPr>
          <w:rFonts w:ascii="Times New Roman" w:hAnsi="Times New Roman"/>
          <w:b w:val="0"/>
          <w:i w:val="0"/>
          <w:sz w:val="28"/>
        </w:rPr>
        <w:t xml:space="preserve"> — система возвращает ошибку в «Оформить заявку» с указанием причины (нет гида).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/>
          <w:i w:val="0"/>
          <w:sz w:val="28"/>
        </w:rPr>
        <w:t>А2. Нет подходящего транспорта</w:t>
      </w:r>
      <w:r>
        <w:rPr>
          <w:rFonts w:ascii="Times New Roman" w:hAnsi="Times New Roman"/>
          <w:b w:val="0"/>
          <w:i w:val="0"/>
          <w:sz w:val="28"/>
        </w:rPr>
        <w:t xml:space="preserve"> — система возвращает ошибку с указанием причины (нет транспорта).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/>
          <w:i w:val="0"/>
          <w:sz w:val="28"/>
        </w:rPr>
        <w:t>А3. Конфликт резервирования</w:t>
      </w:r>
      <w:r>
        <w:rPr>
          <w:rFonts w:ascii="Times New Roman" w:hAnsi="Times New Roman"/>
          <w:b w:val="0"/>
          <w:i w:val="0"/>
          <w:sz w:val="28"/>
        </w:rPr>
        <w:t xml:space="preserve"> — если ресурс занят другим пользователем между поиском и закреплением, система повторяет поиск (не более трёх попыток), после чего возвращает ошибку.</w:t>
      </w:r>
    </w:p>
    <w:p>
      <w:pPr>
        <w:spacing w:line="360" w:lineRule="auto" w:after="80" w:before="20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3.3.3. Вариант использования «Оплатить заявку» (альтернативные потоки)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Вариант использования:</w:t>
      </w:r>
      <w:r>
        <w:rPr>
          <w:rFonts w:ascii="Times New Roman" w:hAnsi="Times New Roman"/>
          <w:b w:val="0"/>
          <w:i w:val="0"/>
          <w:sz w:val="28"/>
        </w:rPr>
        <w:t xml:space="preserve"> Оплатить заявку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ID:</w:t>
      </w:r>
      <w:r>
        <w:rPr>
          <w:rFonts w:ascii="Times New Roman" w:hAnsi="Times New Roman"/>
          <w:b w:val="0"/>
          <w:i w:val="0"/>
          <w:sz w:val="28"/>
        </w:rPr>
        <w:t xml:space="preserve"> УЧ-04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Краткое описание:</w:t>
      </w:r>
      <w:r>
        <w:rPr>
          <w:rFonts w:ascii="Times New Roman" w:hAnsi="Times New Roman"/>
          <w:b w:val="0"/>
          <w:i w:val="0"/>
          <w:sz w:val="28"/>
        </w:rPr>
        <w:t xml:space="preserve"> «Клиент» оплачивает «Заявку» через «Платёжный шлюз»; система фиксирует «Платёж», изменяет состояния «Заявки» и «Договора» и уведомляет клиента.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Главное действующее лицо:</w:t>
      </w:r>
      <w:r>
        <w:rPr>
          <w:rFonts w:ascii="Times New Roman" w:hAnsi="Times New Roman"/>
          <w:b w:val="0"/>
          <w:i w:val="0"/>
          <w:sz w:val="28"/>
        </w:rPr>
        <w:t xml:space="preserve"> Клиент.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Второстепенные действующие лица:</w:t>
      </w:r>
      <w:r>
        <w:rPr>
          <w:rFonts w:ascii="Times New Roman" w:hAnsi="Times New Roman"/>
          <w:b w:val="0"/>
          <w:i w:val="0"/>
          <w:sz w:val="28"/>
        </w:rPr>
        <w:t xml:space="preserve"> Платёжный шлюз, Сервис уведомлений.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Предусловия:</w:t>
      </w:r>
      <w:r>
        <w:rPr>
          <w:rFonts w:ascii="Times New Roman" w:hAnsi="Times New Roman"/>
          <w:b w:val="0"/>
          <w:i w:val="0"/>
          <w:sz w:val="28"/>
        </w:rPr>
        <w:t xml:space="preserve"> «Заявка» в состоянии «Ожидает оплаты»; сформирован «Счёт».</w:t>
      </w:r>
    </w:p>
    <w:p>
      <w:pPr>
        <w:spacing w:line="360" w:lineRule="auto" w:after="4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Основной поток: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1. Клиент выбирает способ оплаты банковской картой; система открывает форму ввода реквизитов «Платёжного шлюза».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2. Клиент вводит реквизиты и подтверждает платёж; система передаёт запрос в «Платёжный шлюз».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3. «Платёжный шлюз» подтверждает операцию и возвращает код транзакции.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4. Система создаёт «Платёж» со статусом «Оплачен», переводит «Договор» в состояние «Оплачен», «Заявку» — в состояние «Оплачена»; «Сервис уведомлений» отправляет клиенту уведомление об успешной оплате; клиенту становится доступен вариант использования «Получить пакет документов».</w:t>
      </w:r>
    </w:p>
    <w:p>
      <w:pPr>
        <w:spacing w:line="360" w:lineRule="auto" w:after="40" w:before="8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Постусловия.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/>
          <w:sz w:val="28"/>
        </w:rPr>
        <w:t>Гарантии успеха:</w:t>
      </w:r>
      <w:r>
        <w:rPr>
          <w:rFonts w:ascii="Times New Roman" w:hAnsi="Times New Roman"/>
          <w:b w:val="0"/>
          <w:i w:val="0"/>
          <w:sz w:val="28"/>
        </w:rPr>
        <w:t xml:space="preserve"> «Платёж» сохранён со статусом «Оплачен»; место в «Группе» закреплено; документы доступны клиенту; отправлено уведомление.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/>
          <w:sz w:val="28"/>
        </w:rPr>
        <w:t>Минимальные гарантии:</w:t>
      </w:r>
      <w:r>
        <w:rPr>
          <w:rFonts w:ascii="Times New Roman" w:hAnsi="Times New Roman"/>
          <w:b w:val="0"/>
          <w:i w:val="0"/>
          <w:sz w:val="28"/>
        </w:rPr>
        <w:t xml:space="preserve"> при неудаче «Заявка» остаётся в состоянии «Ожидает оплаты» или «ОтклоненаБанком»; успешный «Платёж» не создаётся; средства не списываются.</w:t>
      </w:r>
    </w:p>
    <w:p>
      <w:pPr>
        <w:spacing w:line="360" w:lineRule="auto" w:after="40" w:before="8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Альтернативные потоки: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/>
          <w:i w:val="0"/>
          <w:sz w:val="28"/>
        </w:rPr>
        <w:t>А1. Банк отклонил платёж.</w:t>
      </w:r>
      <w:r>
        <w:rPr>
          <w:rFonts w:ascii="Times New Roman" w:hAnsi="Times New Roman"/>
          <w:b w:val="0"/>
          <w:i w:val="0"/>
          <w:sz w:val="28"/>
        </w:rPr>
        <w:t xml:space="preserve"> Система создаёт «Платёж» со статусом «Отклонён банком», выводит причину и предлагает повторить оплату; «Заявка» остаётся в состоянии «Ожидает оплаты».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/>
          <w:i w:val="0"/>
          <w:sz w:val="28"/>
        </w:rPr>
        <w:t>А2. Истёк таймер оплаты (10 минут).</w:t>
      </w:r>
      <w:r>
        <w:rPr>
          <w:rFonts w:ascii="Times New Roman" w:hAnsi="Times New Roman"/>
          <w:b w:val="0"/>
          <w:i w:val="0"/>
          <w:sz w:val="28"/>
        </w:rPr>
        <w:t xml:space="preserve"> Система переводит «Заявку» в состояние «Аннулирована», освобождает зарезервированные ресурсы и уведомляет клиента (НФТ-8).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/>
          <w:i w:val="0"/>
          <w:sz w:val="28"/>
        </w:rPr>
        <w:t>А3. Ошибка связи с платёжным шлюзом.</w:t>
      </w:r>
      <w:r>
        <w:rPr>
          <w:rFonts w:ascii="Times New Roman" w:hAnsi="Times New Roman"/>
          <w:b w:val="0"/>
          <w:i w:val="0"/>
          <w:sz w:val="28"/>
        </w:rPr>
        <w:t xml:space="preserve"> Система сообщает о временной недоступности сервиса, не изменяет состояния и предлагает повторить операцию позже.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/>
          <w:i w:val="0"/>
          <w:sz w:val="28"/>
        </w:rPr>
        <w:t>А4. Повторная оплата после отказа.</w:t>
      </w:r>
      <w:r>
        <w:rPr>
          <w:rFonts w:ascii="Times New Roman" w:hAnsi="Times New Roman"/>
          <w:b w:val="0"/>
          <w:i w:val="0"/>
          <w:sz w:val="28"/>
        </w:rPr>
        <w:t xml:space="preserve"> Клиент повторяет попытку, пока не истёк 10-минутный лимит; поток возвращается к шагу 1.</w:t>
      </w:r>
    </w:p>
    <w:p>
      <w:pPr>
        <w:spacing w:line="360" w:lineRule="auto" w:after="80" w:before="20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3.3.4. Расширяющий вариант использования «Прикрепить фотографии к отчёту»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Расширяемый вариант использования:</w:t>
      </w:r>
      <w:r>
        <w:rPr>
          <w:rFonts w:ascii="Times New Roman" w:hAnsi="Times New Roman"/>
          <w:b w:val="0"/>
          <w:i w:val="0"/>
          <w:sz w:val="28"/>
        </w:rPr>
        <w:t xml:space="preserve"> Сформировать отчёт о проведении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Расширяющий вариант использования:</w:t>
      </w:r>
      <w:r>
        <w:rPr>
          <w:rFonts w:ascii="Times New Roman" w:hAnsi="Times New Roman"/>
          <w:b w:val="0"/>
          <w:i w:val="0"/>
          <w:sz w:val="28"/>
        </w:rPr>
        <w:t xml:space="preserve"> Прикрепить фотографии к отчёту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ID:</w:t>
      </w:r>
      <w:r>
        <w:rPr>
          <w:rFonts w:ascii="Times New Roman" w:hAnsi="Times New Roman"/>
          <w:b w:val="0"/>
          <w:i w:val="0"/>
          <w:sz w:val="28"/>
        </w:rPr>
        <w:t xml:space="preserve"> УЧ-15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Главное действующее лицо:</w:t>
      </w:r>
      <w:r>
        <w:rPr>
          <w:rFonts w:ascii="Times New Roman" w:hAnsi="Times New Roman"/>
          <w:b w:val="0"/>
          <w:i w:val="0"/>
          <w:sz w:val="28"/>
        </w:rPr>
        <w:t xml:space="preserve"> Гид.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Точка расширения:</w:t>
      </w:r>
      <w:r>
        <w:rPr>
          <w:rFonts w:ascii="Times New Roman" w:hAnsi="Times New Roman"/>
          <w:b w:val="0"/>
          <w:i w:val="0"/>
          <w:sz w:val="28"/>
        </w:rPr>
        <w:t xml:space="preserve"> черновик «Отчёта о проведении».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Условие активации:</w:t>
      </w:r>
      <w:r>
        <w:rPr>
          <w:rFonts w:ascii="Times New Roman" w:hAnsi="Times New Roman"/>
          <w:b w:val="0"/>
          <w:i w:val="0"/>
          <w:sz w:val="28"/>
        </w:rPr>
        <w:t xml:space="preserve"> у гида есть фотографии проведённой экскурсии, которые он хочет приложить к отчёту. Расширение необязательно: при его невыполнении базовый вариант завершается обычным образом.</w:t>
      </w:r>
    </w:p>
    <w:p>
      <w:pPr>
        <w:spacing w:line="360" w:lineRule="auto" w:after="40" w:before="12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Сегмент 1. Прикрепление фотографий</w:t>
      </w:r>
    </w:p>
    <w:p>
      <w:pPr>
        <w:spacing w:line="360" w:lineRule="auto" w:after="4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Краткое описание: гид выбирает и прикладывает фотографии к черновику «ОтчётаОПроведении».</w:t>
      </w:r>
    </w:p>
    <w:p>
      <w:pPr>
        <w:spacing w:line="360" w:lineRule="auto" w:after="4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Предусловия: «ОтчётОПроведении» открыт в состоянии «Черновик».</w:t>
      </w:r>
    </w:p>
    <w:p>
      <w:pPr>
        <w:spacing w:line="360" w:lineRule="auto" w:after="4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Поток сегмента: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1. Гид нажимает «Прикрепить фотографии»; система открывает диалог выбора файлов.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2. Гид выбирает файлы (jpg/png, не более 10 МБ каждый); система проверяет формат и размер и сохраняет фотографии, связывая их с «ОтчётомОПроведении».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3. Система отображает миниатюры прикреплённых фотографий.</w:t>
      </w:r>
    </w:p>
    <w:p>
      <w:pPr>
        <w:spacing w:line="360" w:lineRule="auto" w:after="4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Постусловия: нет.</w:t>
      </w:r>
    </w:p>
    <w:p>
      <w:pPr>
        <w:spacing w:line="360" w:lineRule="auto" w:after="40" w:before="12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Сегмент 2. Удаление ошибочно прикреплённой фотографии</w:t>
      </w:r>
    </w:p>
    <w:p>
      <w:pPr>
        <w:spacing w:line="360" w:lineRule="auto" w:after="4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Краткое описание: гид удаляет лишнюю фотографию из отчёта.</w:t>
      </w:r>
    </w:p>
    <w:p>
      <w:pPr>
        <w:spacing w:line="360" w:lineRule="auto" w:after="4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Предусловия: к «ОтчётуОПроведении» прикреплена хотя бы одна фотография.</w:t>
      </w:r>
    </w:p>
    <w:p>
      <w:pPr>
        <w:spacing w:line="360" w:lineRule="auto" w:after="4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Поток сегмента: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1. Гид выбирает фотографию и нажимает «Удалить».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2. Система удаляет связь фотографии с «ОтчётомОПроведении» и обновляет миниатюры.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Постусловия: нет.</w:t>
      </w:r>
    </w:p>
    <w:p>
      <w:pPr>
        <w:spacing w:line="360" w:lineRule="auto" w:after="80" w:before="200"/>
        <w:ind w:firstLine="0" w:left="0"/>
        <w:jc w:val="left"/>
      </w:pPr>
      <w:r>
        <w:rPr>
          <w:rFonts w:ascii="Times New Roman" w:hAnsi="Times New Roman"/>
          <w:b/>
          <w:i w:val="0"/>
          <w:sz w:val="28"/>
        </w:rPr>
        <w:t>3.3.5. Обобщение: вариант использования «Сформировать отчёт» и его специализации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Вариант использования:</w:t>
      </w:r>
      <w:r>
        <w:rPr>
          <w:rFonts w:ascii="Times New Roman" w:hAnsi="Times New Roman"/>
          <w:b w:val="0"/>
          <w:i w:val="0"/>
          <w:sz w:val="28"/>
        </w:rPr>
        <w:t xml:space="preserve"> Сформировать отчёт (абстрактный, обобщающий)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ID:</w:t>
      </w:r>
      <w:r>
        <w:rPr>
          <w:rFonts w:ascii="Times New Roman" w:hAnsi="Times New Roman"/>
          <w:b w:val="0"/>
          <w:i w:val="0"/>
          <w:sz w:val="28"/>
        </w:rPr>
        <w:t xml:space="preserve"> УЧ-21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Краткое описание:</w:t>
      </w:r>
      <w:r>
        <w:rPr>
          <w:rFonts w:ascii="Times New Roman" w:hAnsi="Times New Roman"/>
          <w:b w:val="0"/>
          <w:i w:val="0"/>
          <w:sz w:val="28"/>
        </w:rPr>
        <w:t xml:space="preserve"> «Руководитель» выбирает вид отчёта и период; система формирует отчёт на основе «Договоров», «Платежей», «Экскурсий» и «ОтчётовОПроведении». Специализированные варианты наследуют основной поток и уточняют состав показателей.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Главное действующее лицо:</w:t>
      </w:r>
      <w:r>
        <w:rPr>
          <w:rFonts w:ascii="Times New Roman" w:hAnsi="Times New Roman"/>
          <w:b w:val="0"/>
          <w:i w:val="0"/>
          <w:sz w:val="28"/>
        </w:rPr>
        <w:t xml:space="preserve"> Руководитель.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Второстепенные действующие лица:</w:t>
      </w:r>
      <w:r>
        <w:rPr>
          <w:rFonts w:ascii="Times New Roman" w:hAnsi="Times New Roman"/>
          <w:b w:val="0"/>
          <w:i w:val="0"/>
          <w:sz w:val="28"/>
        </w:rPr>
        <w:t xml:space="preserve"> нет.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Предусловия:</w:t>
      </w:r>
      <w:r>
        <w:rPr>
          <w:rFonts w:ascii="Times New Roman" w:hAnsi="Times New Roman"/>
          <w:b w:val="0"/>
          <w:i w:val="0"/>
          <w:sz w:val="28"/>
        </w:rPr>
        <w:t xml:space="preserve"> в системе накоплены данные о проведённых «Экскурсиях» и «Платежах».</w:t>
      </w:r>
    </w:p>
    <w:p>
      <w:pPr>
        <w:spacing w:line="360" w:lineRule="auto" w:after="4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Основной поток (наследуется специализациями):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1. Руководитель открывает раздел «Отчёты»; система отображает список видов отчётов (специализаций).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2. Руководитель выбирает вид отчёта и указывает период; система проверяет корректность периода.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3. Система собирает данные из «Договоров», «Платежей», «Экскурсий» и «ОтчётовОПроведении» и формирует отчёт.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4. Система отображает отчёт; при необходимости выполняется расширяющий вариант «Выгрузить отчёт в Excel» (точка расширения — форма вывода отчёта).</w:t>
      </w:r>
    </w:p>
    <w:p>
      <w:pPr>
        <w:spacing w:line="360" w:lineRule="auto" w:after="40" w:before="8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Постусловия.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/>
          <w:sz w:val="28"/>
        </w:rPr>
        <w:t>Гарантии успеха:</w:t>
      </w:r>
      <w:r>
        <w:rPr>
          <w:rFonts w:ascii="Times New Roman" w:hAnsi="Times New Roman"/>
          <w:b w:val="0"/>
          <w:i w:val="0"/>
          <w:sz w:val="28"/>
        </w:rPr>
        <w:t xml:space="preserve"> отчёт сформирован за указанный период и отображён руководителю; данные не изменяются.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/>
          <w:sz w:val="28"/>
        </w:rPr>
        <w:t>Минимальные гарантии:</w:t>
      </w:r>
      <w:r>
        <w:rPr>
          <w:rFonts w:ascii="Times New Roman" w:hAnsi="Times New Roman"/>
          <w:b w:val="0"/>
          <w:i w:val="0"/>
          <w:sz w:val="28"/>
        </w:rPr>
        <w:t xml:space="preserve"> при ошибке формирования отчёт не отображается; исходные данные остаются неизменными; выводится сообщение об ошибке.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Специализация «Сформировать отчёт о рентабельности экскурсий».</w:t>
      </w:r>
      <w:r>
        <w:rPr>
          <w:rFonts w:ascii="Times New Roman" w:hAnsi="Times New Roman"/>
          <w:b w:val="0"/>
          <w:i w:val="0"/>
          <w:sz w:val="28"/>
        </w:rPr>
        <w:t xml:space="preserve"> Наследует основной поток; дополнительно группирует показатели по «ЭкскурсионнымПродуктам» и «Экскурсиям»: количество проданных мест, фактическая явка «Участников», выручка по «Договорам» и «Платежам», рентабельность каждого направления.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/>
          <w:i w:val="0"/>
          <w:sz w:val="28"/>
        </w:rPr>
        <w:t>Специализация «Сформировать отчёт о загруженности ресурсов».</w:t>
      </w:r>
      <w:r>
        <w:rPr>
          <w:rFonts w:ascii="Times New Roman" w:hAnsi="Times New Roman"/>
          <w:b w:val="0"/>
          <w:i w:val="0"/>
          <w:sz w:val="28"/>
        </w:rPr>
        <w:t xml:space="preserve"> Наследует основной поток; дополнительно группирует показатели по «Гидам» и «ТранспортнымСредствам»: количество назначенных «Экскурсий» и часов работы за период, доля загрузки.</w:t>
      </w:r>
    </w:p>
    <w:p>
      <w:pPr>
        <w:spacing w:after="0"/>
      </w:pPr>
      <w:r>
        <w:br w:type="page"/>
      </w:r>
    </w:p>
    <w:p>
      <w:pPr>
        <w:spacing w:line="360" w:lineRule="auto" w:after="160" w:before="280"/>
        <w:ind w:firstLine="0" w:left="0"/>
        <w:jc w:val="left"/>
      </w:pPr>
      <w:r>
        <w:rPr>
          <w:rFonts w:ascii="Times New Roman" w:hAnsi="Times New Roman"/>
          <w:b/>
          <w:i w:val="0"/>
          <w:sz w:val="32"/>
        </w:rPr>
        <w:t>4. Заключение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>В ходе лабораторной работы разработана модель анализа информационной системы «Экскурсионное бюро»: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построена модель предметной области (диаграмма классов анализа) из 16 классов, задающая согласованный словарь понятий; требования приведены в соответствие с именами классов модели;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разработаны две модели состояний предметной области — классов «Заявка» и «Экскурсия»; выделены состояния, события с параметрами, охраняющие условия и действия;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разработана диаграмма вариантов использования, включающая все виды отношений: ассоциации, обобщение актёров и вариантов использования, включение и расширение; определены точки расширения и условия активации для расширяющих вариантов;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построена контекстная диаграмма C4 (уровень 1), отражающая пользователей и внешние системы (платёжный шлюз и сервис уведомлений);</w:t>
      </w:r>
    </w:p>
    <w:p>
      <w:pPr>
        <w:spacing w:line="360" w:lineRule="auto" w:after="80" w:before="0"/>
        <w:ind w:firstLine="0" w:left="709"/>
        <w:jc w:val="both"/>
      </w:pPr>
      <w:r>
        <w:rPr>
          <w:rFonts w:ascii="Times New Roman" w:hAnsi="Times New Roman"/>
          <w:b w:val="0"/>
          <w:i w:val="0"/>
          <w:sz w:val="28"/>
        </w:rPr>
        <w:t>– описаны сценарии вариантов использования: основной поток, альтернативные потоки, поток с включением, поток с расширением и поток с обобщением; постусловия включают гарантии успеха и минимальные гарантии.</w:t>
      </w:r>
    </w:p>
    <w:p>
      <w:pPr>
        <w:spacing w:line="360" w:lineRule="auto" w:after="120" w:before="0"/>
        <w:ind w:firstLine="709" w:left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Исходники всех диаграмм в нотации PlantUML находятся в папке «Диаграммы» (файлы </w:t>
      </w:r>
      <w:r>
        <w:rPr>
          <w:rFonts w:ascii="Times New Roman" w:hAnsi="Times New Roman"/>
          <w:b w:val="0"/>
          <w:i/>
          <w:sz w:val="28"/>
        </w:rPr>
        <w:t>.puml) вместе с растровыми изображениями (</w:t>
      </w:r>
      <w:r>
        <w:rPr>
          <w:rFonts w:ascii="Times New Roman" w:hAnsi="Times New Roman"/>
          <w:b w:val="0"/>
          <w:i w:val="0"/>
          <w:sz w:val="28"/>
        </w:rPr>
        <w:t>.png).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«Модель анализа»</dc:title>
  <dc:subject/>
  <dc:creator>Иванов И.Л.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