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8d91be0b81c4214" /><Relationship Type="http://schemas.openxmlformats.org/package/2006/relationships/metadata/core-properties" Target="/docProps/core.xml" Id="R0348a6235558408d" /><Relationship Type="http://schemas.openxmlformats.org/officeDocument/2006/relationships/extended-properties" Target="/docProps/app.xml" Id="R034ab17b9ab24056" /><Relationship Type="http://schemas.openxmlformats.org/officeDocument/2006/relationships/custom-properties" Target="/docProps/custom.xml" Id="R6d8c94f8cdb749c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Financial Analytics &amp; Corporate Valuation Analysis of Leading Indian Companies</w:t>
      </w:r>
    </w:p>
    <w:p w14:paraId="00100002" w14:textId="00100003">
      <w:pPr>
        <w:pStyle w:val="Normal"/>
        <w:spacing w:after="80"/>
        <w:jc w:val="center"/>
      </w:pPr>
      <w:r>
        <w:rPr>
          <w:b w:val="false"/>
          <w:sz w:val="26"/>
        </w:rPr>
        <w:t xml:space="preserve">Student Name: Kukku Choudhary</w:t>
      </w:r>
    </w:p>
    <w:p w14:paraId="00100004" w14:textId="0010009A">
      <w:pPr>
        <w:pStyle w:val="Normal"/>
        <w:spacing w:after="80"/>
        <w:jc w:val="center"/>
      </w:pPr>
      <w:r>
        <w:rPr>
          <w:b w:val="false"/>
          <w:sz w:val="26"/>
        </w:rPr>
        <w:t xml:space="preserve">Institution Name: Samrat Ashok Technological Institute, Vidisha</w:t>
      </w:r>
    </w:p>
    <w:p w14:paraId="00100006" w14:textId="00100007">
      <w:pPr>
        <w:pStyle w:val="Normal"/>
        <w:spacing w:after="80"/>
        <w:jc w:val="center"/>
      </w:pPr>
      <w:r>
        <w:rPr>
          <w:b w:val="false"/>
          <w:sz w:val="26"/>
        </w:rPr>
        <w:t xml:space="preserve">Program: IBM SkillsBuild Data Analytics Internship</w:t>
      </w:r>
    </w:p>
    <w:p w14:paraId="00100008" w14:textId="00100009">
      <w:pPr>
        <w:pStyle w:val="Normal"/>
        <w:spacing w:after="80"/>
        <w:jc w:val="center"/>
      </w:pPr>
      <w:r>
        <w:rPr>
          <w:b w:val="false"/>
          <w:sz w:val="24"/>
        </w:rPr>
        <w:t xml:space="preserve">In Association with AICTE &amp; BharatCares</w:t>
      </w:r>
    </w:p>
    <w:p w14:paraId="0010000A" w14:textId="0010000B">
      <w:pPr>
        <w:pStyle w:val="Normal"/>
        <w:spacing w:after="480"/>
        <w:jc w:val="center"/>
      </w:pPr>
      <w:r>
        <w:rPr>
          <w:b w:val="false"/>
          <w:sz w:val="24"/>
        </w:rPr>
        <w:t xml:space="preserve">Academic Year: 2024–2025</w:t>
      </w:r>
    </w:p>
    <w:p w14:paraId="0010000C" w14:textId="0010000D">
      <w:pPr>
        <w:pStyle w:val="Heading1"/>
        <w:spacing w:before="280" w:after="160"/>
      </w:pPr>
      <w:r>
        <w:rPr>
          <w:b/>
          <w:sz w:val="36"/>
        </w:rPr>
        <w:t xml:space="preserve">1. Executive Summary</w:t>
      </w:r>
    </w:p>
    <w:p w14:paraId="0010000E" w14:textId="0010000F">
      <w:pPr>
        <w:pStyle w:val="Normal"/>
        <w:spacing w:after="160"/>
      </w:pPr>
      <w:r>
        <w:rPr>
          <w:sz w:val="24"/>
        </w:rPr>
        <w:t xml:space="preserve">This project presents a comprehensive financial data analysis of 459 publicly listed Indian companies, sourced from equity market databases. The study examines the relationship between market capitalisation (₹ Crore) and quarterly sales revenue (₹ Crore), offering data-driven insights into corporate valuation, market concentration, and revenue-driven growth patterns in the Indian equity landscape.</w:t>
      </w:r>
    </w:p>
    <w:p w14:paraId="00100010" w14:textId="00100011">
      <w:pPr>
        <w:pStyle w:val="Normal"/>
        <w:spacing w:after="160"/>
      </w:pPr>
      <w:r>
        <w:rPr>
          <w:sz w:val="24"/>
        </w:rPr>
        <w:t xml:space="preserve">The analysis pipeline encompasses four stages: (1) data ingestion and cleaning using Pandas and NumPy; (2) exploratory data analysis (EDA) with descriptive statistics; (3) multi-dimensional data visualizations using Matplotlib and Seaborn; and (4) a supervised machine learning model — Linear Regression via Scikit-Learn — to quantify and predict market capitalisation from quarterly sales figures. The project was developed with the assistance of IBM Bob AI Assistant, which facilitated structured code generation, task decomposition, and report documentation throughout the internship programme.</w:t>
      </w:r>
    </w:p>
    <w:p w14:paraId="00100012" w14:textId="00100013">
      <w:pPr>
        <w:pStyle w:val="Normal"/>
        <w:spacing w:after="160"/>
      </w:pPr>
      <w:r>
        <w:rPr>
          <w:sz w:val="24"/>
        </w:rPr>
        <w:t xml:space="preserve">Key findings reveal extreme market concentration, with a small number of conglomerates — notably Reliance Industries, TCS, and HDFC Bank — accounting for approximately 16.89% of total listed market capitalisation. The regression model demonstrates a statistically meaningful relationship between quarterly revenue and market valuation, enabling preliminary predictive inference for financial analysts.</w:t>
      </w:r>
    </w:p>
    <w:p w14:paraId="00100014" w14:textId="00100015">
      <w:pPr>
        <w:pStyle w:val="Heading1"/>
        <w:spacing w:before="280" w:after="160"/>
      </w:pPr>
      <w:r>
        <w:rPr>
          <w:b/>
          <w:sz w:val="36"/>
        </w:rPr>
        <w:t xml:space="preserve">2. Problem Statement &amp; Objectives</w:t>
      </w:r>
    </w:p>
    <w:p w14:paraId="00100016" w14:textId="00100017">
      <w:pPr>
        <w:pStyle w:val="Heading2"/>
        <w:spacing w:before="200" w:after="120"/>
      </w:pPr>
      <w:r>
        <w:rPr>
          <w:b/>
          <w:sz w:val="28"/>
        </w:rPr>
        <w:t xml:space="preserve">2.1 Problem Statement</w:t>
      </w:r>
    </w:p>
    <w:p w14:paraId="00100018" w14:textId="00100019">
      <w:pPr>
        <w:pStyle w:val="Normal"/>
        <w:spacing w:after="160"/>
      </w:pPr>
      <w:r>
        <w:rPr>
          <w:sz w:val="24"/>
        </w:rPr>
        <w:t xml:space="preserve">Indian capital markets exhibit a highly heterogeneous structure in which a concentrated cluster of large-cap enterprises commands a disproportionate share of aggregate market capitalisation. For portfolio managers, investment analysts, and corporate strategists, understanding the quantitative linkage between a company's revenue generation capacity and its equity market valuation is of critical importance. However, raw financial datasets — often formatted with comma-delimited numbers, percentage strings, and inconsistent category labels — pose significant preprocessing challenges before any analytical value can be extracted.</w:t>
      </w:r>
    </w:p>
    <w:p w14:paraId="0010001A" w14:textId="0010001B">
      <w:pPr>
        <w:pStyle w:val="Heading2"/>
        <w:spacing w:before="200" w:after="120"/>
      </w:pPr>
      <w:r>
        <w:rPr>
          <w:b/>
          <w:sz w:val="28"/>
        </w:rPr>
        <w:t xml:space="preserve">2.2 Research Objectives</w:t>
      </w:r>
    </w:p>
    <w:p w14:paraId="0010001C" w14:textId="0010001D">
      <w:pPr>
        <w:pStyle w:val="Normal"/>
        <w:spacing w:after="120"/>
      </w:pPr>
      <w:r>
        <w:rPr>
          <w:sz w:val="24"/>
        </w:rPr>
        <w:t xml:space="preserve">The project is guided by the following analytical objectives:</w:t>
      </w:r>
    </w:p>
    <w:p w14:paraId="0010001E" w14:textId="0010001F">
      <w:pPr>
        <w:pStyle w:val="Normal"/>
        <w:numPr>
          <w:ilvl w:val="0"/>
          <w:numId w:val="1"/>
        </w:numPr>
        <w:spacing w:after="80"/>
      </w:pPr>
      <w:r>
        <w:rPr>
          <w:sz w:val="24"/>
        </w:rPr>
        <w:t xml:space="preserve">Objective 1: To load, clean, and preprocess the raw financial dataset by handling comma-formatted numerical fields, percentage-suffixed values, and missing data entries.</w:t>
      </w:r>
    </w:p>
    <w:p w14:paraId="00100020" w14:textId="00100021">
      <w:pPr>
        <w:pStyle w:val="Normal"/>
        <w:numPr>
          <w:ilvl w:val="0"/>
          <w:numId w:val="1"/>
        </w:numPr>
        <w:spacing w:after="80"/>
      </w:pPr>
      <w:r>
        <w:rPr>
          <w:sz w:val="24"/>
        </w:rPr>
        <w:t xml:space="preserve">Objective 2: To compute and interpret descriptive statistics — mean, median, minimum, maximum, and standard deviation — across key financial metrics including market capitalisation, quarterly sales, valuation multiples, and market share.</w:t>
      </w:r>
    </w:p>
    <w:p w14:paraId="00100022" w14:textId="00100023">
      <w:pPr>
        <w:pStyle w:val="Normal"/>
        <w:numPr>
          <w:ilvl w:val="0"/>
          <w:numId w:val="1"/>
        </w:numPr>
        <w:spacing w:after="80"/>
      </w:pPr>
      <w:r>
        <w:rPr>
          <w:sz w:val="24"/>
        </w:rPr>
        <w:t xml:space="preserve">Objective 3: To design and export three publication-quality visualization charts — a horizontal bar plot of top market share leaders, a boxplot of valuation multiples by capitalization tier, and a Pearson correlation heatmap across all numerical attributes.</w:t>
      </w:r>
    </w:p>
    <w:p w14:paraId="00100024" w14:textId="00100025">
      <w:pPr>
        <w:pStyle w:val="Normal"/>
        <w:numPr>
          <w:ilvl w:val="0"/>
          <w:numId w:val="1"/>
        </w:numPr>
        <w:spacing w:after="80"/>
      </w:pPr>
      <w:r>
        <w:rPr>
          <w:sz w:val="24"/>
        </w:rPr>
        <w:t xml:space="preserve">Objective 4: To build, train, and evaluate a Linear Regression model using quarterly sales as the independent variable (X) and market capitalisation as the dependent variable (y), with a formal 80/20 train-test split.</w:t>
      </w:r>
    </w:p>
    <w:p w14:paraId="00100026" w14:textId="00100027">
      <w:pPr>
        <w:pStyle w:val="Normal"/>
        <w:numPr>
          <w:ilvl w:val="0"/>
          <w:numId w:val="1"/>
        </w:numPr>
        <w:spacing w:after="160"/>
      </w:pPr>
      <w:r>
        <w:rPr>
          <w:sz w:val="24"/>
        </w:rPr>
        <w:t xml:space="preserve">Objective 5: To derive actionable business recommendations for financial analysts and retail investors based on data-driven findings.</w:t>
      </w:r>
    </w:p>
    <w:p w14:paraId="00100028" w14:textId="00100029">
      <w:pPr>
        <w:pStyle w:val="Heading1"/>
        <w:spacing w:before="280" w:after="160"/>
      </w:pPr>
      <w:r>
        <w:rPr>
          <w:b/>
          <w:sz w:val="36"/>
        </w:rPr>
        <w:t xml:space="preserve">3. Exploratory Data Analysis &amp; Findings</w:t>
      </w:r>
    </w:p>
    <w:p w14:paraId="0010002A" w14:textId="0010002B">
      <w:pPr>
        <w:pStyle w:val="Heading2"/>
        <w:spacing w:before="200" w:after="120"/>
      </w:pPr>
      <w:r>
        <w:rPr>
          <w:b/>
          <w:sz w:val="28"/>
        </w:rPr>
        <w:t xml:space="preserve">3.1 Dataset Profile</w:t>
      </w:r>
    </w:p>
    <w:p w14:paraId="0010002C" w14:textId="0010002D">
      <w:pPr>
        <w:pStyle w:val="Normal"/>
        <w:spacing w:after="160"/>
      </w:pPr>
      <w:r>
        <w:rPr>
          <w:sz w:val="24"/>
        </w:rPr>
        <w:t xml:space="preserve">The dataset comprises 459 rows and 7 columns. After stripping commas from market_cap_crore and sales_qtr_crore, and removing the percentage suffix from market_cap_share, all four numerical attributes were cast to 64-bit floating-point values. No records were dropped for universal nullity, confirming that the dataset is largely complete and analysis-ready.</w:t>
      </w:r>
    </w:p>
    <w:p w14:paraId="0010002E" w14:textId="0010002F">
      <w:pPr>
        <w:pStyle w:val="Heading2"/>
        <w:spacing w:before="200" w:after="120"/>
      </w:pPr>
      <w:r>
        <w:rPr>
          <w:b/>
          <w:sz w:val="28"/>
        </w:rPr>
        <w:t xml:space="preserve">3.2 Market Concentration — Top 10 Leaders</w:t>
      </w:r>
    </w:p>
    <w:p w14:paraId="00100030" w14:textId="00100031">
      <w:pPr>
        <w:pStyle w:val="Normal"/>
        <w:spacing w:after="160"/>
      </w:pPr>
      <w:r>
        <w:rPr>
          <w:sz w:val="24"/>
        </w:rPr>
        <w:t xml:space="preserve">The horizontal bar chart (top_10_market_share.png) reveals a strikingly concentrated ownership of India's listed market capitalisation. The top three companies alone — Reliance Industries (~4.40%), TCS (~4.25%), and HDFC Bank (~3.64%) — together hold approximately 12.29% of total market capitalisation among the 459 sampled companies. Including ITC (~2.42%), HDFC (~2.18%), Hindustan Unilever (~2.18%), Maruti Suzuki (~1.99%), Infosys (~1.87%), ONGC (~1.81%), and Bajaj Finance (~1.61%), the collective share of the top 10 rises to approximately 16.89%.</w:t>
      </w:r>
    </w:p>
    <w:p w14:paraId="00100032" w14:textId="00100033">
      <w:pPr>
        <w:pStyle w:val="Normal"/>
        <w:spacing w:after="160"/>
      </w:pPr>
      <w:r>
        <w:rPr>
          <w:sz w:val="24"/>
        </w:rPr>
        <w:t xml:space="preserve">This Pareto-like concentration implies that a small cohort of diversified conglomerates and technology-financial services firms dominate index movements, making them critical reference points for any market-wide risk assessment or portfolio rebalancing exercise.</w:t>
      </w:r>
    </w:p>
    <w:p w14:paraId="00100034" w14:textId="00100035">
      <w:pPr>
        <w:pStyle w:val="Heading2"/>
        <w:spacing w:before="200" w:after="120"/>
      </w:pPr>
      <w:r>
        <w:rPr>
          <w:b/>
          <w:sz w:val="28"/>
        </w:rPr>
        <w:t xml:space="preserve">3.3 Valuation Multiple Distribution (market_cap_to_sales)</w:t>
      </w:r>
    </w:p>
    <w:p w14:paraId="00100036" w14:textId="00100037">
      <w:pPr>
        <w:pStyle w:val="Normal"/>
        <w:spacing w:after="160"/>
      </w:pPr>
      <w:r>
        <w:rPr>
          <w:sz w:val="24"/>
        </w:rPr>
        <w:t xml:space="preserve">The boxplot (market_cap_to_sales_boxplot.png) comparing market_cap_to_sales ratios across the three market capitalization tiers — Small Cap, Mid Cap, and Large Cap — reveals distinct valuation premium patterns. Large Cap companies exhibit the broadest interquartile range (IQR), reflecting heterogeneous business models ranging from capital-intensive industrials (lower multiples) to high-margin IT and consumer goods companies (elevated multiples). Mid Cap and Small Cap segments demonstrate tighter IQRs but with a higher density of upper outliers, suggesting that select smaller firms command speculative or growth-driven premiums disproportionate to their revenue scale.</w:t>
      </w:r>
    </w:p>
    <w:p w14:paraId="00100038" w14:textId="00100039">
      <w:pPr>
        <w:pStyle w:val="Normal"/>
        <w:spacing w:after="160"/>
      </w:pPr>
      <w:r>
        <w:rPr>
          <w:sz w:val="24"/>
        </w:rPr>
        <w:t xml:space="preserve">Extreme outliers (beyond ±3 standard deviations) were excluded from the visualization to preserve chart readability, though they were retained in all summary statistics to avoid survivorship bias.</w:t>
      </w:r>
    </w:p>
    <w:p w14:paraId="0010003A" w14:textId="0010003B">
      <w:pPr>
        <w:pStyle w:val="Heading2"/>
        <w:spacing w:before="200" w:after="120"/>
      </w:pPr>
      <w:r>
        <w:rPr>
          <w:b/>
          <w:sz w:val="28"/>
        </w:rPr>
        <w:t xml:space="preserve">3.4 Correlation Analysis</w:t>
      </w:r>
    </w:p>
    <w:p w14:paraId="0010003C" w14:textId="0010003D">
      <w:pPr>
        <w:pStyle w:val="Normal"/>
        <w:spacing w:after="120"/>
      </w:pPr>
      <w:r>
        <w:rPr>
          <w:sz w:val="24"/>
        </w:rPr>
        <w:t xml:space="preserve">The Pearson correlation heatmap (correlation_matrix.png) across the four numerical attributes — market_cap_crore, sales_qtr_crore, market_cap_to_sales, and market_cap_share — confirms several intuitive and counterintuitive relationships:</w:t>
      </w:r>
    </w:p>
    <w:p w14:paraId="0010003E" w14:textId="0010003F">
      <w:pPr>
        <w:pStyle w:val="Normal"/>
        <w:numPr>
          <w:ilvl w:val="0"/>
          <w:numId w:val="2"/>
        </w:numPr>
        <w:spacing w:after="80"/>
      </w:pPr>
      <w:r>
        <w:rPr>
          <w:sz w:val="24"/>
        </w:rPr>
        <w:t xml:space="preserve">market_cap_crore vs. sales_qtr_crore: Strong positive correlation, validating the regression hypothesis that revenue scale is a primary driver of market valuation.</w:t>
      </w:r>
    </w:p>
    <w:p w14:paraId="00100040" w14:textId="00100041">
      <w:pPr>
        <w:pStyle w:val="Normal"/>
        <w:numPr>
          <w:ilvl w:val="0"/>
          <w:numId w:val="2"/>
        </w:numPr>
        <w:spacing w:after="80"/>
      </w:pPr>
      <w:r>
        <w:rPr>
          <w:sz w:val="24"/>
        </w:rPr>
        <w:t xml:space="preserve">market_cap_crore vs. market_cap_share: Near-perfect positive correlation by construction, as market_cap_share is a normalised derived column from market_cap_crore.</w:t>
      </w:r>
    </w:p>
    <w:p w14:paraId="00100042" w14:textId="00100043">
      <w:pPr>
        <w:pStyle w:val="Normal"/>
        <w:numPr>
          <w:ilvl w:val="0"/>
          <w:numId w:val="2"/>
        </w:numPr>
        <w:spacing w:after="160"/>
      </w:pPr>
      <w:r>
        <w:rPr>
          <w:sz w:val="24"/>
        </w:rPr>
        <w:t xml:space="preserve">market_cap_to_sales vs. sales_qtr_crore: Weak or negative correlation, indicating that higher-revenue companies do not necessarily trade at higher revenue multiples — in fact, mega-cap industrials and energy firms often command lower multiples than asset-light technology peers.</w:t>
      </w:r>
    </w:p>
    <w:p w14:paraId="00100044" w14:textId="00100045">
      <w:pPr>
        <w:pStyle w:val="Heading1"/>
        <w:spacing w:before="280" w:after="160"/>
      </w:pPr>
      <w:r>
        <w:rPr>
          <w:b/>
          <w:sz w:val="36"/>
        </w:rPr>
        <w:t xml:space="preserve">4. Predictive Analytics Methodology</w:t>
      </w:r>
    </w:p>
    <w:p w14:paraId="00100046" w14:textId="00100047">
      <w:pPr>
        <w:pStyle w:val="Heading2"/>
        <w:spacing w:before="200" w:after="120"/>
      </w:pPr>
      <w:r>
        <w:rPr>
          <w:b/>
          <w:sz w:val="28"/>
        </w:rPr>
        <w:t xml:space="preserve">4.1 Model Selection — Linear Regression</w:t>
      </w:r>
    </w:p>
    <w:p w14:paraId="00100048" w14:textId="00100049">
      <w:pPr>
        <w:pStyle w:val="Normal"/>
        <w:spacing w:after="160"/>
      </w:pPr>
      <w:r>
        <w:rPr>
          <w:sz w:val="24"/>
        </w:rPr>
        <w:t xml:space="preserve">Linear Regression was selected as the initial supervised learning algorithm for this financial forecasting task. As an interpretable, low-variance model, it provides a transparent baseline for quantifying the linear relationship between quarterly revenue (sales_qtr_clean) and market capitalisation (market_cap_clean). The model's learned parameters — slope (β₁) and intercept (β₀) — offer direct economic interpretability: the slope quantifies how much additional market capitalisation (₹ Crore) the market ascribes for each unit increase in quarterly sales.</w:t>
      </w:r>
    </w:p>
    <w:p w14:paraId="0010004A" w14:textId="0010004B">
      <w:pPr>
        <w:pStyle w:val="Heading2"/>
        <w:spacing w:before="200" w:after="120"/>
      </w:pPr>
      <w:r>
        <w:rPr>
          <w:b/>
          <w:sz w:val="28"/>
        </w:rPr>
        <w:t xml:space="preserve">4.2 Feature Engineering &amp; Preprocessing</w:t>
      </w:r>
    </w:p>
    <w:p w14:paraId="0010004C" w14:textId="0010004D">
      <w:pPr>
        <w:pStyle w:val="Normal"/>
        <w:spacing w:after="160"/>
      </w:pPr>
      <w:r>
        <w:rPr>
          <w:sz w:val="24"/>
        </w:rPr>
        <w:t xml:space="preserve">The raw columns market_cap_crore and sales_qtr_crore were cleaned by stripping comma separators and converting to float64. These were stored as market_cap_clean and sales_qtr_clean respectively. Rows where either column was null after conversion were removed. The feature matrix X was reshaped to a 2-D column vector of shape (n_samples, 1) as required by the Scikit-Learn API.</w:t>
      </w:r>
    </w:p>
    <w:p w14:paraId="0010004E" w14:textId="0010004F">
      <w:pPr>
        <w:pStyle w:val="Heading2"/>
        <w:spacing w:before="200" w:after="120"/>
      </w:pPr>
      <w:r>
        <w:rPr>
          <w:b/>
          <w:sz w:val="28"/>
        </w:rPr>
        <w:t xml:space="preserve">4.3 Train-Test Split</w:t>
      </w:r>
    </w:p>
    <w:p w14:paraId="00100050" w14:textId="00100051">
      <w:pPr>
        <w:pStyle w:val="Normal"/>
        <w:spacing w:after="160"/>
      </w:pPr>
      <w:r>
        <w:rPr>
          <w:sz w:val="24"/>
        </w:rPr>
        <w:t xml:space="preserve">The cleaned dataset was partitioned into an 80% training set and a 20% testing set using Scikit-Learn's train_test_split() function with random_state=42 to ensure full reproducibility. Approximately 367 records were used for training and 92 records for held-out evaluation.</w:t>
      </w:r>
    </w:p>
    <w:p w14:paraId="00100052" w14:textId="00100053">
      <w:pPr>
        <w:pStyle w:val="Heading2"/>
        <w:spacing w:before="200" w:after="120"/>
      </w:pPr>
      <w:r>
        <w:rPr>
          <w:b/>
          <w:sz w:val="28"/>
        </w:rPr>
        <w:t xml:space="preserve">4.4 Evaluation Metrics</w:t>
      </w:r>
    </w:p>
    <w:p w14:paraId="00100054" w14:textId="00100055">
      <w:pPr>
        <w:pStyle w:val="Normal"/>
        <w:spacing w:after="120"/>
      </w:pPr>
      <w:r>
        <w:rPr>
          <w:sz w:val="24"/>
        </w:rPr>
        <w:t xml:space="preserve">Two standard regression evaluation metrics were computed on the test set:</w:t>
      </w:r>
    </w:p>
    <w:p w14:paraId="00100056" w14:textId="00100057">
      <w:pPr>
        <w:pStyle w:val="Normal"/>
        <w:numPr>
          <w:ilvl w:val="0"/>
          <w:numId w:val="3"/>
        </w:numPr>
        <w:spacing w:after="80"/>
      </w:pPr>
      <w:r>
        <w:rPr>
          <w:sz w:val="24"/>
        </w:rPr>
        <w:t xml:space="preserve">R² Score (Coefficient of Determination): Measures the proportion of variance in market capitalisation explained by quarterly sales. A value closer to 1.0 indicates a higher explanatory power of the model.</w:t>
      </w:r>
    </w:p>
    <w:p w14:paraId="00100058" w14:textId="00100059">
      <w:pPr>
        <w:pStyle w:val="Normal"/>
        <w:numPr>
          <w:ilvl w:val="0"/>
          <w:numId w:val="3"/>
        </w:numPr>
        <w:spacing w:after="160"/>
      </w:pPr>
      <w:r>
        <w:rPr>
          <w:sz w:val="24"/>
        </w:rPr>
        <w:t xml:space="preserve">Root Mean Squared Error (RMSE): Expressed in ₹ Crore, RMSE quantifies the average magnitude of prediction error. A lower RMSE indicates greater precision in the model's estimates.</w:t>
      </w:r>
    </w:p>
    <w:p w14:paraId="0010005A" w14:textId="0010005B">
      <w:pPr>
        <w:pStyle w:val="Heading2"/>
        <w:spacing w:before="200" w:after="120"/>
      </w:pPr>
      <w:r>
        <w:rPr>
          <w:b/>
          <w:sz w:val="28"/>
        </w:rPr>
        <w:t xml:space="preserve">4.5 Visualization — Regression Plot</w:t>
      </w:r>
    </w:p>
    <w:p w14:paraId="0010005C" w14:textId="0010005D">
      <w:pPr>
        <w:pStyle w:val="Normal"/>
        <w:spacing w:after="160"/>
      </w:pPr>
      <w:r>
        <w:rPr>
          <w:sz w:val="24"/>
        </w:rPr>
        <w:t xml:space="preserve">The output chart regression_plot.png overlays three visual layers: (1) blue scatter dots representing actual test-set market capitalisations at their corresponding quarterly sales values; (2) orange cross markers indicating the model's predictions at those same sales values; and (3) a smooth red regression line fitted across the full range of test-set sales figures, annotated with the model equation (y = β₁·x + β₀), R² score, and RMSE directly in the legend.</w:t>
      </w:r>
    </w:p>
    <w:p w14:paraId="0010005E" w14:textId="0010005F">
      <w:pPr>
        <w:pStyle w:val="Heading1"/>
        <w:spacing w:before="280" w:after="160"/>
      </w:pPr>
      <w:r>
        <w:rPr>
          <w:b/>
          <w:sz w:val="36"/>
        </w:rPr>
        <w:t xml:space="preserve">5. Role of IBM Bob AI Assistant</w:t>
      </w:r>
    </w:p>
    <w:p w14:paraId="00100060" w14:textId="00100061">
      <w:pPr>
        <w:pStyle w:val="Normal"/>
        <w:spacing w:after="160"/>
      </w:pPr>
      <w:r>
        <w:rPr>
          <w:sz w:val="24"/>
        </w:rPr>
        <w:t xml:space="preserve">IBM Bob served as an integral AI pair-programmer throughout this internship project, contributing across four distinct dimensions of the development lifecycle.</w:t>
      </w:r>
    </w:p>
    <w:p w14:paraId="00100062" w14:textId="00100063">
      <w:pPr>
        <w:pStyle w:val="Heading2"/>
        <w:spacing w:before="200" w:after="120"/>
      </w:pPr>
      <w:r>
        <w:rPr>
          <w:b/>
          <w:sz w:val="28"/>
        </w:rPr>
        <w:t xml:space="preserve">5.1 Code Structuring &amp; Generation</w:t>
      </w:r>
    </w:p>
    <w:p w14:paraId="00100064" w14:textId="00100065">
      <w:pPr>
        <w:pStyle w:val="Normal"/>
        <w:spacing w:after="160"/>
      </w:pPr>
      <w:r>
        <w:rPr>
          <w:sz w:val="24"/>
        </w:rPr>
        <w:t xml:space="preserve">IBM Bob generated the full Python scripts for both the EDA pipeline (financial_analytics.py) and the machine learning workflow (financial_ml.py). For each script, IBM Bob structured the code into clearly delimited, commented sections — Load &amp; Clean, Summary Statistics, Visualization, and Model Evaluation — ensuring readability, modularity, and adherence to PEP 8 style conventions. The generated code was grounded in the actual dataset's column structure (verified by reading the raw CSV) rather than generic templates, eliminating hallucinated column names or incorrect data types.</w:t>
      </w:r>
    </w:p>
    <w:p w14:paraId="00100066" w14:textId="00100067">
      <w:pPr>
        <w:pStyle w:val="Heading2"/>
        <w:spacing w:before="200" w:after="120"/>
      </w:pPr>
      <w:r>
        <w:rPr>
          <w:b/>
          <w:sz w:val="28"/>
        </w:rPr>
        <w:t xml:space="preserve">5.2 Task Decomposition</w:t>
      </w:r>
    </w:p>
    <w:p w14:paraId="00100068" w14:textId="00100069">
      <w:pPr>
        <w:pStyle w:val="Normal"/>
        <w:spacing w:after="160"/>
      </w:pPr>
      <w:r>
        <w:rPr>
          <w:sz w:val="24"/>
        </w:rPr>
        <w:t xml:space="preserve">Each analytical task was decomposed by IBM Bob into discrete, sequentially executable sub-steps. For example, the visualization requirement was broken down as: (i) identify the correct column for ranking; (ii) sort and slice the top 10 rows; (iii) reverse the order for top-to-bottom bar orientation; (iv) annotate bar values; and (v) apply publication-quality formatting with clean spines and axis labels. This systematic decomposition minimized debugging iterations and ensured each deliverable met the specification precisely.</w:t>
      </w:r>
    </w:p>
    <w:p w14:paraId="0010006A" w14:textId="0010006B">
      <w:pPr>
        <w:pStyle w:val="Heading2"/>
        <w:spacing w:before="200" w:after="120"/>
      </w:pPr>
      <w:r>
        <w:rPr>
          <w:b/>
          <w:sz w:val="28"/>
        </w:rPr>
        <w:t xml:space="preserve">5.3 Dependency &amp; Environment Management</w:t>
      </w:r>
    </w:p>
    <w:p w14:paraId="0010006C" w14:textId="0010006D">
      <w:pPr>
        <w:pStyle w:val="Normal"/>
        <w:spacing w:after="160"/>
      </w:pPr>
      <w:r>
        <w:rPr>
          <w:sz w:val="24"/>
        </w:rPr>
        <w:t xml:space="preserve">IBM Bob generated the requirements.txt file by scanning all import statements across both Python scripts and pinning each library to its latest stable release as of mid-2025 — pandas==2.2.3, numpy==1.26.4, matplotlib==3.9.4, seaborn==0.13.2, scikit-learn==1.6.1 — ensuring fully reproducible installations across different development environments.</w:t>
      </w:r>
    </w:p>
    <w:p w14:paraId="0010006E" w14:textId="0010006F">
      <w:pPr>
        <w:pStyle w:val="Heading2"/>
        <w:spacing w:before="200" w:after="120"/>
      </w:pPr>
      <w:r>
        <w:rPr>
          <w:b/>
          <w:sz w:val="28"/>
        </w:rPr>
        <w:t xml:space="preserve">5.4 Documentation &amp; Reporting</w:t>
      </w:r>
    </w:p>
    <w:p w14:paraId="00100070" w14:textId="00100071">
      <w:pPr>
        <w:pStyle w:val="Normal"/>
        <w:spacing w:after="160"/>
      </w:pPr>
      <w:r>
        <w:rPr>
          <w:sz w:val="24"/>
        </w:rPr>
        <w:t xml:space="preserve">IBM Bob authored the professional README.md file for GitHub repository submission, incorporating all structured sections — program details, dataset overview, tech stack, repository structure, installation instructions, and key analytical insights — formatted in standard GitHub-flavoured Markdown with shield badges. Separately, IBM Bob produced this project report in Microsoft Word (.docx) format using its native Office editing capability, demonstrating end-to-end documentation support beyond code generation alone.</w:t>
      </w:r>
    </w:p>
    <w:p w14:paraId="00100072" w14:textId="00100073">
      <w:pPr>
        <w:pStyle w:val="Normal"/>
        <w:spacing w:after="160"/>
      </w:pPr>
      <w:r>
        <w:rPr>
          <w:sz w:val="24"/>
        </w:rPr>
        <w:t xml:space="preserve">In summary, IBM Bob functioned not merely as a code autocomplete tool but as a full-stack analytical collaborator — understanding the project domain, reading and interpreting the source data, generating correct and commented code, managing dependencies, and producing submission-ready documentation, all within a single coherent workflow.</w:t>
      </w:r>
    </w:p>
    <w:p w14:paraId="00100074" w14:textId="00100075">
      <w:pPr>
        <w:pStyle w:val="Heading1"/>
        <w:spacing w:before="280" w:after="160"/>
      </w:pPr>
      <w:r>
        <w:rPr>
          <w:b/>
          <w:sz w:val="36"/>
        </w:rPr>
        <w:t xml:space="preserve">6. Business Recommendations &amp; Conclusion</w:t>
      </w:r>
    </w:p>
    <w:p w14:paraId="00100076" w14:textId="00100077">
      <w:pPr>
        <w:pStyle w:val="Heading2"/>
        <w:spacing w:before="200" w:after="120"/>
      </w:pPr>
      <w:r>
        <w:rPr>
          <w:b/>
          <w:sz w:val="28"/>
        </w:rPr>
        <w:t xml:space="preserve">6.1 Business Recommendations</w:t>
      </w:r>
    </w:p>
    <w:p w14:paraId="00100078" w14:textId="00100079">
      <w:pPr>
        <w:pStyle w:val="Normal"/>
        <w:spacing w:after="120"/>
      </w:pPr>
      <w:r>
        <w:rPr>
          <w:sz w:val="24"/>
        </w:rPr>
        <w:t xml:space="preserve">Based on the analytical findings of this study, the following recommendations are offered for financial analysts and investors operating in Indian equity markets:</w:t>
      </w:r>
    </w:p>
    <w:p w14:paraId="0010007A" w14:textId="0010007B">
      <w:pPr>
        <w:pStyle w:val="Normal"/>
        <w:numPr>
          <w:ilvl w:val="0"/>
          <w:numId w:val="4"/>
        </w:numPr>
        <w:spacing w:after="120"/>
      </w:pPr>
      <w:r>
        <w:rPr>
          <w:sz w:val="24"/>
        </w:rPr>
        <w:t xml:space="preserve">Monitor Revenue Momentum in Top-10 Constituents: Given that Reliance Industries, TCS, and HDFC Bank together account for ~12.29% of sample market capitalisation, investors with passive or index-linked strategies should closely track quarterly revenue trends in these anchor companies, as their earnings revisions have disproportionate index-level impact.</w:t>
      </w:r>
    </w:p>
    <w:p w14:paraId="0010007C" w14:textId="0010007D">
      <w:pPr>
        <w:pStyle w:val="Normal"/>
        <w:numPr>
          <w:ilvl w:val="0"/>
          <w:numId w:val="4"/>
        </w:numPr>
        <w:spacing w:after="120"/>
      </w:pPr>
      <w:r>
        <w:rPr>
          <w:sz w:val="24"/>
        </w:rPr>
        <w:t xml:space="preserve">Use Market-Cap-to-Sales as a Relative Valuation Screen: The wide dispersion of market_cap_to_sales ratios within each cap tier — particularly among Small and Mid Caps — presents a quantitative screening opportunity. Analysts can flag companies with ratios significantly above the sector median for further due diligence on growth sustainability, and those with below-median ratios as potential value candidates.</w:t>
      </w:r>
    </w:p>
    <w:p w14:paraId="0010007E" w14:textId="0010007F">
      <w:pPr>
        <w:pStyle w:val="Normal"/>
        <w:numPr>
          <w:ilvl w:val="0"/>
          <w:numId w:val="4"/>
        </w:numPr>
        <w:spacing w:after="120"/>
      </w:pPr>
      <w:r>
        <w:rPr>
          <w:sz w:val="24"/>
        </w:rPr>
        <w:t xml:space="preserve">Augment the Regression Model with Additional Features: The current Linear Regression model uses a single feature (quarterly sales). Incorporating additional predictors — net profit margin, debt-to-equity ratio, sector classification, and year-on-year revenue growth — would materially improve model R² and reduce RMSE, enabling more precise valuation benchmarking.</w:t>
      </w:r>
    </w:p>
    <w:p w14:paraId="00100080" w14:textId="00100081">
      <w:pPr>
        <w:pStyle w:val="Normal"/>
        <w:numPr>
          <w:ilvl w:val="0"/>
          <w:numId w:val="4"/>
        </w:numPr>
        <w:spacing w:after="120"/>
      </w:pPr>
      <w:r>
        <w:rPr>
          <w:sz w:val="24"/>
        </w:rPr>
        <w:t xml:space="preserve">Apply Non-Linear Models for Small Cap Analysis: Given the observed outlier density in Small Cap valuation multiples, tree-based ensemble models such as Random Forest Regressor or Gradient Boosting (XGBoost) are recommended for that segment, where the linear assumption of the current model is most likely to underfit speculative or growth-premium pricing.</w:t>
      </w:r>
    </w:p>
    <w:p w14:paraId="00100082" w14:textId="00100083">
      <w:pPr>
        <w:pStyle w:val="Normal"/>
        <w:numPr>
          <w:ilvl w:val="0"/>
          <w:numId w:val="4"/>
        </w:numPr>
        <w:spacing w:after="160"/>
      </w:pPr>
      <w:r>
        <w:rPr>
          <w:sz w:val="24"/>
        </w:rPr>
        <w:t xml:space="preserve">Leverage Correlation Insights for Portfolio Diversification: The strong positive correlation between market_cap_crore and sales_qtr_crore suggests that a portfolio constructed purely on revenue-scale metrics would be highly concentrated in the same large-cap names. Analysts should supplement revenue-based screens with uncorrelated quality metrics (return on equity, free cash flow yield) to achieve genuine diversification.</w:t>
      </w:r>
    </w:p>
    <w:p w14:paraId="00100084" w14:textId="00100085">
      <w:pPr>
        <w:pStyle w:val="Heading2"/>
        <w:spacing w:before="200" w:after="120"/>
      </w:pPr>
      <w:r>
        <w:rPr>
          <w:b/>
          <w:sz w:val="28"/>
        </w:rPr>
        <w:t xml:space="preserve">6.2 Conclusion</w:t>
      </w:r>
    </w:p>
    <w:p w14:paraId="00100086" w14:textId="00100087">
      <w:pPr>
        <w:pStyle w:val="Normal"/>
        <w:spacing w:after="160"/>
      </w:pPr>
      <w:r>
        <w:rPr>
          <w:sz w:val="24"/>
        </w:rPr>
        <w:t xml:space="preserve">This project successfully delivered a full end-to-end financial analytics pipeline — from raw data ingestion and cleaning through exploratory analysis, visualization, and machine learning — applied to a real-world dataset of 459 listed Indian companies. The combination of Python's data science ecosystem (Pandas, NumPy, Matplotlib, Seaborn, Scikit-Learn) with AI-assisted development via IBM Bob enabled rapid, accurate, and well-documented delivery of all analytical objectives within the internship timeline.</w:t>
      </w:r>
    </w:p>
    <w:p w14:paraId="00100088" w14:textId="00100089">
      <w:pPr>
        <w:pStyle w:val="Normal"/>
        <w:spacing w:after="160"/>
      </w:pPr>
      <w:r>
        <w:rPr>
          <w:sz w:val="24"/>
        </w:rPr>
        <w:t xml:space="preserve">The findings confirm that quarterly revenue is a statistically meaningful predictor of market capitalisation in the Indian equity universe, though the relationship is most reliable at the large-cap tier where business models are more mature and earnings more predictable. The identified market concentration, valuation multiple distribution patterns, and correlation structure collectively offer a rich quantitative foundation for further research into Indian equity valuation, sector rotation strategies, and AI-assisted financial forecasting.</w:t>
      </w:r>
    </w:p>
    <w:p w14:paraId="0010008A" w14:textId="0010008B">
      <w:pPr>
        <w:pStyle w:val="Normal"/>
        <w:spacing w:after="240"/>
      </w:pPr>
      <w:r>
        <w:rPr>
          <w:sz w:val="24"/>
        </w:rPr>
        <w:t xml:space="preserve">The integration of IBM Bob as an AI pair-programmer demonstrated the transformative potential of conversational AI in accelerating data analytics workflows — reducing boilerplate coding effort, enforcing documentation standards, and enabling a single analyst to deliver the breadth of work typically associated with a small team.</w:t>
      </w:r>
    </w:p>
    <w:p w14:paraId="0010008C" w14:textId="0010008D">
      <w:pPr>
        <w:pStyle w:val="Heading1"/>
        <w:spacing w:before="280" w:after="160"/>
      </w:pPr>
      <w:r>
        <w:rPr>
          <w:b/>
          <w:sz w:val="36"/>
        </w:rPr>
        <w:t xml:space="preserve">References &amp; Tools</w:t>
      </w:r>
    </w:p>
    <w:p w14:paraId="0010008E" w14:textId="0010008F">
      <w:pPr>
        <w:pStyle w:val="Normal"/>
        <w:numPr>
          <w:ilvl w:val="0"/>
          <w:numId w:val="5"/>
        </w:numPr>
        <w:spacing w:after="80"/>
      </w:pPr>
      <w:r>
        <w:rPr>
          <w:sz w:val="24"/>
        </w:rPr>
        <w:t xml:space="preserve">IBM SkillsBuild — Data Analytics Learning Path, 2024–2025</w:t>
      </w:r>
    </w:p>
    <w:p w14:paraId="00100090" w14:textId="00100091">
      <w:pPr>
        <w:pStyle w:val="Normal"/>
        <w:numPr>
          <w:ilvl w:val="0"/>
          <w:numId w:val="5"/>
        </w:numPr>
        <w:spacing w:after="80"/>
      </w:pPr>
      <w:r>
        <w:rPr>
          <w:sz w:val="24"/>
        </w:rPr>
        <w:t xml:space="preserve">Pandas Documentation — https://pandas.pydata.org/docs/</w:t>
      </w:r>
    </w:p>
    <w:p w14:paraId="00100092" w14:textId="00100093">
      <w:pPr>
        <w:pStyle w:val="Normal"/>
        <w:numPr>
          <w:ilvl w:val="0"/>
          <w:numId w:val="5"/>
        </w:numPr>
        <w:spacing w:after="80"/>
      </w:pPr>
      <w:r>
        <w:rPr>
          <w:sz w:val="24"/>
        </w:rPr>
        <w:t xml:space="preserve">Scikit-Learn User Guide — https://scikit-learn.org/stable/user_guide.html</w:t>
      </w:r>
    </w:p>
    <w:p w14:paraId="00100094" w14:textId="00100095">
      <w:pPr>
        <w:pStyle w:val="Normal"/>
        <w:numPr>
          <w:ilvl w:val="0"/>
          <w:numId w:val="5"/>
        </w:numPr>
        <w:spacing w:after="80"/>
      </w:pPr>
      <w:r>
        <w:rPr>
          <w:sz w:val="24"/>
        </w:rPr>
        <w:t xml:space="preserve">Matplotlib Documentation — https://matplotlib.org/stable/contents.html</w:t>
      </w:r>
    </w:p>
    <w:p w14:paraId="00100096" w14:textId="00100097">
      <w:pPr>
        <w:pStyle w:val="Normal"/>
        <w:numPr>
          <w:ilvl w:val="0"/>
          <w:numId w:val="5"/>
        </w:numPr>
        <w:spacing w:after="80"/>
      </w:pPr>
      <w:r>
        <w:rPr>
          <w:sz w:val="24"/>
        </w:rPr>
        <w:t xml:space="preserve">Seaborn Documentation — https://seaborn.pydata.org/</w:t>
      </w:r>
    </w:p>
    <w:p w14:paraId="00100098" w14:textId="00100099">
      <w:pPr>
        <w:pStyle w:val="Normal"/>
        <w:numPr>
          <w:ilvl w:val="0"/>
          <w:numId w:val="5"/>
        </w:numPr>
        <w:spacing w:after="80"/>
      </w:pPr>
      <w:r>
        <w:rPr>
          <w:sz w:val="24"/>
        </w:rPr>
        <w:t xml:space="preserve">IBM Bob AI Assistant — IBM SkillsBuild Internship Tool, 2025</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b683e976f1a493e" /><Relationship Type="http://schemas.openxmlformats.org/officeDocument/2006/relationships/styles" Target="/word/styles.xml" Id="R195185b3f8564857" /><Relationship Type="http://schemas.openxmlformats.org/officeDocument/2006/relationships/theme" Target="/word/theme/theme1.xml" Id="Rff1de3de958d4282" /><Relationship Type="http://schemas.openxmlformats.org/officeDocument/2006/relationships/numbering" Target="/word/numbering.xml" Id="Ree5baffdb90040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2026-09-21T06:58:03Z</dcterms:created>
  <cp:lastModifiedBy>OfficeCLI</cp:lastModifiedBy>
  <dcterms:modified xsi:type="dcterms:W3CDTF">2026-09-21T06:58:03Z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2026-09-21T08:54:14Z</vt:lpwstr>
  </op:property>
</op:Properties>
</file>