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0DAF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考试范围：</w:t>
      </w:r>
      <w:r>
        <w:rPr>
          <w:rFonts w:ascii="Times New Roman" w:hAnsi="Times New Roman" w:cs="Times New Roman"/>
        </w:rPr>
        <w:t xml:space="preserve">L08 - </w:t>
      </w:r>
      <w:r>
        <w:rPr>
          <w:rFonts w:ascii="Times New Roman" w:hAnsi="Times New Roman" w:cs="Times New Roman"/>
        </w:rPr>
        <w:t>结束</w:t>
      </w:r>
    </w:p>
    <w:p w14:paraId="1648975E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使用情景</w:t>
      </w:r>
    </w:p>
    <w:p w14:paraId="79E3ABBD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内容关联</w:t>
      </w:r>
    </w:p>
    <w:p w14:paraId="2E407383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799C3A2F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检验</w:t>
      </w:r>
    </w:p>
    <w:p w14:paraId="797115D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适用于总体方差未知</w:t>
      </w:r>
    </w:p>
    <w:p w14:paraId="02606B46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分布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/>
        </w:rPr>
        <w:t>形状、自由度</w:t>
      </w:r>
      <w:r>
        <w:rPr>
          <w:rFonts w:ascii="Times New Roman" w:hAnsi="Times New Roman" w:cs="Times New Roman" w:hint="eastAsia"/>
        </w:rPr>
        <w:t xml:space="preserve"> = n-1</w:t>
      </w:r>
    </w:p>
    <w:p w14:paraId="48000185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05516593" wp14:editId="1EB25B65">
            <wp:extent cx="3291840" cy="2247265"/>
            <wp:effectExtent l="0" t="0" r="381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21C9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临界值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值的查询：</w:t>
      </w:r>
      <w:r>
        <w:rPr>
          <w:rFonts w:ascii="Times New Roman" w:hAnsi="Times New Roman" w:cs="Times New Roman"/>
        </w:rPr>
        <w:t>pt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qt</w:t>
      </w:r>
    </w:p>
    <w:p w14:paraId="1AE7FE07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Ⅰ. </w:t>
      </w:r>
      <w:r>
        <w:rPr>
          <w:rFonts w:ascii="Times New Roman" w:hAnsi="Times New Roman" w:cs="Times New Roman"/>
          <w:b/>
          <w:bCs/>
        </w:rPr>
        <w:t>独立样本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检验（</w:t>
      </w:r>
      <w:r>
        <w:rPr>
          <w:rFonts w:ascii="Times New Roman" w:hAnsi="Times New Roman" w:cs="Times New Roman"/>
          <w:b/>
          <w:bCs/>
        </w:rPr>
        <w:t>Independent-samples t test</w:t>
      </w:r>
      <w:r>
        <w:rPr>
          <w:rFonts w:ascii="Times New Roman" w:hAnsi="Times New Roman" w:cs="Times New Roman"/>
          <w:b/>
          <w:bCs/>
        </w:rPr>
        <w:t>）</w:t>
      </w:r>
    </w:p>
    <w:p w14:paraId="51091C7F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适用情境</w:t>
      </w:r>
    </w:p>
    <w:p w14:paraId="659718B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两个独立群体均值比较。</w:t>
      </w:r>
    </w:p>
    <w:p w14:paraId="709B0EFF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因变量为连续型（近似正态）。</w:t>
      </w:r>
    </w:p>
    <w:p w14:paraId="079B3E88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如：男生</w:t>
      </w:r>
      <w:r>
        <w:rPr>
          <w:rFonts w:ascii="Times New Roman" w:hAnsi="Times New Roman" w:cs="Times New Roman"/>
        </w:rPr>
        <w:t>vs</w:t>
      </w:r>
      <w:r>
        <w:rPr>
          <w:rFonts w:ascii="Times New Roman" w:hAnsi="Times New Roman" w:cs="Times New Roman"/>
        </w:rPr>
        <w:t>女生、实验组</w:t>
      </w:r>
      <w:r>
        <w:rPr>
          <w:rFonts w:ascii="Times New Roman" w:hAnsi="Times New Roman" w:cs="Times New Roman"/>
        </w:rPr>
        <w:t>vs</w:t>
      </w:r>
      <w:r>
        <w:rPr>
          <w:rFonts w:ascii="Times New Roman" w:hAnsi="Times New Roman" w:cs="Times New Roman"/>
        </w:rPr>
        <w:t>控制组。</w:t>
      </w:r>
    </w:p>
    <w:p w14:paraId="69BA9E7A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>前提</w:t>
      </w:r>
      <w:r>
        <w:rPr>
          <w:rFonts w:ascii="Times New Roman" w:hAnsi="Times New Roman" w:cs="Times New Roman"/>
        </w:rPr>
        <w:t>假设（</w:t>
      </w:r>
      <w:r>
        <w:rPr>
          <w:rFonts w:ascii="Times New Roman" w:hAnsi="Times New Roman" w:cs="Times New Roman"/>
        </w:rPr>
        <w:t>Assumptions</w:t>
      </w:r>
      <w:r>
        <w:rPr>
          <w:rFonts w:ascii="Times New Roman" w:hAnsi="Times New Roman" w:cs="Times New Roman"/>
        </w:rPr>
        <w:t>）</w:t>
      </w:r>
    </w:p>
    <w:p w14:paraId="375E9B9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独立性：两个群体互不影响。</w:t>
      </w:r>
    </w:p>
    <w:p w14:paraId="4382DD12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正态性：每组数据近似正态（对大样本要求弱）。</w:t>
      </w:r>
    </w:p>
    <w:p w14:paraId="0E67DBC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方差齐性（</w:t>
      </w:r>
      <w:r>
        <w:rPr>
          <w:rFonts w:ascii="Times New Roman" w:hAnsi="Times New Roman" w:cs="Times New Roman"/>
        </w:rPr>
        <w:t>Homogeneity of Variance</w:t>
      </w:r>
      <w:r>
        <w:rPr>
          <w:rFonts w:ascii="Times New Roman" w:hAnsi="Times New Roman" w:cs="Times New Roman"/>
        </w:rPr>
        <w:t>）：使用</w:t>
      </w:r>
      <w:r>
        <w:rPr>
          <w:rFonts w:ascii="Times New Roman" w:hAnsi="Times New Roman" w:cs="Times New Roman"/>
        </w:rPr>
        <w:t>Levene</w:t>
      </w:r>
      <w:r>
        <w:rPr>
          <w:rFonts w:ascii="Times New Roman" w:hAnsi="Times New Roman" w:cs="Times New Roman"/>
        </w:rPr>
        <w:t>检验</w:t>
      </w:r>
    </w:p>
    <w:p w14:paraId="416610E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同质和不同质条件时要改变</w:t>
      </w:r>
      <w:r>
        <w:rPr>
          <w:rFonts w:ascii="Times New Roman" w:hAnsi="Times New Roman" w:cs="Times New Roman"/>
        </w:rPr>
        <w:t>t.test</w:t>
      </w:r>
      <w:r>
        <w:rPr>
          <w:rFonts w:ascii="Times New Roman" w:hAnsi="Times New Roman" w:cs="Times New Roman"/>
        </w:rPr>
        <w:t>的参数</w:t>
      </w:r>
    </w:p>
    <w:p w14:paraId="03A3DBBF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统计量与计算思想</w:t>
      </w:r>
    </w:p>
    <w:p w14:paraId="4031CFB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t=(M1−M2)/SE</w:t>
      </w:r>
    </w:p>
    <w:p w14:paraId="51FB0C4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>由两组方差与样本量决定。</w:t>
      </w:r>
    </w:p>
    <w:p w14:paraId="2711F2DB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效应量（</w:t>
      </w:r>
      <w:r>
        <w:rPr>
          <w:rFonts w:ascii="Times New Roman" w:hAnsi="Times New Roman" w:cs="Times New Roman"/>
        </w:rPr>
        <w:t>Effect size</w:t>
      </w:r>
      <w:r>
        <w:rPr>
          <w:rFonts w:ascii="Times New Roman" w:hAnsi="Times New Roman" w:cs="Times New Roman"/>
        </w:rPr>
        <w:t>）</w:t>
      </w:r>
    </w:p>
    <w:p w14:paraId="769E7BD8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Cohen’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：反映均值差的标准化大小。</w:t>
      </w:r>
    </w:p>
    <w:p w14:paraId="390207D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/>
        </w:rPr>
        <w:t>小，</w:t>
      </w:r>
      <w:r>
        <w:rPr>
          <w:rFonts w:ascii="Times New Roman" w:hAnsi="Times New Roman" w:cs="Times New Roman"/>
        </w:rPr>
        <w:t>0.5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</w:rPr>
        <w:t>0.8</w:t>
      </w:r>
      <w:r>
        <w:rPr>
          <w:rFonts w:ascii="Times New Roman" w:hAnsi="Times New Roman" w:cs="Times New Roman"/>
        </w:rPr>
        <w:t>大（仅为经验</w:t>
      </w:r>
      <w:r>
        <w:rPr>
          <w:rFonts w:ascii="Times New Roman" w:hAnsi="Times New Roman" w:cs="Times New Roman" w:hint="eastAsia"/>
        </w:rPr>
        <w:t>，不做考察</w:t>
      </w:r>
      <w:r>
        <w:rPr>
          <w:rFonts w:ascii="Times New Roman" w:hAnsi="Times New Roman" w:cs="Times New Roman"/>
        </w:rPr>
        <w:t>）。</w:t>
      </w:r>
    </w:p>
    <w:p w14:paraId="1DF31B5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</w:rPr>
        <w:t>检验逻辑与解释</w:t>
      </w:r>
    </w:p>
    <w:p w14:paraId="126BE153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p&lt;.05 → </w:t>
      </w:r>
      <w:r>
        <w:rPr>
          <w:rFonts w:ascii="Times New Roman" w:hAnsi="Times New Roman" w:cs="Times New Roman"/>
        </w:rPr>
        <w:t>均值差显著。</w:t>
      </w:r>
    </w:p>
    <w:p w14:paraId="4FAFDA09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报告格式</w:t>
      </w:r>
    </w:p>
    <w:p w14:paraId="284C5D8B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t(df)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3.12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p=.004</w:t>
      </w:r>
      <w:r>
        <w:rPr>
          <w:rFonts w:ascii="Times New Roman" w:hAnsi="Times New Roman" w:cs="Times New Roman" w:hint="eastAsia"/>
        </w:rPr>
        <w:t>，效应量，是否显著（哪个大哪个小）</w:t>
      </w:r>
    </w:p>
    <w:p w14:paraId="14AD61E9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Ⅱ. </w:t>
      </w:r>
      <w:r>
        <w:rPr>
          <w:rFonts w:ascii="Times New Roman" w:hAnsi="Times New Roman" w:cs="Times New Roman"/>
          <w:b/>
          <w:bCs/>
        </w:rPr>
        <w:t>配对样本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检验（</w:t>
      </w:r>
      <w:r>
        <w:rPr>
          <w:rFonts w:ascii="Times New Roman" w:hAnsi="Times New Roman" w:cs="Times New Roman"/>
          <w:b/>
          <w:bCs/>
        </w:rPr>
        <w:t>Paired-samples t test</w:t>
      </w:r>
      <w:r>
        <w:rPr>
          <w:rFonts w:ascii="Times New Roman" w:hAnsi="Times New Roman" w:cs="Times New Roman"/>
          <w:b/>
          <w:bCs/>
        </w:rPr>
        <w:t>）</w:t>
      </w:r>
    </w:p>
    <w:p w14:paraId="5A91D4E6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适用情境</w:t>
      </w:r>
    </w:p>
    <w:p w14:paraId="27A170A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同一被试两次测量</w:t>
      </w:r>
    </w:p>
    <w:p w14:paraId="776C264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前后测、两种条件。</w:t>
      </w:r>
    </w:p>
    <w:p w14:paraId="0B05BA61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设计逻辑</w:t>
      </w:r>
    </w:p>
    <w:p w14:paraId="75CBD87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比较差值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的均值是否偏离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。</w:t>
      </w:r>
    </w:p>
    <w:p w14:paraId="283BC35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控制了个体差异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更高统计效力。</w:t>
      </w:r>
    </w:p>
    <w:p w14:paraId="17C1BB59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假设条件</w:t>
      </w:r>
    </w:p>
    <w:p w14:paraId="7E3CF788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只要求差值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正态（重点）。</w:t>
      </w:r>
    </w:p>
    <w:p w14:paraId="03F11113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不要求两个时间点分别正态。</w:t>
      </w:r>
    </w:p>
    <w:p w14:paraId="5228B256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统计思想</w:t>
      </w:r>
    </w:p>
    <w:p w14:paraId="7E4E5C1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t=M</w:t>
      </w:r>
      <w:r>
        <w:rPr>
          <w:rFonts w:ascii="Times New Roman" w:hAnsi="Times New Roman" w:cs="Times New Roman"/>
          <w:vertAlign w:val="subscript"/>
        </w:rPr>
        <w:t>D</w:t>
      </w:r>
      <w:r>
        <w:rPr>
          <w:rFonts w:ascii="Times New Roman" w:hAnsi="Times New Roman" w:cs="Times New Roman"/>
        </w:rPr>
        <w:t>/SE</w:t>
      </w:r>
      <w:r>
        <w:rPr>
          <w:rFonts w:ascii="Times New Roman" w:hAnsi="Times New Roman" w:cs="Times New Roman"/>
          <w:vertAlign w:val="subscript"/>
        </w:rPr>
        <w:t>D</w:t>
      </w:r>
    </w:p>
    <w:p w14:paraId="1F2ED55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  <w:vertAlign w:val="subscript"/>
        </w:rPr>
        <w:t>D</w:t>
      </w:r>
      <w:r>
        <w:rPr>
          <w:rFonts w:ascii="Times New Roman" w:hAnsi="Times New Roman" w:cs="Times New Roman"/>
        </w:rPr>
        <w:t>基于差值的标准差。</w:t>
      </w:r>
    </w:p>
    <w:p w14:paraId="62BA2F8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效应量</w:t>
      </w:r>
    </w:p>
    <w:p w14:paraId="1BBD7914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Cohen’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d</w:t>
      </w:r>
    </w:p>
    <w:p w14:paraId="4EDAA87D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357EB467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方差分析</w:t>
      </w:r>
    </w:p>
    <w:p w14:paraId="58DBA9F5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为何不使用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检验：水平数</w:t>
      </w:r>
      <w:r>
        <w:rPr>
          <w:rFonts w:ascii="Times New Roman" w:hAnsi="Times New Roman" w:cs="Times New Roman" w:hint="eastAsia"/>
        </w:rPr>
        <w:t xml:space="preserve"> &gt; 2</w:t>
      </w:r>
      <w:r>
        <w:rPr>
          <w:rFonts w:ascii="Times New Roman" w:hAnsi="Times New Roman" w:cs="Times New Roman" w:hint="eastAsia"/>
        </w:rPr>
        <w:t>，降低第一类错误犯错概率</w:t>
      </w:r>
    </w:p>
    <w:p w14:paraId="7E141456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Ⅲ. </w:t>
      </w:r>
      <w:r>
        <w:rPr>
          <w:rFonts w:ascii="Times New Roman" w:hAnsi="Times New Roman" w:cs="Times New Roman"/>
          <w:b/>
          <w:bCs/>
        </w:rPr>
        <w:t>单因素独立测量</w:t>
      </w:r>
      <w:r>
        <w:rPr>
          <w:rFonts w:ascii="Times New Roman" w:hAnsi="Times New Roman" w:cs="Times New Roman"/>
          <w:b/>
          <w:bCs/>
        </w:rPr>
        <w:t>ANOVA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One-way Independent-measures ANOVA</w:t>
      </w:r>
      <w:r>
        <w:rPr>
          <w:rFonts w:ascii="Times New Roman" w:hAnsi="Times New Roman" w:cs="Times New Roman"/>
          <w:b/>
          <w:bCs/>
        </w:rPr>
        <w:t>）</w:t>
      </w:r>
    </w:p>
    <w:p w14:paraId="635D1C81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适用情境</w:t>
      </w:r>
    </w:p>
    <w:p w14:paraId="061B650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一个自变量</w:t>
      </w:r>
      <w:r>
        <w:rPr>
          <w:rFonts w:ascii="Times New Roman" w:hAnsi="Times New Roman" w:cs="Times New Roman"/>
        </w:rPr>
        <w:t>≥3</w:t>
      </w:r>
      <w:r>
        <w:rPr>
          <w:rFonts w:ascii="Times New Roman" w:hAnsi="Times New Roman" w:cs="Times New Roman"/>
        </w:rPr>
        <w:t>水平（组间设计）。</w:t>
      </w:r>
    </w:p>
    <w:p w14:paraId="64002B37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研究逻辑</w:t>
      </w:r>
    </w:p>
    <w:p w14:paraId="7586BD1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分解总变异：</w:t>
      </w:r>
    </w:p>
    <w:p w14:paraId="4D11DD19" w14:textId="77777777" w:rsidR="00431CFC" w:rsidRDefault="00000000">
      <w:pPr>
        <w:spacing w:line="360" w:lineRule="auto"/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组间变异（处理效应）</w:t>
      </w:r>
    </w:p>
    <w:p w14:paraId="415BE093" w14:textId="77777777" w:rsidR="00431CFC" w:rsidRDefault="00000000">
      <w:pPr>
        <w:spacing w:line="360" w:lineRule="auto"/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组内变异（误差）</w:t>
      </w:r>
    </w:p>
    <w:p w14:paraId="7CC32EB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F=MS</w:t>
      </w:r>
      <w:r>
        <w:rPr>
          <w:rFonts w:ascii="Times New Roman" w:hAnsi="Times New Roman" w:cs="Times New Roman"/>
          <w:vertAlign w:val="subscript"/>
        </w:rPr>
        <w:t>between</w:t>
      </w:r>
      <w:r>
        <w:rPr>
          <w:rFonts w:ascii="Times New Roman" w:hAnsi="Times New Roman" w:cs="Times New Roman"/>
        </w:rPr>
        <w:t>/MS</w:t>
      </w:r>
      <w:r>
        <w:rPr>
          <w:rFonts w:ascii="Times New Roman" w:hAnsi="Times New Roman" w:cs="Times New Roman"/>
          <w:vertAlign w:val="subscript"/>
        </w:rPr>
        <w:t>within</w:t>
      </w:r>
    </w:p>
    <w:p w14:paraId="66E4B923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假设条件</w:t>
      </w:r>
    </w:p>
    <w:p w14:paraId="6F9F61A2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正态性</w:t>
      </w:r>
    </w:p>
    <w:p w14:paraId="50716F9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方差齐性（</w:t>
      </w:r>
      <w:r>
        <w:rPr>
          <w:rFonts w:ascii="Times New Roman" w:hAnsi="Times New Roman" w:cs="Times New Roman"/>
        </w:rPr>
        <w:t>Levene</w:t>
      </w:r>
      <w:r>
        <w:rPr>
          <w:rFonts w:ascii="Times New Roman" w:hAnsi="Times New Roman" w:cs="Times New Roman"/>
        </w:rPr>
        <w:t>）</w:t>
      </w:r>
    </w:p>
    <w:p w14:paraId="2AD3221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样本独立</w:t>
      </w:r>
    </w:p>
    <w:p w14:paraId="00CEA5B8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效应量</w:t>
      </w:r>
    </w:p>
    <w:p w14:paraId="12B83885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η</w:t>
      </w:r>
      <w:r>
        <w:rPr>
          <w:rFonts w:ascii="Times New Roman" w:hAnsi="Times New Roman" w:cs="Times New Roman"/>
          <w:vertAlign w:val="subscript"/>
        </w:rPr>
        <w:t>p</w:t>
      </w:r>
      <w:r>
        <w:rPr>
          <w:rFonts w:ascii="Times New Roman" w:hAnsi="Times New Roman" w:cs="Times New Roman"/>
          <w:vertAlign w:val="superscript"/>
        </w:rPr>
        <w:t>2</w:t>
      </w:r>
    </w:p>
    <w:p w14:paraId="405D1465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结果解释</w:t>
      </w:r>
    </w:p>
    <w:p w14:paraId="4DE4300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显著</w:t>
      </w:r>
      <w:r>
        <w:rPr>
          <w:rFonts w:ascii="Times New Roman" w:hAnsi="Times New Roman" w:cs="Times New Roman" w:hint="eastAsia"/>
        </w:rPr>
        <w:t>且有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个水平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进行事后检验（</w:t>
      </w:r>
      <w:r>
        <w:rPr>
          <w:rFonts w:ascii="Times New Roman" w:hAnsi="Times New Roman" w:cs="Times New Roman"/>
        </w:rPr>
        <w:t>Tukey/</w:t>
      </w:r>
      <w:r>
        <w:rPr>
          <w:rFonts w:ascii="Times New Roman" w:hAnsi="Times New Roman" w:cs="Times New Roman" w:hint="eastAsia"/>
        </w:rPr>
        <w:t>Scheffe/</w:t>
      </w:r>
      <w:r>
        <w:rPr>
          <w:rFonts w:ascii="Times New Roman" w:hAnsi="Times New Roman" w:cs="Times New Roman"/>
        </w:rPr>
        <w:t>Bonferroni</w:t>
      </w:r>
      <w:r>
        <w:rPr>
          <w:rFonts w:ascii="Times New Roman" w:hAnsi="Times New Roman" w:cs="Times New Roman"/>
        </w:rPr>
        <w:t>）。</w:t>
      </w:r>
    </w:p>
    <w:p w14:paraId="46129FA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MANOVA</w:t>
      </w:r>
    </w:p>
    <w:p w14:paraId="5382DAB3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EMMEANS</w:t>
      </w:r>
    </w:p>
    <w:p w14:paraId="5E0CDE7D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emmip</w:t>
      </w:r>
    </w:p>
    <w:p w14:paraId="2EC05CF8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24BB5DBA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Ⅳ. </w:t>
      </w:r>
      <w:r>
        <w:rPr>
          <w:rFonts w:ascii="Times New Roman" w:hAnsi="Times New Roman" w:cs="Times New Roman"/>
          <w:b/>
          <w:bCs/>
        </w:rPr>
        <w:t>单因素重复测量</w:t>
      </w:r>
      <w:r>
        <w:rPr>
          <w:rFonts w:ascii="Times New Roman" w:hAnsi="Times New Roman" w:cs="Times New Roman"/>
          <w:b/>
          <w:bCs/>
        </w:rPr>
        <w:t>ANOVA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One-way Repeated-measures ANOVA</w:t>
      </w:r>
      <w:r>
        <w:rPr>
          <w:rFonts w:ascii="Times New Roman" w:hAnsi="Times New Roman" w:cs="Times New Roman"/>
          <w:b/>
          <w:bCs/>
        </w:rPr>
        <w:t>）</w:t>
      </w:r>
    </w:p>
    <w:p w14:paraId="430774EC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适用情境</w:t>
      </w:r>
    </w:p>
    <w:p w14:paraId="101D5F1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一个自变量</w:t>
      </w:r>
      <w:r>
        <w:rPr>
          <w:rFonts w:ascii="Times New Roman" w:hAnsi="Times New Roman" w:cs="Times New Roman"/>
        </w:rPr>
        <w:t>≥3</w:t>
      </w:r>
      <w:r>
        <w:rPr>
          <w:rFonts w:ascii="Times New Roman" w:hAnsi="Times New Roman" w:cs="Times New Roman"/>
        </w:rPr>
        <w:t>水平（组内设计）。</w:t>
      </w:r>
    </w:p>
    <w:p w14:paraId="51D601FF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研究逻辑</w:t>
      </w:r>
    </w:p>
    <w:p w14:paraId="1A176B28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从误差中剔除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被试间差异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0F76970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误差项小</w:t>
      </w:r>
      <w:r>
        <w:rPr>
          <w:rFonts w:ascii="Times New Roman" w:hAnsi="Times New Roman" w:cs="Times New Roman"/>
        </w:rPr>
        <w:t>→F</w:t>
      </w:r>
      <w:r>
        <w:rPr>
          <w:rFonts w:ascii="Times New Roman" w:hAnsi="Times New Roman" w:cs="Times New Roman"/>
        </w:rPr>
        <w:t>更大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统计效力增加。</w:t>
      </w:r>
    </w:p>
    <w:p w14:paraId="538BC10D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假设条件</w:t>
      </w:r>
    </w:p>
    <w:p w14:paraId="3379F8B3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无需检验方差同质</w:t>
      </w:r>
    </w:p>
    <w:p w14:paraId="6946B0D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球形假设（</w:t>
      </w:r>
      <w:r>
        <w:rPr>
          <w:rFonts w:ascii="Times New Roman" w:hAnsi="Times New Roman" w:cs="Times New Roman"/>
        </w:rPr>
        <w:t>Sphericity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/>
        </w:rPr>
        <w:t>Mauchly</w:t>
      </w:r>
      <w:r>
        <w:rPr>
          <w:rFonts w:ascii="Times New Roman" w:hAnsi="Times New Roman" w:cs="Times New Roman"/>
        </w:rPr>
        <w:t>检验</w:t>
      </w:r>
    </w:p>
    <w:p w14:paraId="57FBCCD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不满足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使用</w:t>
      </w:r>
      <w:r>
        <w:rPr>
          <w:rFonts w:ascii="Times New Roman" w:hAnsi="Times New Roman" w:cs="Times New Roman"/>
        </w:rPr>
        <w:t xml:space="preserve"> GG</w:t>
      </w:r>
      <w:r>
        <w:rPr>
          <w:rFonts w:ascii="Times New Roman" w:hAnsi="Times New Roman" w:cs="Times New Roman"/>
        </w:rPr>
        <w:t>校正自由度。</w:t>
      </w:r>
    </w:p>
    <w:p w14:paraId="71EE945E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效应量</w:t>
      </w:r>
    </w:p>
    <w:p w14:paraId="68BEDDC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η2</w:t>
      </w:r>
    </w:p>
    <w:p w14:paraId="7D4FBA7D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76B25660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Ⅴ. </w:t>
      </w:r>
      <w:r>
        <w:rPr>
          <w:rFonts w:ascii="Times New Roman" w:hAnsi="Times New Roman" w:cs="Times New Roman"/>
          <w:b/>
          <w:bCs/>
        </w:rPr>
        <w:t>双因素独立测量</w:t>
      </w:r>
      <w:r>
        <w:rPr>
          <w:rFonts w:ascii="Times New Roman" w:hAnsi="Times New Roman" w:cs="Times New Roman"/>
          <w:b/>
          <w:bCs/>
        </w:rPr>
        <w:t>ANOVA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Two-way Independent-measures ANOVA</w:t>
      </w:r>
      <w:r>
        <w:rPr>
          <w:rFonts w:ascii="Times New Roman" w:hAnsi="Times New Roman" w:cs="Times New Roman"/>
          <w:b/>
          <w:bCs/>
        </w:rPr>
        <w:t>）</w:t>
      </w:r>
    </w:p>
    <w:p w14:paraId="32A8A294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设计结构</w:t>
      </w:r>
    </w:p>
    <w:p w14:paraId="0A71CB6E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两个组间因素：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水平）</w:t>
      </w:r>
      <w:r>
        <w:rPr>
          <w:rFonts w:ascii="Times New Roman" w:hAnsi="Times New Roman" w:cs="Times New Roman"/>
        </w:rPr>
        <w:t>×B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水平）。</w:t>
      </w:r>
    </w:p>
    <w:p w14:paraId="4A95EF43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>
        <w:rPr>
          <w:rFonts w:ascii="Times New Roman" w:hAnsi="Times New Roman" w:cs="Times New Roman"/>
        </w:rPr>
        <w:t>关注点</w:t>
      </w:r>
    </w:p>
    <w:p w14:paraId="7508AEEF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主效应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ab/>
      </w:r>
    </w:p>
    <w:p w14:paraId="692BFF9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主效应</w:t>
      </w:r>
      <w:r>
        <w:rPr>
          <w:rFonts w:ascii="Times New Roman" w:hAnsi="Times New Roman" w:cs="Times New Roman"/>
        </w:rPr>
        <w:t>B</w:t>
      </w:r>
    </w:p>
    <w:p w14:paraId="57F9D60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交互作用</w:t>
      </w:r>
      <w:r>
        <w:rPr>
          <w:rFonts w:ascii="Times New Roman" w:hAnsi="Times New Roman" w:cs="Times New Roman"/>
        </w:rPr>
        <w:t>A×B</w:t>
      </w:r>
      <w:r>
        <w:rPr>
          <w:rFonts w:ascii="Times New Roman" w:hAnsi="Times New Roman" w:cs="Times New Roman"/>
        </w:rPr>
        <w:t>（最重要）</w:t>
      </w:r>
    </w:p>
    <w:p w14:paraId="2694493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假设条件</w:t>
      </w:r>
    </w:p>
    <w:p w14:paraId="21C8D2AA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各组正态</w:t>
      </w:r>
    </w:p>
    <w:p w14:paraId="304692E2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方差齐性</w:t>
      </w:r>
    </w:p>
    <w:p w14:paraId="1E7DBAC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各单元格独立</w:t>
      </w:r>
    </w:p>
    <w:p w14:paraId="587218A3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统计解释</w:t>
      </w:r>
    </w:p>
    <w:p w14:paraId="2C280A98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A×B</w:t>
      </w:r>
      <w:r>
        <w:rPr>
          <w:rFonts w:ascii="Times New Roman" w:hAnsi="Times New Roman" w:cs="Times New Roman"/>
        </w:rPr>
        <w:t>显著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解释简单主效应</w:t>
      </w:r>
      <w:r>
        <w:rPr>
          <w:rFonts w:ascii="Times New Roman" w:hAnsi="Times New Roman" w:cs="Times New Roman" w:hint="eastAsia"/>
        </w:rPr>
        <w:t>(+</w:t>
      </w:r>
      <w:r>
        <w:rPr>
          <w:rFonts w:ascii="Times New Roman" w:hAnsi="Times New Roman" w:cs="Times New Roman" w:hint="eastAsia"/>
        </w:rPr>
        <w:t>事后检验</w:t>
      </w:r>
      <w:r>
        <w:rPr>
          <w:rFonts w:ascii="Times New Roman" w:hAnsi="Times New Roman" w:cs="Times New Roman" w:hint="eastAsia"/>
        </w:rPr>
        <w:t>)</w:t>
      </w:r>
    </w:p>
    <w:p w14:paraId="172B39D8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7056D807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Ⅵ. </w:t>
      </w:r>
      <w:r>
        <w:rPr>
          <w:rFonts w:ascii="Times New Roman" w:hAnsi="Times New Roman" w:cs="Times New Roman"/>
          <w:b/>
          <w:bCs/>
        </w:rPr>
        <w:t>双因素混合设计</w:t>
      </w:r>
      <w:r>
        <w:rPr>
          <w:rFonts w:ascii="Times New Roman" w:hAnsi="Times New Roman" w:cs="Times New Roman"/>
          <w:b/>
          <w:bCs/>
        </w:rPr>
        <w:t>ANOVA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Two-way Mixed-design ANOVA</w:t>
      </w:r>
      <w:r>
        <w:rPr>
          <w:rFonts w:ascii="Times New Roman" w:hAnsi="Times New Roman" w:cs="Times New Roman"/>
          <w:b/>
          <w:bCs/>
        </w:rPr>
        <w:t>）</w:t>
      </w:r>
    </w:p>
    <w:p w14:paraId="4EAA6619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设计结构</w:t>
      </w:r>
    </w:p>
    <w:p w14:paraId="7A1BB9F3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一个组间因素（</w:t>
      </w:r>
      <w:r>
        <w:rPr>
          <w:rFonts w:ascii="Times New Roman" w:hAnsi="Times New Roman" w:cs="Times New Roman"/>
        </w:rPr>
        <w:t>between</w:t>
      </w:r>
      <w:r>
        <w:rPr>
          <w:rFonts w:ascii="Times New Roman" w:hAnsi="Times New Roman" w:cs="Times New Roman"/>
        </w:rPr>
        <w:t>）</w:t>
      </w:r>
    </w:p>
    <w:p w14:paraId="14B99C8F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一个组内因素（</w:t>
      </w:r>
      <w:r>
        <w:rPr>
          <w:rFonts w:ascii="Times New Roman" w:hAnsi="Times New Roman" w:cs="Times New Roman"/>
        </w:rPr>
        <w:t>within</w:t>
      </w:r>
      <w:r>
        <w:rPr>
          <w:rFonts w:ascii="Times New Roman" w:hAnsi="Times New Roman" w:cs="Times New Roman"/>
        </w:rPr>
        <w:t>）</w:t>
      </w:r>
    </w:p>
    <w:p w14:paraId="2FB7E867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输出结果</w:t>
      </w:r>
    </w:p>
    <w:p w14:paraId="3D5B71B6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组间主效应</w:t>
      </w:r>
    </w:p>
    <w:p w14:paraId="7826391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组内主效应</w:t>
      </w:r>
    </w:p>
    <w:p w14:paraId="6D692FB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交互作用（</w:t>
      </w:r>
      <w:r>
        <w:rPr>
          <w:rFonts w:ascii="Times New Roman" w:hAnsi="Times New Roman" w:cs="Times New Roman"/>
        </w:rPr>
        <w:t>between×within</w:t>
      </w:r>
      <w:r>
        <w:rPr>
          <w:rFonts w:ascii="Times New Roman" w:hAnsi="Times New Roman" w:cs="Times New Roman"/>
        </w:rPr>
        <w:t>）</w:t>
      </w:r>
    </w:p>
    <w:p w14:paraId="7758BC86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需要注意自由度的计算较为复杂</w:t>
      </w:r>
    </w:p>
    <w:p w14:paraId="2245454F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假设条件</w:t>
      </w:r>
    </w:p>
    <w:p w14:paraId="5680BF7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组间因素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方差齐性</w:t>
      </w:r>
    </w:p>
    <w:p w14:paraId="243D206E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组内因素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球形假设</w:t>
      </w:r>
    </w:p>
    <w:p w14:paraId="5811CF4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数据正态</w:t>
      </w:r>
    </w:p>
    <w:p w14:paraId="3E4A0D9E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独立观测</w:t>
      </w:r>
      <w:r>
        <w:rPr>
          <w:rFonts w:ascii="Times New Roman" w:hAnsi="Times New Roman" w:cs="Times New Roman" w:hint="eastAsia"/>
        </w:rPr>
        <w:br/>
      </w:r>
    </w:p>
    <w:p w14:paraId="39F94808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VI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相关分析（</w:t>
      </w:r>
      <w:r>
        <w:rPr>
          <w:rFonts w:ascii="Times New Roman" w:hAnsi="Times New Roman" w:cs="Times New Roman"/>
          <w:b/>
          <w:bCs/>
        </w:rPr>
        <w:t>Correlation</w:t>
      </w:r>
      <w:r>
        <w:rPr>
          <w:rFonts w:ascii="Times New Roman" w:hAnsi="Times New Roman" w:cs="Times New Roman"/>
          <w:b/>
          <w:bCs/>
        </w:rPr>
        <w:t>）</w:t>
      </w:r>
    </w:p>
    <w:p w14:paraId="2B4D2862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Pearson</w:t>
      </w:r>
      <w:r>
        <w:rPr>
          <w:rFonts w:ascii="Times New Roman" w:hAnsi="Times New Roman" w:cs="Times New Roman"/>
          <w:b/>
          <w:bCs/>
        </w:rPr>
        <w:t>相关（</w:t>
      </w:r>
      <w:r>
        <w:rPr>
          <w:rFonts w:ascii="Times New Roman" w:hAnsi="Times New Roman" w:cs="Times New Roman"/>
          <w:b/>
          <w:bCs/>
        </w:rPr>
        <w:t>Pearson r</w:t>
      </w:r>
      <w:r>
        <w:rPr>
          <w:rFonts w:ascii="Times New Roman" w:hAnsi="Times New Roman" w:cs="Times New Roman"/>
          <w:b/>
          <w:bCs/>
        </w:rPr>
        <w:t>）</w:t>
      </w:r>
    </w:p>
    <w:p w14:paraId="4A130A66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>适用情境</w:t>
      </w:r>
    </w:p>
    <w:p w14:paraId="5782B9E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两个变量均为连续变量（</w:t>
      </w:r>
      <w:r>
        <w:rPr>
          <w:rFonts w:ascii="Times New Roman" w:hAnsi="Times New Roman" w:cs="Times New Roman" w:hint="eastAsia"/>
        </w:rPr>
        <w:t>等比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等距</w:t>
      </w:r>
      <w:r>
        <w:rPr>
          <w:rFonts w:ascii="Times New Roman" w:hAnsi="Times New Roman" w:cs="Times New Roman"/>
        </w:rPr>
        <w:t>）</w:t>
      </w:r>
    </w:p>
    <w:p w14:paraId="4D21C9E0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关系近似线性</w:t>
      </w:r>
    </w:p>
    <w:p w14:paraId="244A67C0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>统计思想</w:t>
      </w:r>
    </w:p>
    <w:p w14:paraId="557AEE4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检验变量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的线性相关程度</w:t>
      </w:r>
    </w:p>
    <w:p w14:paraId="6813856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介于</w:t>
      </w:r>
      <w:r>
        <w:rPr>
          <w:rFonts w:ascii="Times New Roman" w:hAnsi="Times New Roman" w:cs="Times New Roman"/>
        </w:rPr>
        <w:t>−1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之间，绝对值越大线性关系越强</w:t>
      </w:r>
    </w:p>
    <w:p w14:paraId="4FF1FDC3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>计算本质</w:t>
      </w:r>
    </w:p>
    <w:p w14:paraId="11A0FBE8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协方差除以两个变量标准差的乘积</w:t>
      </w:r>
    </w:p>
    <w:p w14:paraId="67ECB37E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反映标准化协方差</w:t>
      </w:r>
    </w:p>
    <w:p w14:paraId="7EAEDC29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1.5 </w:t>
      </w:r>
      <w:r>
        <w:rPr>
          <w:rFonts w:ascii="Times New Roman" w:hAnsi="Times New Roman" w:cs="Times New Roman"/>
        </w:rPr>
        <w:t>解读</w:t>
      </w:r>
    </w:p>
    <w:p w14:paraId="1541069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r&gt;0</w:t>
      </w:r>
      <w:r>
        <w:rPr>
          <w:rFonts w:ascii="Times New Roman" w:hAnsi="Times New Roman" w:cs="Times New Roman"/>
        </w:rPr>
        <w:t>：正相关</w:t>
      </w:r>
    </w:p>
    <w:p w14:paraId="7AA74FEE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r&lt;0</w:t>
      </w:r>
      <w:r>
        <w:rPr>
          <w:rFonts w:ascii="Times New Roman" w:hAnsi="Times New Roman" w:cs="Times New Roman"/>
        </w:rPr>
        <w:t>：负相关</w:t>
      </w:r>
    </w:p>
    <w:p w14:paraId="7FB265AD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r=0</w:t>
      </w:r>
      <w:r>
        <w:rPr>
          <w:rFonts w:ascii="Times New Roman" w:hAnsi="Times New Roman" w:cs="Times New Roman"/>
        </w:rPr>
        <w:t>：不存在线性关系（但可能存在曲线关系）</w:t>
      </w:r>
    </w:p>
    <w:p w14:paraId="79F3A697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134ADBBB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Spearman</w:t>
      </w:r>
      <w:r>
        <w:rPr>
          <w:rFonts w:ascii="Times New Roman" w:hAnsi="Times New Roman" w:cs="Times New Roman"/>
          <w:b/>
          <w:bCs/>
        </w:rPr>
        <w:t>秩相关（</w:t>
      </w:r>
      <w:r>
        <w:rPr>
          <w:rFonts w:ascii="Times New Roman" w:hAnsi="Times New Roman" w:cs="Times New Roman"/>
          <w:b/>
          <w:bCs/>
        </w:rPr>
        <w:t>Spearman ρ / rho</w:t>
      </w:r>
      <w:r>
        <w:rPr>
          <w:rFonts w:ascii="Times New Roman" w:hAnsi="Times New Roman" w:cs="Times New Roman"/>
          <w:b/>
          <w:bCs/>
        </w:rPr>
        <w:t>）</w:t>
      </w:r>
    </w:p>
    <w:p w14:paraId="39DC4590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 </w:t>
      </w:r>
      <w:r>
        <w:rPr>
          <w:rFonts w:ascii="Times New Roman" w:hAnsi="Times New Roman" w:cs="Times New Roman"/>
        </w:rPr>
        <w:t>适用情境</w:t>
      </w:r>
    </w:p>
    <w:p w14:paraId="52657AB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数据不满足正态或存在显著偏态</w:t>
      </w:r>
    </w:p>
    <w:p w14:paraId="1A223479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线性关系不明显，但存在单调关系（</w:t>
      </w:r>
      <w:r>
        <w:rPr>
          <w:rFonts w:ascii="Times New Roman" w:hAnsi="Times New Roman" w:cs="Times New Roman"/>
        </w:rPr>
        <w:t>monotonic</w:t>
      </w:r>
      <w:r>
        <w:rPr>
          <w:rFonts w:ascii="Times New Roman" w:hAnsi="Times New Roman" w:cs="Times New Roman"/>
        </w:rPr>
        <w:t>）</w:t>
      </w:r>
    </w:p>
    <w:p w14:paraId="2D43C5F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</w:rPr>
        <w:t>统计思想</w:t>
      </w:r>
    </w:p>
    <w:p w14:paraId="1C0DB36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将数据转化为秩（</w:t>
      </w:r>
      <w:r>
        <w:rPr>
          <w:rFonts w:ascii="Times New Roman" w:hAnsi="Times New Roman" w:cs="Times New Roman"/>
        </w:rPr>
        <w:t>rank</w:t>
      </w:r>
      <w:r>
        <w:rPr>
          <w:rFonts w:ascii="Times New Roman" w:hAnsi="Times New Roman" w:cs="Times New Roman"/>
        </w:rPr>
        <w:t>）</w:t>
      </w:r>
    </w:p>
    <w:p w14:paraId="54A82BC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计算秩的</w:t>
      </w:r>
      <w:r>
        <w:rPr>
          <w:rFonts w:ascii="Times New Roman" w:hAnsi="Times New Roman" w:cs="Times New Roman"/>
        </w:rPr>
        <w:t>Pearson</w:t>
      </w:r>
      <w:r>
        <w:rPr>
          <w:rFonts w:ascii="Times New Roman" w:hAnsi="Times New Roman" w:cs="Times New Roman"/>
        </w:rPr>
        <w:t>相关</w:t>
      </w:r>
    </w:p>
    <w:p w14:paraId="52A3E4A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能抵抗极端值影响（稳健性强）</w:t>
      </w:r>
    </w:p>
    <w:p w14:paraId="7486D9F0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>优点</w:t>
      </w:r>
    </w:p>
    <w:p w14:paraId="7463CA2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不要求正态</w:t>
      </w:r>
    </w:p>
    <w:p w14:paraId="334EADF5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不要求线性</w:t>
      </w:r>
    </w:p>
    <w:p w14:paraId="6C74529D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对异常值不敏感</w:t>
      </w:r>
    </w:p>
    <w:p w14:paraId="45923D3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可用于等级评分</w:t>
      </w:r>
    </w:p>
    <w:p w14:paraId="1643E55D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2.4 </w:t>
      </w:r>
      <w:r>
        <w:rPr>
          <w:rFonts w:ascii="Times New Roman" w:hAnsi="Times New Roman" w:cs="Times New Roman"/>
        </w:rPr>
        <w:t>解读</w:t>
      </w:r>
    </w:p>
    <w:p w14:paraId="45C2EDF6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Pearson</w:t>
      </w:r>
      <w:r>
        <w:rPr>
          <w:rFonts w:ascii="Times New Roman" w:hAnsi="Times New Roman" w:cs="Times New Roman"/>
        </w:rPr>
        <w:t>一样：</w:t>
      </w:r>
      <w:r>
        <w:rPr>
          <w:rFonts w:ascii="Times New Roman" w:hAnsi="Times New Roman" w:cs="Times New Roman"/>
        </w:rPr>
        <w:t>−1</w:t>
      </w:r>
      <w:r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/>
        </w:rPr>
        <w:t>1</w:t>
      </w:r>
    </w:p>
    <w:p w14:paraId="622FD3A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代表秩的单调性强弱</w:t>
      </w:r>
    </w:p>
    <w:p w14:paraId="5FD78CFA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6B482E75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>
        <w:rPr>
          <w:rFonts w:ascii="Times New Roman" w:hAnsi="Times New Roman" w:cs="Times New Roman"/>
          <w:b/>
          <w:bCs/>
        </w:rPr>
        <w:t>点二列相关（</w:t>
      </w:r>
      <w:r>
        <w:rPr>
          <w:rFonts w:ascii="Times New Roman" w:hAnsi="Times New Roman" w:cs="Times New Roman"/>
          <w:b/>
          <w:bCs/>
        </w:rPr>
        <w:t>Point-biserial correlation, rpb</w:t>
      </w:r>
      <w:r>
        <w:rPr>
          <w:rFonts w:ascii="Times New Roman" w:hAnsi="Times New Roman" w:cs="Times New Roman"/>
          <w:b/>
          <w:bCs/>
        </w:rPr>
        <w:t>）</w:t>
      </w:r>
    </w:p>
    <w:p w14:paraId="4B2B1DF6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3.1 </w:t>
      </w:r>
      <w:r>
        <w:rPr>
          <w:rFonts w:ascii="Times New Roman" w:hAnsi="Times New Roman" w:cs="Times New Roman"/>
        </w:rPr>
        <w:t>适用情境</w:t>
      </w:r>
    </w:p>
    <w:p w14:paraId="50294FF1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一个变量为连续</w:t>
      </w:r>
    </w:p>
    <w:p w14:paraId="5BECA7C4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一个变量为二分类（</w:t>
      </w:r>
      <w:r>
        <w:rPr>
          <w:rFonts w:ascii="Times New Roman" w:hAnsi="Times New Roman" w:cs="Times New Roman"/>
        </w:rPr>
        <w:t>0/1</w:t>
      </w:r>
      <w:r>
        <w:rPr>
          <w:rFonts w:ascii="Times New Roman" w:hAnsi="Times New Roman" w:cs="Times New Roman"/>
        </w:rPr>
        <w:t>）</w:t>
      </w:r>
    </w:p>
    <w:p w14:paraId="20ECF48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如：性别（</w:t>
      </w:r>
      <w:r>
        <w:rPr>
          <w:rFonts w:ascii="Times New Roman" w:hAnsi="Times New Roman" w:cs="Times New Roman"/>
        </w:rPr>
        <w:t>0=</w:t>
      </w:r>
      <w:r>
        <w:rPr>
          <w:rFonts w:ascii="Times New Roman" w:hAnsi="Times New Roman" w:cs="Times New Roman"/>
        </w:rPr>
        <w:t>女</w:t>
      </w:r>
      <w:r>
        <w:rPr>
          <w:rFonts w:ascii="Times New Roman" w:hAnsi="Times New Roman" w:cs="Times New Roman"/>
        </w:rPr>
        <w:t>,1=</w:t>
      </w:r>
      <w:r>
        <w:rPr>
          <w:rFonts w:ascii="Times New Roman" w:hAnsi="Times New Roman" w:cs="Times New Roman"/>
        </w:rPr>
        <w:t>男）与成绩</w:t>
      </w:r>
    </w:p>
    <w:p w14:paraId="3D6DAF37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r>
        <w:rPr>
          <w:rFonts w:ascii="Times New Roman" w:hAnsi="Times New Roman" w:cs="Times New Roman"/>
        </w:rPr>
        <w:t>本质</w:t>
      </w:r>
    </w:p>
    <w:p w14:paraId="33E7B875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Pearson r</w:t>
      </w:r>
      <w:r>
        <w:rPr>
          <w:rFonts w:ascii="Times New Roman" w:hAnsi="Times New Roman" w:cs="Times New Roman"/>
        </w:rPr>
        <w:t>的一种特殊情况</w:t>
      </w:r>
    </w:p>
    <w:p w14:paraId="5B9C346C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0/1</w:t>
      </w:r>
      <w:r>
        <w:rPr>
          <w:rFonts w:ascii="Times New Roman" w:hAnsi="Times New Roman" w:cs="Times New Roman"/>
        </w:rPr>
        <w:t>变量被当成连续变量处理</w:t>
      </w:r>
    </w:p>
    <w:p w14:paraId="1293FDDC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</w:t>
      </w:r>
      <w:r>
        <w:rPr>
          <w:rFonts w:ascii="Times New Roman" w:hAnsi="Times New Roman" w:cs="Times New Roman"/>
        </w:rPr>
        <w:t>解读</w:t>
      </w:r>
    </w:p>
    <w:p w14:paraId="527EA69B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rpb = t/√(t2+df)</w:t>
      </w:r>
    </w:p>
    <w:p w14:paraId="5FCA5F4C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p w14:paraId="71B6E263" w14:textId="77777777" w:rsidR="00431CFC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phi</w:t>
      </w:r>
      <w:r>
        <w:rPr>
          <w:rFonts w:ascii="Times New Roman" w:hAnsi="Times New Roman" w:cs="Times New Roman"/>
          <w:b/>
          <w:bCs/>
        </w:rPr>
        <w:t>相关（</w:t>
      </w:r>
      <w:r>
        <w:rPr>
          <w:rFonts w:ascii="Times New Roman" w:hAnsi="Times New Roman" w:cs="Times New Roman"/>
          <w:b/>
          <w:bCs/>
        </w:rPr>
        <w:t>φ coefficient</w:t>
      </w:r>
      <w:r>
        <w:rPr>
          <w:rFonts w:ascii="Times New Roman" w:hAnsi="Times New Roman" w:cs="Times New Roman"/>
          <w:b/>
          <w:bCs/>
        </w:rPr>
        <w:t>）</w:t>
      </w:r>
    </w:p>
    <w:p w14:paraId="1017F2DE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r>
        <w:rPr>
          <w:rFonts w:ascii="Times New Roman" w:hAnsi="Times New Roman" w:cs="Times New Roman"/>
        </w:rPr>
        <w:t>适用情境</w:t>
      </w:r>
    </w:p>
    <w:p w14:paraId="01CCEEB7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两个变量均为二分类（</w:t>
      </w:r>
      <w:r>
        <w:rPr>
          <w:rFonts w:ascii="Times New Roman" w:hAnsi="Times New Roman" w:cs="Times New Roman"/>
        </w:rPr>
        <w:t>2×2</w:t>
      </w:r>
      <w:r>
        <w:rPr>
          <w:rFonts w:ascii="Times New Roman" w:hAnsi="Times New Roman" w:cs="Times New Roman"/>
        </w:rPr>
        <w:t>列联表）</w:t>
      </w:r>
    </w:p>
    <w:p w14:paraId="2DEEA192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如：吸烟（是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否）</w:t>
      </w:r>
      <w:r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>疾病（是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否）</w:t>
      </w:r>
    </w:p>
    <w:p w14:paraId="36B935A2" w14:textId="77777777" w:rsidR="00431CF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特点</w:t>
      </w:r>
    </w:p>
    <w:p w14:paraId="7A4B5F4A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反映两个二值变量关联程度</w:t>
      </w:r>
    </w:p>
    <w:p w14:paraId="3893991D" w14:textId="77777777" w:rsidR="00431CFC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φ=0</w:t>
      </w:r>
      <w:r>
        <w:rPr>
          <w:rFonts w:ascii="Times New Roman" w:hAnsi="Times New Roman" w:cs="Times New Roman"/>
        </w:rPr>
        <w:t>无关联，</w:t>
      </w:r>
      <w:r>
        <w:rPr>
          <w:rFonts w:ascii="Times New Roman" w:hAnsi="Times New Roman" w:cs="Times New Roman"/>
        </w:rPr>
        <w:t>|φ|</w:t>
      </w:r>
      <w:r>
        <w:rPr>
          <w:rFonts w:ascii="Times New Roman" w:hAnsi="Times New Roman" w:cs="Times New Roman"/>
        </w:rPr>
        <w:t>越大相关越强</w:t>
      </w:r>
    </w:p>
    <w:p w14:paraId="1165B159" w14:textId="77777777" w:rsidR="00431CFC" w:rsidRDefault="00431CFC">
      <w:pPr>
        <w:spacing w:line="360" w:lineRule="auto"/>
        <w:rPr>
          <w:rFonts w:ascii="Times New Roman" w:hAnsi="Times New Roman" w:cs="Times New Roman"/>
        </w:rPr>
      </w:pPr>
    </w:p>
    <w:sectPr w:rsidR="00431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embedSystem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FC"/>
    <w:rsid w:val="0008044F"/>
    <w:rsid w:val="00431CFC"/>
    <w:rsid w:val="006875D2"/>
    <w:rsid w:val="0AE154F2"/>
    <w:rsid w:val="13806B2E"/>
    <w:rsid w:val="341E1D1F"/>
    <w:rsid w:val="3C7921E9"/>
    <w:rsid w:val="42266E87"/>
    <w:rsid w:val="5A985A10"/>
    <w:rsid w:val="64BA6817"/>
    <w:rsid w:val="74F1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BCCD336"/>
  <w15:docId w15:val="{4044F07D-907A-404E-898B-1AF4915D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ldlmtpx549</dc:creator>
  <cp:lastModifiedBy>YX Luo</cp:lastModifiedBy>
  <cp:revision>2</cp:revision>
  <dcterms:created xsi:type="dcterms:W3CDTF">2025-12-12T06:36:00Z</dcterms:created>
  <dcterms:modified xsi:type="dcterms:W3CDTF">2025-12-12T06:36:00Z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eyJoZGlkIjoiMjlkOWJhZjhmYTU1MTdlODdmNzIwY2VlZTFkNmQ2YmUiLCJ1c2VySWQiOiIxNzc1NTkwNDgwIn0=</vt:lpwstr>
  </property>
  <property fmtid="{D5CDD505-2E9C-101B-9397-08002B2CF9AE}" pid="4" name="ICV">
    <vt:lpwstr>58FF3F465F1044BFB7ABA1AC291D21A5_12</vt:lpwstr>
  </property>
</Properties>
</file>