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00"/>
      </w:pPr>
    </w:p>
    <w:p>
      <w:pPr>
        <w:jc w:val="center"/>
      </w:pPr>
      <w:r>
        <w:rPr>
          <w:rFonts w:ascii="Microsoft YaHei" w:hAnsi="Microsoft YaHei" w:eastAsia="Microsoft YaHei"/>
          <w:b/>
          <w:color w:val="2457D6"/>
          <w:sz w:val="22"/>
        </w:rPr>
        <w:t>课程设计项目文档</w:t>
      </w:r>
    </w:p>
    <w:p>
      <w:pPr>
        <w:spacing w:after="200"/>
        <w:jc w:val="center"/>
      </w:pPr>
      <w:r>
        <w:rPr>
          <w:rFonts w:ascii="Microsoft YaHei" w:hAnsi="Microsoft YaHei" w:eastAsia="Microsoft YaHei"/>
          <w:b/>
          <w:color w:val="16324F"/>
          <w:sz w:val="56"/>
        </w:rPr>
        <w:t>网管通电竞网吧运营管理系统</w:t>
      </w:r>
    </w:p>
    <w:p>
      <w:pPr>
        <w:spacing w:after="600"/>
        <w:jc w:val="center"/>
      </w:pPr>
      <w:r>
        <w:rPr>
          <w:rFonts w:ascii="Microsoft YaHei" w:hAnsi="Microsoft YaHei" w:eastAsia="Microsoft YaHei"/>
          <w:color w:val="667085"/>
          <w:sz w:val="26"/>
        </w:rPr>
        <w:t>项目报告：需求分析 · 系统设计 · 核心实现 · 验证与边界</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文档项</w:t>
            </w:r>
          </w:p>
        </w:tc>
        <w:tc>
          <w:tcPr>
            <w:tcW w:type="dxa" w:w="66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内容</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文档版本</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V2.1（2026-07-15）</w:t>
            </w:r>
          </w:p>
        </w:tc>
      </w:tr>
      <w:tr>
        <w:trPr>
          <w:cantSplit w:val="true"/>
        </w:trPr>
        <w:tc>
          <w:tcPr>
            <w:tcW w:type="dxa" w:w="27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系统架构</w:t>
            </w:r>
          </w:p>
        </w:tc>
        <w:tc>
          <w:tcPr>
            <w:tcW w:type="dxa" w:w="66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3 + Spring Boot 3 + MyBatis-Plus + MySQL</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系统规模</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用户自助端 / 管理员后台；18 张表；64 个 HTTP 接口</w:t>
            </w:r>
          </w:p>
        </w:tc>
      </w:tr>
      <w:tr>
        <w:trPr>
          <w:cantSplit w:val="true"/>
        </w:trPr>
        <w:tc>
          <w:tcPr>
            <w:tcW w:type="dxa" w:w="27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运行端口</w:t>
            </w:r>
          </w:p>
        </w:tc>
        <w:tc>
          <w:tcPr>
            <w:tcW w:type="dxa" w:w="66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前端 5173；后端 8087</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适用场景</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课程设计、功能演示、受控环境原型验证</w:t>
            </w:r>
          </w:p>
        </w:tc>
      </w:tr>
      <w:tr>
        <w:trPr>
          <w:cantSplit w:val="true"/>
        </w:trPr>
        <w:tc>
          <w:tcPr>
            <w:tcW w:type="dxa" w:w="27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学年学期</w:t>
            </w:r>
          </w:p>
        </w:tc>
        <w:tc>
          <w:tcPr>
            <w:tcW w:type="dxa" w:w="66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2025—2026 学年第二学期</w:t>
            </w:r>
          </w:p>
        </w:tc>
      </w:tr>
      <w:tr>
        <w:trPr>
          <w:cantSplit w:val="true"/>
        </w:trPr>
        <w:tc>
          <w:tcPr>
            <w:tcW w:type="dxa" w:w="27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专业/班级/学号/姓名</w:t>
            </w:r>
          </w:p>
        </w:tc>
        <w:tc>
          <w:tcPr>
            <w:tcW w:type="dxa" w:w="66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待填写</w:t>
            </w:r>
          </w:p>
        </w:tc>
      </w:tr>
    </w:tbl>
    <w:p>
      <w:pPr>
        <w:spacing w:after="0"/>
      </w:pPr>
    </w:p>
    <w:p>
      <w:pPr>
        <w:spacing w:before="240"/>
        <w:jc w:val="center"/>
      </w:pPr>
      <w:r>
        <w:rPr>
          <w:rFonts w:ascii="Microsoft YaHei" w:hAnsi="Microsoft YaHei" w:eastAsia="Microsoft YaHei"/>
          <w:color w:val="667085"/>
          <w:sz w:val="19"/>
        </w:rPr>
        <w:t>依据当前主系统源代码、完整 SQL 与前端路由同步生成</w:t>
      </w:r>
    </w:p>
    <w:p>
      <w:r>
        <w:br w:type="page"/>
      </w:r>
    </w:p>
    <w:p>
      <w:pPr>
        <w:pStyle w:val="Heading1"/>
      </w:pPr>
      <w:r>
        <w:t>摘 要</w:t>
      </w:r>
    </w:p>
    <w:p>
      <w:pPr>
        <w:spacing w:after="120" w:line="300" w:lineRule="auto"/>
      </w:pPr>
      <w:r>
        <w:rPr>
          <w:rFonts w:ascii="Microsoft YaHei" w:hAnsi="Microsoft YaHei" w:eastAsia="Microsoft YaHei"/>
          <w:color w:val="172B4D"/>
          <w:sz w:val="22"/>
        </w:rPr>
        <w:t>网管通面向电竞网吧的顾客自助与运营管理场景，将会员、电脑机位、上机计费、预约、点餐支付、优惠券签到、团购券、邀请推广和服务工单统一到一套前后端分离系统中。用户可以自助完成上机、点餐、签到、核券和服务请求；管理员可维护业务资料、处理订单与工单并配置营销规则。</w:t>
      </w:r>
    </w:p>
    <w:p>
      <w:pPr>
        <w:spacing w:after="120" w:line="300" w:lineRule="auto"/>
      </w:pPr>
      <w:r>
        <w:rPr>
          <w:rFonts w:ascii="Microsoft YaHei" w:hAnsi="Microsoft YaHei" w:eastAsia="Microsoft YaHei"/>
          <w:color w:val="172B4D"/>
          <w:sz w:val="22"/>
        </w:rPr>
        <w:t>系统使用 Java 17、Spring Boot 3.3.5、MyBatis-Plus 3.5.7、MySQL 8、Vue 3、Vite 5 和 Arco Design Vue。当前实现包含 14 个 Controller、64 个 HTTP 接口和 18 张数据库表。核心机制包括首小时立即扣费、每分钟补扣差额、余额不足自动下机、预约超时释放、优惠券条件占用、支付回调验签、点餐退款、余额充值到账幂等、团购券防重复核销、邀请奖励唯一约束和故障工单与机位状态联动。</w:t>
      </w:r>
    </w:p>
    <w:tbl>
      <w:tblPr>
        <w:tblW w:type="dxa" w:w="9360"/>
        <w:jc w:val="left"/>
        <w:tblLayout w:type="fixed"/>
        <w:tblLook w:firstColumn="1" w:firstRow="1" w:lastColumn="0" w:lastRow="0" w:noHBand="0" w:noVBand="1" w:val="04A0"/>
        <w:tblInd w:w="120" w:type="dxa"/>
        <w:tblBorders>
          <w:top w:val="single" w:sz="4" w:space="0" w:color="AFC6E9"/>
          <w:left w:val="single" w:sz="4" w:space="0" w:color="AFC6E9"/>
          <w:bottom w:val="single" w:sz="4" w:space="0" w:color="AFC6E9"/>
          <w:right w:val="single" w:sz="4" w:space="0" w:color="AFC6E9"/>
          <w:insideH w:val="single" w:sz="4" w:space="0" w:color="AFC6E9"/>
          <w:insideV w:val="single" w:sz="4" w:space="0" w:color="AFC6E9"/>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Microsoft YaHei" w:hAnsi="Microsoft YaHei" w:eastAsia="Microsoft YaHei"/>
                <w:b/>
                <w:color w:val="16324F"/>
                <w:sz w:val="22"/>
              </w:rPr>
              <w:t xml:space="preserve">结论  </w:t>
            </w:r>
            <w:r>
              <w:rPr>
                <w:rFonts w:ascii="Microsoft YaHei" w:hAnsi="Microsoft YaHei" w:eastAsia="Microsoft YaHei"/>
                <w:color w:val="172B4D"/>
                <w:sz w:val="22"/>
              </w:rPr>
              <w:t>当前系统适合课程答辩和受控环境演示。真实支付代码已接入但默认关闭；公开生产部署前仍需补充后端鉴权、密码散列、接口授权、并发控制与审计。</w:t>
            </w:r>
          </w:p>
        </w:tc>
      </w:tr>
    </w:tbl>
    <w:p>
      <w:pPr>
        <w:spacing w:after="0"/>
      </w:pPr>
    </w:p>
    <w:p>
      <w:pPr>
        <w:pStyle w:val="Heading1"/>
      </w:pPr>
      <w:r>
        <w:t>1 项目概述</w:t>
      </w:r>
    </w:p>
    <w:p>
      <w:pPr>
        <w:pStyle w:val="Heading2"/>
      </w:pPr>
      <w:r>
        <w:t>1.1 项目背景</w:t>
      </w:r>
    </w:p>
    <w:p>
      <w:pPr>
        <w:spacing w:after="120" w:line="300" w:lineRule="auto"/>
      </w:pPr>
      <w:r>
        <w:rPr>
          <w:rFonts w:ascii="Microsoft YaHei" w:hAnsi="Microsoft YaHei" w:eastAsia="Microsoft YaHei"/>
          <w:color w:val="172B4D"/>
          <w:sz w:val="22"/>
        </w:rPr>
        <w:t>网吧业务同时涉及机位资源、会员余额、实时计费、餐饮订单、营销权益和现场服务。若依赖人工登记，容易出现机位与记录不同步、余额扣减不透明、预约冲突、优惠重复核销和服务诉求无法追踪。网管通以同一数据库连接用户自助端和管理员后台，减少重复操作并保留完整业务记录。</w:t>
      </w:r>
    </w:p>
    <w:p>
      <w:pPr>
        <w:pStyle w:val="Heading2"/>
      </w:pPr>
      <w:r>
        <w:t>1.2 建设目标</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目标</w:t>
            </w:r>
          </w:p>
        </w:tc>
        <w:tc>
          <w:tcPr>
            <w:tcW w:type="dxa" w:w="69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实现结果</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统一运营数据</w:t>
            </w:r>
          </w:p>
        </w:tc>
        <w:tc>
          <w:tcPr>
            <w:tcW w:type="dxa" w:w="69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会员、机位、上机、预约、点餐、支付、营销和工单进入同一系统</w:t>
            </w:r>
          </w:p>
        </w:tc>
      </w:tr>
      <w:tr>
        <w:trPr>
          <w:cantSplit w:val="true"/>
        </w:trPr>
        <w:tc>
          <w:tcPr>
            <w:tcW w:type="dxa" w:w="2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顾客自助</w:t>
            </w:r>
          </w:p>
        </w:tc>
        <w:tc>
          <w:tcPr>
            <w:tcW w:type="dxa" w:w="69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身份证号登录后完成上机、点餐、签到、核券、邀请和服务请求</w:t>
            </w:r>
          </w:p>
        </w:tc>
      </w:tr>
      <w:tr>
        <w:trPr>
          <w:cantSplit w:val="true"/>
        </w:trPr>
        <w:tc>
          <w:tcPr>
            <w:tcW w:type="dxa" w:w="2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业务闭环</w:t>
            </w:r>
          </w:p>
        </w:tc>
        <w:tc>
          <w:tcPr>
            <w:tcW w:type="dxa" w:w="69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状态变化、金额变化与业务记录在事务中同步完成</w:t>
            </w:r>
          </w:p>
        </w:tc>
      </w:tr>
      <w:tr>
        <w:trPr>
          <w:cantSplit w:val="true"/>
        </w:trPr>
        <w:tc>
          <w:tcPr>
            <w:tcW w:type="dxa" w:w="2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双环境运行</w:t>
            </w:r>
          </w:p>
        </w:tc>
        <w:tc>
          <w:tcPr>
            <w:tcW w:type="dxa" w:w="69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本地由 Vite 代理；生产由 Nginx 反向代理到 8087</w:t>
            </w:r>
          </w:p>
        </w:tc>
      </w:tr>
    </w:tbl>
    <w:p>
      <w:pPr>
        <w:spacing w:after="0"/>
      </w:pPr>
    </w:p>
    <w:p>
      <w:pPr>
        <w:pStyle w:val="Heading1"/>
      </w:pPr>
      <w:r>
        <w:t>2 需求分析</w:t>
      </w:r>
    </w:p>
    <w:p>
      <w:pPr>
        <w:pStyle w:val="Heading2"/>
      </w:pPr>
      <w:r>
        <w:t>2.1 用户端</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功能组</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当前功能</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上机服务</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机位大厅、当前上机、我的预约、上机记录</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点餐服务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商品选购、购物车、优惠券、余额/微信/支付宝、我的订单</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会员活动</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每日签到、我的优惠券</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推广计划</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邀请好友、邀请记录、双方奖励</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呼叫网管、故障报修、服务记录</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账户服务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余额明细、团购验券、修改密码、退出</w:t>
            </w:r>
          </w:p>
        </w:tc>
      </w:tr>
    </w:tbl>
    <w:p>
      <w:pPr>
        <w:spacing w:after="0"/>
      </w:pPr>
    </w:p>
    <w:p>
      <w:pPr>
        <w:pStyle w:val="Heading2"/>
      </w:pPr>
      <w:r>
        <w:t>2.2 管理员后台</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业务域</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当前功能</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数据概览</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会员、电脑、空闲、使用中、今日充值、今日上机统计</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会员与机位</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会员资料、余额充值、电脑资料和状态</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上机运营</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预约管理、进行中记录、历史记录和下机结算</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点餐管理</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订单、商品、优惠金额、支付状态、完成与退款</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呼叫网管/故障报修受理、完成、取消</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营销活动</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团购券、优惠券模板、签到规则、推广奖励规则</w:t>
            </w:r>
          </w:p>
        </w:tc>
      </w:tr>
    </w:tbl>
    <w:p>
      <w:pPr>
        <w:spacing w:after="0"/>
      </w:pPr>
    </w:p>
    <w:p>
      <w:pPr>
        <w:pStyle w:val="Heading1"/>
      </w:pPr>
      <w:r>
        <w:t>3 系统设计</w:t>
      </w:r>
    </w:p>
    <w:p>
      <w:pPr>
        <w:pStyle w:val="Heading2"/>
      </w:pPr>
      <w:r>
        <w:t>3.1 总体架构</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层级</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技术与职责</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浏览器表现层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3、Arco Design Vue；用户端与后台页面</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路由与通信</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Vue Router；Axios；Vite/Nginx 的 /api 代理</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接口层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14 个 Spring MVC Controller，统一 Result 响应</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业务层</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Service 事务、状态流转、计费、支付、营销和工单规则</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持久层</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MyBatis-Plus Mapper/Entity</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数据层</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MySQL 8，18 张表，逻辑关联为主</w:t>
            </w:r>
          </w:p>
        </w:tc>
      </w:tr>
    </w:tbl>
    <w:p>
      <w:pPr>
        <w:spacing w:after="0"/>
      </w:pPr>
    </w:p>
    <w:p>
      <w:pPr>
        <w:pStyle w:val="Heading2"/>
      </w:pPr>
      <w:r>
        <w:t>3.2 数据库设计</w:t>
      </w:r>
    </w:p>
    <w:p>
      <w:pPr>
        <w:spacing w:after="120" w:line="300" w:lineRule="auto"/>
      </w:pPr>
      <w:r>
        <w:rPr>
          <w:rFonts w:ascii="Microsoft YaHei" w:hAnsi="Microsoft YaHei" w:eastAsia="Microsoft YaHei"/>
          <w:color w:val="172B4D"/>
          <w:sz w:val="22"/>
        </w:rPr>
        <w:t>完整 SQL 包含 18 张表，按账号机位、上机预约、点餐支付、优惠券签到、推广邀请、团购券充值和服务工单组织。金额使用 DECIMAL，时间使用 DATETIME，主键使用 BIGINT AUTO_INCREMENT。当前没有声明物理外键，关联由 Service 校验与事务维护。</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域</w:t>
            </w:r>
          </w:p>
        </w:tc>
        <w:tc>
          <w:tcPr>
            <w:tcW w:type="dxa" w:w="7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数据表</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账号与机位</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admin、member、computer</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上机与预约</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online_record、reservation_record</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点餐与支付</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food_item、food_order、payment_record、payment_refund</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优惠券签到</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coupon_template、sign_in_reward_rule、user_coupon、member_sign_in</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营销与余额</w:t>
            </w:r>
          </w:p>
        </w:tc>
        <w:tc>
          <w:tcPr>
            <w:tcW w:type="dxa" w:w="7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recharge_record、group_buy_voucher、promotion_rule、invitation_record</w:t>
            </w:r>
          </w:p>
        </w:tc>
      </w:tr>
      <w:tr>
        <w:trPr>
          <w:cantSplit w:val="true"/>
        </w:trPr>
        <w:tc>
          <w:tcPr>
            <w:tcW w:type="dxa" w:w="2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服务中心</w:t>
            </w:r>
          </w:p>
        </w:tc>
        <w:tc>
          <w:tcPr>
            <w:tcW w:type="dxa" w:w="7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repair_record</w:t>
            </w:r>
          </w:p>
        </w:tc>
      </w:tr>
    </w:tbl>
    <w:p>
      <w:pPr>
        <w:spacing w:after="0"/>
      </w:pPr>
    </w:p>
    <w:p>
      <w:pPr>
        <w:pStyle w:val="Heading1"/>
      </w:pPr>
      <w:r>
        <w:t>4 核心实现</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val="true"/>
          <w:cantSplit w:val="true"/>
        </w:trPr>
        <w:tc>
          <w:tcPr>
            <w:tcW w:type="dxa" w:w="19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模块</w:t>
            </w:r>
          </w:p>
        </w:tc>
        <w:tc>
          <w:tcPr>
            <w:tcW w:type="dxa" w:w="74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关键实现</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实时上机</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首小时立即扣费；每 60 秒按向上取整小时补扣差额；余额不足自动下机。</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预约</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限制未来一小时；一人一条有效预约；取消/超时释放电脑；预约上机复用普通计费。</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优惠点餐</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后端读取商品价；购物车共用批次号；优惠券校验门槛并分摊到明细。</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真实支付</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点餐与余额充值共用微信 Native、支付宝电脑网站支付；异步回调验签；15 分钟超时关闭；点餐明细退款。</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余额充值</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用户端仅支持微信/支付宝；平台确认成功后事务到账；商户支付单号保证重复回调不重复入账。</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签到领券</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每天一次；连续天数由服务端计算；达到后台规则时发放带有效期优惠券。</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团购券</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后台录入；用户核销；条件更新防重复；成功后以充值记录入账。</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推广邀请</w:t>
            </w:r>
          </w:p>
        </w:tc>
        <w:tc>
          <w:tcPr>
            <w:tcW w:type="dxa" w:w="74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每人唯一邀请码；活动可停用；双方奖励入账；新用户唯一约束防重复发奖。</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服务工单</w:t>
            </w:r>
          </w:p>
        </w:tc>
        <w:tc>
          <w:tcPr>
            <w:tcW w:type="dxa" w:w="74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呼叫网管可不绑电脑；报修受理后维修中；完成/取消后释放机位。</w:t>
            </w:r>
          </w:p>
        </w:tc>
      </w:tr>
    </w:tbl>
    <w:p>
      <w:pPr>
        <w:spacing w:after="0"/>
      </w:pPr>
    </w:p>
    <w:p>
      <w:pPr>
        <w:pStyle w:val="Heading2"/>
      </w:pPr>
      <w:r>
        <w:t>4.1 一致性与防重复</w:t>
      </w:r>
    </w:p>
    <w:p>
      <w:pPr>
        <w:spacing w:after="120" w:line="300" w:lineRule="auto"/>
      </w:pPr>
      <w:r>
        <w:rPr>
          <w:rFonts w:ascii="Microsoft YaHei" w:hAnsi="Microsoft YaHei" w:eastAsia="Microsoft YaHei"/>
          <w:color w:val="172B4D"/>
          <w:sz w:val="22"/>
        </w:rPr>
        <w:t>充值、上机、预约、点餐、团购券、签到、邀请奖励和退款均涉及多表修改，使用 Spring 事务保证整体提交或回滚。支付单号、退款单号、邀请码、团购券码和新用户邀请记录通过唯一约束或条件更新防止重复业务结果。</w:t>
      </w:r>
    </w:p>
    <w:p>
      <w:pPr>
        <w:pStyle w:val="Heading1"/>
      </w:pPr>
      <w:r>
        <w:t>5 接口与部署</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6200"/>
        <w:gridCol w:w="3160"/>
      </w:tblGrid>
      <w:tr>
        <w:trPr>
          <w:tblHeader w:val="true"/>
          <w:cantSplit w:val="true"/>
        </w:trPr>
        <w:tc>
          <w:tcPr>
            <w:tcW w:type="dxa" w:w="62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模块</w:t>
            </w:r>
          </w:p>
        </w:tc>
        <w:tc>
          <w:tcPr>
            <w:tcW w:type="dxa" w:w="3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20"/>
              </w:rPr>
              <w:t>接口数</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管理员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看板</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会员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5</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电脑</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5</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充值</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3</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上机</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预约</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点餐</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10</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支付</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6</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用户自助</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6</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优惠券签到</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9</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团购券</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4</w:t>
            </w:r>
          </w:p>
        </w:tc>
      </w:tr>
      <w:tr>
        <w:trPr>
          <w:cantSplit w:val="true"/>
        </w:trPr>
        <w:tc>
          <w:tcPr>
            <w:tcW w:type="dxa" w:w="62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推广计划</w:t>
            </w:r>
          </w:p>
        </w:tc>
        <w:tc>
          <w:tcPr>
            <w:tcW w:type="dxa" w:w="3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3</w:t>
            </w:r>
          </w:p>
        </w:tc>
      </w:tr>
      <w:tr>
        <w:trPr>
          <w:cantSplit w:val="true"/>
        </w:trPr>
        <w:tc>
          <w:tcPr>
            <w:tcW w:type="dxa" w:w="62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服务中心</w:t>
            </w:r>
          </w:p>
        </w:tc>
        <w:tc>
          <w:tcPr>
            <w:tcW w:type="dxa" w:w="3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20"/>
              </w:rPr>
              <w:t>3</w:t>
            </w:r>
          </w:p>
        </w:tc>
      </w:tr>
    </w:tbl>
    <w:p>
      <w:pPr>
        <w:spacing w:after="0"/>
      </w:pPr>
    </w:p>
    <w:p>
      <w:pPr>
        <w:spacing w:after="120" w:line="300" w:lineRule="auto"/>
      </w:pPr>
      <w:r>
        <w:rPr>
          <w:rFonts w:ascii="Microsoft YaHei" w:hAnsi="Microsoft YaHei" w:eastAsia="Microsoft YaHei"/>
          <w:color w:val="172B4D"/>
          <w:sz w:val="22"/>
        </w:rPr>
        <w:t>当前 Controller 实际映射共 64 个 HTTP 接口。通用业务接口返回 code、message、data；微信和支付宝通知按平台协议返回 HTTP JSON 或纯文本。</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0"/>
        <w:gridCol w:w="3400"/>
        <w:gridCol w:w="4360"/>
      </w:tblGrid>
      <w:tr>
        <w:trPr>
          <w:tblHeader w:val="true"/>
          <w:cantSplit w:val="true"/>
        </w:trPr>
        <w:tc>
          <w:tcPr>
            <w:tcW w:type="dxa" w:w="16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环境</w:t>
            </w:r>
          </w:p>
        </w:tc>
        <w:tc>
          <w:tcPr>
            <w:tcW w:type="dxa" w:w="34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前端</w:t>
            </w:r>
          </w:p>
        </w:tc>
        <w:tc>
          <w:tcPr>
            <w:tcW w:type="dxa" w:w="43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后端/API</w:t>
            </w:r>
          </w:p>
        </w:tc>
      </w:tr>
      <w:tr>
        <w:trPr>
          <w:cantSplit w:val="true"/>
        </w:trPr>
        <w:tc>
          <w:tcPr>
            <w:tcW w:type="dxa" w:w="16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本地</w:t>
            </w:r>
          </w:p>
        </w:tc>
        <w:tc>
          <w:tcPr>
            <w:tcW w:type="dxa" w:w="34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http://localhost:5173</w:t>
            </w:r>
          </w:p>
        </w:tc>
        <w:tc>
          <w:tcPr>
            <w:tcW w:type="dxa" w:w="43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由 Vite 转到 http://localhost:8087</w:t>
            </w:r>
          </w:p>
        </w:tc>
      </w:tr>
      <w:tr>
        <w:trPr>
          <w:cantSplit w:val="true"/>
        </w:trPr>
        <w:tc>
          <w:tcPr>
            <w:tcW w:type="dxa" w:w="16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宝塔</w:t>
            </w:r>
          </w:p>
        </w:tc>
        <w:tc>
          <w:tcPr>
            <w:tcW w:type="dxa" w:w="34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Nginx 静态站点</w:t>
            </w:r>
          </w:p>
        </w:tc>
        <w:tc>
          <w:tcPr>
            <w:tcW w:type="dxa" w:w="43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由 Nginx 转到 http://127.0.0.1:8087</w:t>
            </w:r>
          </w:p>
        </w:tc>
      </w:tr>
    </w:tbl>
    <w:p>
      <w:pPr>
        <w:spacing w:after="0"/>
      </w:pPr>
    </w:p>
    <w:p>
      <w:pPr>
        <w:pStyle w:val="Heading1"/>
      </w:pPr>
      <w:r>
        <w:t>6 验证结果与边界</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300"/>
        <w:gridCol w:w="4160"/>
      </w:tblGrid>
      <w:tr>
        <w:trPr>
          <w:tblHeader w:val="true"/>
          <w:cantSplit w:val="true"/>
        </w:trPr>
        <w:tc>
          <w:tcPr>
            <w:tcW w:type="dxa" w:w="19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验证项</w:t>
            </w:r>
          </w:p>
        </w:tc>
        <w:tc>
          <w:tcPr>
            <w:tcW w:type="dxa" w:w="33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命令/证据</w:t>
            </w:r>
          </w:p>
        </w:tc>
        <w:tc>
          <w:tcPr>
            <w:tcW w:type="dxa" w:w="41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验收目标</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后端测试</w:t>
            </w:r>
          </w:p>
        </w:tc>
        <w:tc>
          <w:tcPr>
            <w:tcW w:type="dxa" w:w="33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mvn test</w:t>
            </w:r>
          </w:p>
        </w:tc>
        <w:tc>
          <w:tcPr>
            <w:tcW w:type="dxa" w:w="4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会员邀请码与支付服务测试通过</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前端构建</w:t>
            </w:r>
          </w:p>
        </w:tc>
        <w:tc>
          <w:tcPr>
            <w:tcW w:type="dxa" w:w="33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npm run build</w:t>
            </w:r>
          </w:p>
        </w:tc>
        <w:tc>
          <w:tcPr>
            <w:tcW w:type="dxa" w:w="4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生成 dist，无编译错误</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文档一致性</w:t>
            </w:r>
          </w:p>
        </w:tc>
        <w:tc>
          <w:tcPr>
            <w:tcW w:type="dxa" w:w="33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控制器映射、完整 SQL、路由与菜单交叉核对</w:t>
            </w:r>
          </w:p>
        </w:tc>
        <w:tc>
          <w:tcPr>
            <w:tcW w:type="dxa" w:w="41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64 接口、18 张表、当前功能入口一致</w:t>
            </w:r>
          </w:p>
        </w:tc>
      </w:tr>
      <w:tr>
        <w:trPr>
          <w:cantSplit w:val="true"/>
        </w:trPr>
        <w:tc>
          <w:tcPr>
            <w:tcW w:type="dxa" w:w="19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部署检查</w:t>
            </w:r>
          </w:p>
        </w:tc>
        <w:tc>
          <w:tcPr>
            <w:tcW w:type="dxa" w:w="33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直连 8087 与域名 /api 双重 curl</w:t>
            </w:r>
          </w:p>
        </w:tc>
        <w:tc>
          <w:tcPr>
            <w:tcW w:type="dxa" w:w="41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后端与 Nginx 均返回成功</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AFC6E9"/>
          <w:left w:val="single" w:sz="4" w:space="0" w:color="AFC6E9"/>
          <w:bottom w:val="single" w:sz="4" w:space="0" w:color="AFC6E9"/>
          <w:right w:val="single" w:sz="4" w:space="0" w:color="AFC6E9"/>
          <w:insideH w:val="single" w:sz="4" w:space="0" w:color="AFC6E9"/>
          <w:insideV w:val="single" w:sz="4" w:space="0" w:color="AFC6E9"/>
        </w:tblBorders>
      </w:tblPr>
      <w:tblGrid>
        <w:gridCol w:w="9360"/>
      </w:tblGrid>
      <w:tr>
        <w:tc>
          <w:tcPr>
            <w:tcW w:type="dxa" w:w="9360"/>
            <w:tcMar>
              <w:top w:w="80" w:type="dxa"/>
              <w:start w:w="120" w:type="dxa"/>
              <w:bottom w:w="80" w:type="dxa"/>
              <w:end w:w="120" w:type="dxa"/>
            </w:tcMar>
            <w:vAlign w:val="center"/>
            <w:shd w:fill="FFF4E5"/>
          </w:tcPr>
          <w:p>
            <w:pPr>
              <w:spacing w:after="0"/>
            </w:pPr>
            <w:r>
              <w:rPr>
                <w:rFonts w:ascii="Microsoft YaHei" w:hAnsi="Microsoft YaHei" w:eastAsia="Microsoft YaHei"/>
                <w:b/>
                <w:color w:val="16324F"/>
                <w:sz w:val="22"/>
              </w:rPr>
              <w:t xml:space="preserve">安全边界  </w:t>
            </w:r>
            <w:r>
              <w:rPr>
                <w:rFonts w:ascii="Microsoft YaHei" w:hAnsi="Microsoft YaHei" w:eastAsia="Microsoft YaHei"/>
                <w:color w:val="172B4D"/>
                <w:sz w:val="22"/>
              </w:rPr>
              <w:t>密码当前未散列，登录状态保存在 localStorage，后端没有统一鉴权。生产化必须补充 Spring Security、密码散列、服务端身份、接口授权、并发控制、审计和敏感数据保护。</w:t>
            </w:r>
          </w:p>
        </w:tc>
      </w:tr>
    </w:tbl>
    <w:p>
      <w:pPr>
        <w:spacing w:after="0"/>
      </w:pPr>
    </w:p>
    <w:p>
      <w:pPr>
        <w:pStyle w:val="Heading1"/>
      </w:pPr>
      <w:r>
        <w:t>7 结论</w:t>
      </w:r>
    </w:p>
    <w:p>
      <w:pPr>
        <w:spacing w:after="120" w:line="300" w:lineRule="auto"/>
      </w:pPr>
      <w:r>
        <w:rPr>
          <w:rFonts w:ascii="Microsoft YaHei" w:hAnsi="Microsoft YaHei" w:eastAsia="Microsoft YaHei"/>
          <w:color w:val="172B4D"/>
          <w:sz w:val="22"/>
        </w:rPr>
        <w:t>网管通已经从基础会员与机位管理扩展为包含实时计费、预约、优惠点餐、真实支付适配、营销活动和现场服务的完整课程项目。项目最有价值的部分是跨表状态与金额的一致性，而不仅是页面增删改查。后续工作应优先补齐安全和自动化测试，再扩展分页、库存、财务对账和多门店。</w:t>
      </w:r>
    </w:p>
    <w:p>
      <w:pPr>
        <w:pStyle w:val="Heading1"/>
      </w:pPr>
      <w:r>
        <w:t>附录：文档与代码入口</w:t>
      </w:r>
    </w:p>
    <w:tbl>
      <w:tblPr>
        <w:tblStyle w:val="TableGrid"/>
        <w:tblW w:type="dxa" w:w="9360"/>
        <w:tblLayout w:type="fixed"/>
        <w:tblLook w:firstColumn="1" w:firstRow="1" w:lastColumn="0" w:lastRow="0" w:noHBand="0" w:noVBand="1" w:val="04A0"/>
        <w:jc w:val="left"/>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内容</w:t>
            </w:r>
          </w:p>
        </w:tc>
        <w:tc>
          <w:tcPr>
            <w:tcW w:type="dxa" w:w="6860"/>
            <w:tcMar>
              <w:top w:w="80" w:type="dxa"/>
              <w:start w:w="120" w:type="dxa"/>
              <w:bottom w:w="80" w:type="dxa"/>
              <w:end w:w="120" w:type="dxa"/>
            </w:tcMar>
            <w:vAlign w:val="center"/>
            <w:shd w:fill="E8EEF5"/>
          </w:tcPr>
          <w:p>
            <w:pPr>
              <w:spacing w:after="0" w:line="252" w:lineRule="auto"/>
            </w:pPr>
            <w:r>
              <w:rPr>
                <w:rFonts w:ascii="Microsoft YaHei" w:hAnsi="Microsoft YaHei" w:eastAsia="Microsoft YaHei"/>
                <w:b/>
                <w:color w:val="16324F"/>
                <w:sz w:val="19"/>
              </w:rPr>
              <w:t>路径</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需求规格说明书</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docs/需求规格说明书.md</w:t>
            </w:r>
          </w:p>
        </w:tc>
      </w:tr>
      <w:tr>
        <w:trPr>
          <w:cantSplit w:val="true"/>
        </w:trPr>
        <w:tc>
          <w:tcPr>
            <w:tcW w:type="dxa" w:w="25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API 设计</w:t>
            </w:r>
          </w:p>
        </w:tc>
        <w:tc>
          <w:tcPr>
            <w:tcW w:type="dxa" w:w="68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docs/API接口设计说明书.docx</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数据库设计</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docs/数据库设计书.xlsx</w:t>
            </w:r>
          </w:p>
        </w:tc>
      </w:tr>
      <w:tr>
        <w:trPr>
          <w:cantSplit w:val="true"/>
        </w:trPr>
        <w:tc>
          <w:tcPr>
            <w:tcW w:type="dxa" w:w="250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原型设计</w:t>
            </w:r>
          </w:p>
        </w:tc>
        <w:tc>
          <w:tcPr>
            <w:tcW w:type="dxa" w:w="6860"/>
            <w:shd w:fill="F8FAFC"/>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docs/原型设计书.html</w:t>
            </w:r>
          </w:p>
        </w:tc>
      </w:tr>
      <w:tr>
        <w:trPr>
          <w:cantSplit w:val="true"/>
        </w:trPr>
        <w:tc>
          <w:tcPr>
            <w:tcW w:type="dxa" w:w="250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部署与支付</w:t>
            </w:r>
          </w:p>
        </w:tc>
        <w:tc>
          <w:tcPr>
            <w:tcW w:type="dxa" w:w="6860"/>
            <w:tcMar>
              <w:top w:w="80" w:type="dxa"/>
              <w:start w:w="120" w:type="dxa"/>
              <w:bottom w:w="80" w:type="dxa"/>
              <w:end w:w="120" w:type="dxa"/>
            </w:tcMar>
            <w:vAlign w:val="center"/>
          </w:tcPr>
          <w:p>
            <w:pPr>
              <w:spacing w:after="0" w:line="252" w:lineRule="auto"/>
            </w:pPr>
            <w:r>
              <w:rPr>
                <w:rFonts w:ascii="Microsoft YaHei" w:hAnsi="Microsoft YaHei" w:eastAsia="Microsoft YaHei"/>
                <w:color w:val="172B4D"/>
                <w:sz w:val="19"/>
              </w:rPr>
              <w:t>docs/local-and-baota.md、baota-deploy.md、payment-setup.md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085"/>
        <w:sz w:val="18"/>
      </w:rPr>
      <w:t xml:space="preserve">第 </w:t>
    </w:r>
    <w:fldSimple w:instr="PAGE"/>
    <w:r>
      <w:rPr>
        <w:rFonts w:ascii="Microsoft YaHei" w:hAnsi="Microsoft YaHe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67085"/>
        <w:sz w:val="18"/>
      </w:rPr>
      <w:t>网管通 | 项目报告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