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900"/>
      </w:pPr>
    </w:p>
    <w:p>
      <w:pPr>
        <w:jc w:val="center"/>
      </w:pPr>
      <w:r>
        <w:rPr>
          <w:rFonts w:ascii="Microsoft YaHei" w:hAnsi="Microsoft YaHei" w:eastAsia="Microsoft YaHei"/>
          <w:b/>
          <w:color w:val="2457D6"/>
          <w:sz w:val="22"/>
        </w:rPr>
        <w:t>课程设计项目文档</w:t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color w:val="16324F"/>
          <w:sz w:val="56"/>
        </w:rPr>
        <w:t>网管通电竞网吧运营管理系统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color w:val="667085"/>
          <w:sz w:val="26"/>
        </w:rPr>
        <w:t>产品需求规格说明书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文档项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项目名称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网管通电竞网吧运营管理系统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项目组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网管通项目组（组长、组员待填写）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文档版本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V2.1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发布日期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2026-07-15</w:t>
            </w:r>
          </w:p>
        </w:tc>
      </w:tr>
      <w:tr>
        <w:trPr>
          <w:cantSplit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系统基线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14 个 Controller、64 个 HTTP 接口、18 张数据库表</w:t>
            </w:r>
          </w:p>
        </w:tc>
      </w:tr>
      <w:tr>
        <w:trPr>
          <w:cantSplit w:val="true"/>
        </w:trPr>
        <w:tc>
          <w:tcPr>
            <w:tcW w:type="dxa" w:w="2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文档状态</w:t>
            </w:r>
          </w:p>
        </w:tc>
        <w:tc>
          <w:tcPr>
            <w:tcW w:type="dxa" w:w="6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与当前主系统实现同步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19"/>
        </w:rPr>
        <w:t>依据当前主系统源代码、完整 SQL 与前端路由同步生成</w:t>
      </w:r>
    </w:p>
    <w:p>
      <w:r>
        <w:br w:type="page"/>
      </w:r>
    </w:p>
    <w:p>
      <w:pPr>
        <w:pStyle w:val="Heading1"/>
      </w:pPr>
      <w:r>
        <w:t>发布信息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200"/>
        <w:gridCol w:w="1600"/>
        <w:gridCol w:w="1900"/>
        <w:gridCol w:w="466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版本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日期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编写/修订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V1.0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2026-07-13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网管通项目组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覆盖会员、机位、上机、预约和基础点餐。</w:t>
            </w:r>
          </w:p>
        </w:tc>
      </w:tr>
      <w:tr>
        <w:trPr>
          <w:cantSplit w:val="true"/>
        </w:trPr>
        <w:tc>
          <w:tcPr>
            <w:tcW w:type="dxa" w:w="1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V2.0</w:t>
            </w:r>
          </w:p>
        </w:tc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2026-07-14</w:t>
            </w:r>
          </w:p>
        </w:tc>
        <w:tc>
          <w:tcPr>
            <w:tcW w:type="dxa" w:w="19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网管通项目组</w:t>
            </w:r>
          </w:p>
        </w:tc>
        <w:tc>
          <w:tcPr>
            <w:tcW w:type="dxa" w:w="4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增加真实支付、营销活动、团购券和服务工单。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V2.1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2026-07-15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网管通项目组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增加用户端微信/支付宝余额充值支付及到账幂等规则。</w:t>
            </w:r>
          </w:p>
        </w:tc>
      </w:tr>
    </w:tbl>
    <w:p>
      <w:pPr>
        <w:spacing w:after="0"/>
      </w:pPr>
    </w:p>
    <w:p>
      <w:pPr>
        <w:pStyle w:val="Heading1"/>
      </w:pPr>
      <w:r>
        <w:t>目录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500"/>
        <w:gridCol w:w="7860"/>
      </w:tblGrid>
      <w:tr>
        <w:trPr>
          <w:tblHeader w:val="true"/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章节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1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产品介绍</w:t>
            </w:r>
          </w:p>
        </w:tc>
      </w:tr>
      <w:tr>
        <w:trPr>
          <w:cantSplit w:val="true"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2</w:t>
            </w:r>
          </w:p>
        </w:tc>
        <w:tc>
          <w:tcPr>
            <w:tcW w:type="dxa" w:w="7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用户与角色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3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产品范围与业务流程</w:t>
            </w:r>
          </w:p>
        </w:tc>
      </w:tr>
      <w:tr>
        <w:trPr>
          <w:cantSplit w:val="true"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4</w:t>
            </w:r>
          </w:p>
        </w:tc>
        <w:tc>
          <w:tcPr>
            <w:tcW w:type="dxa" w:w="7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功能需求与用例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5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数据与接口约束</w:t>
            </w:r>
          </w:p>
        </w:tc>
      </w:tr>
      <w:tr>
        <w:trPr>
          <w:cantSplit w:val="true"/>
        </w:trPr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6</w:t>
            </w:r>
          </w:p>
        </w:tc>
        <w:tc>
          <w:tcPr>
            <w:tcW w:type="dxa" w:w="7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非功能需求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7</w:t>
            </w:r>
          </w:p>
        </w:tc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验收标准与当前边界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 产品介绍</w:t>
      </w:r>
    </w:p>
    <w:p>
      <w:pPr>
        <w:pStyle w:val="Heading2"/>
      </w:pPr>
      <w:r>
        <w:t>1.1 产品背景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电竞网吧日常运营同时涉及会员资料、电脑机位、实时计费、预约、餐饮订单、余额、营销权益和现场服务。人工登记容易导致机位状态与业务记录不同步、优惠重复核销、支付结果不可信以及服务请求无法追踪。网管通通过用户自助端和管理员后台共享同一套业务数据，形成可查询、可验证的运营闭环。</w:t>
      </w:r>
    </w:p>
    <w:p>
      <w:pPr>
        <w:pStyle w:val="Heading2"/>
      </w:pPr>
      <w:r>
        <w:t>1.2 建设目标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B4D"/>
          <w:sz w:val="21"/>
        </w:rPr>
        <w:t>统一管理会员、电脑、上机、预约、点餐、支付、营销和服务工单。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B4D"/>
          <w:sz w:val="21"/>
        </w:rPr>
        <w:t>让顾客自主完成上机、预约、点餐、签到、充值、核券和服务请求。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B4D"/>
          <w:sz w:val="21"/>
        </w:rPr>
        <w:t>让管理员维护基础资料、处理订单与工单、配置营销规则并查看经营数据。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color w:val="172B4D"/>
          <w:sz w:val="21"/>
        </w:rPr>
        <w:t>保证金额、状态和业务记录在事务中一致变化，并对重复通知和重复操作进行防护。</w:t>
      </w:r>
    </w:p>
    <w:p>
      <w:pPr>
        <w:pStyle w:val="Heading2"/>
      </w:pPr>
      <w:r>
        <w:t>1.3 运行范围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层级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当前实现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用户端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登录注册、机位大厅、上机、预约、点餐、每日签到、优惠券、邀请推广、余额充值、团购验券、服务中心。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管理员端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看板、会员、电脑、充值、上机、预约、商品、订单、支付关联、营销规则、团购券和工单管理。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后端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Java 17、Spring Boot 3.3.5、MyBatis-Plus 3.5.7，统一 Result 响应。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数据层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MySQL 8，18 张表，金额为 DECIMAL，跨表业务由事务维护。</w:t>
            </w:r>
          </w:p>
        </w:tc>
      </w:tr>
    </w:tbl>
    <w:p>
      <w:pPr>
        <w:spacing w:after="0"/>
      </w:pPr>
    </w:p>
    <w:p>
      <w:pPr>
        <w:pStyle w:val="Heading1"/>
      </w:pPr>
      <w:r>
        <w:t>2 用户与角色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00"/>
        <w:gridCol w:w="1500"/>
        <w:gridCol w:w="3600"/>
        <w:gridCol w:w="2660"/>
      </w:tblGrid>
      <w:tr>
        <w:trPr>
          <w:tblHeader w:val="true"/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角色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入口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主要能力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7"/>
              </w:rPr>
              <w:t>限制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未登录访客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/、/user/login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注册、用户登录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不能进入用户业务页面</w:t>
            </w:r>
          </w:p>
        </w:tc>
      </w:tr>
      <w:tr>
        <w:trPr>
          <w:cantSplit w:val="true"/>
        </w:trPr>
        <w:tc>
          <w:tcPr>
            <w:tcW w:type="dxa" w:w="1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正常用户</w:t>
            </w:r>
          </w:p>
        </w:tc>
        <w:tc>
          <w:tcPr>
            <w:tcW w:type="dxa" w:w="1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/user</w:t>
            </w:r>
          </w:p>
        </w:tc>
        <w:tc>
          <w:tcPr>
            <w:tcW w:type="dxa" w:w="36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上机、预约、点餐、签到、充值、核券、邀请、服务请求</w:t>
            </w:r>
          </w:p>
        </w:tc>
        <w:tc>
          <w:tcPr>
            <w:tcW w:type="dxa" w:w="26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禁用用户不可登录；第三方支付须由平台确认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管理员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/admin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维护运营资料、处理订单工单、配置规则、查看统计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7"/>
              </w:rPr>
              <w:t>当前后端尚未实现统一细粒度鉴权</w:t>
            </w:r>
          </w:p>
        </w:tc>
      </w:tr>
    </w:tbl>
    <w:p>
      <w:pPr>
        <w:spacing w:after="0"/>
      </w:pP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用户等级分为普通会员、黄金会员和钻石会员，上机折扣分别为 100%、90% 和 80%。散客在首次充值成功后自动转为普通会员。</w:t>
      </w:r>
    </w:p>
    <w:p>
      <w:pPr>
        <w:pStyle w:val="Heading1"/>
      </w:pPr>
      <w:r>
        <w:t>3 产品范围与业务流程</w:t>
      </w:r>
    </w:p>
    <w:p>
      <w:pPr>
        <w:pStyle w:val="Heading2"/>
      </w:pPr>
      <w:r>
        <w:t>3.1 功能结构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20"/>
              </w:rPr>
              <w:t>功能域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用户自助端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上机服务、点餐服务、会员活动、推广计划、服务中心、账户服务</w:t>
            </w:r>
          </w:p>
        </w:tc>
      </w:tr>
      <w:tr>
        <w:trPr>
          <w:cantSplit w:val="true"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管理员后台</w:t>
            </w:r>
          </w:p>
        </w:tc>
        <w:tc>
          <w:tcPr>
            <w:tcW w:type="dxa" w:w="7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20"/>
              </w:rPr>
              <w:t>数据概览、会员服务、机位管理、服务中心、上机运营、点餐管理、营销活动</w:t>
            </w:r>
          </w:p>
        </w:tc>
      </w:tr>
    </w:tbl>
    <w:p>
      <w:pPr>
        <w:spacing w:after="0"/>
      </w:pPr>
    </w:p>
    <w:p>
      <w:pPr>
        <w:pStyle w:val="Heading2"/>
      </w:pPr>
      <w:r>
        <w:t>3.2 核心流程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系统中的核心业务都不是孤立的页面操作，而是由多个状态和数据记录共同组成。上机业务需要同时维护会员余额、上机记录和电脑状态；点餐与充值需要由支付平台确认结果后才能继续更新订单或余额；故障工单则会直接影响机位是否可继续分配。下面的流程摘要用于说明这些模块之间的衔接关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流程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业务步骤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上机计费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选择空闲机位 → 校验用户与余额 → 扣首小时 → 每 60 秒补扣差额 → 主动或余额不足下机 → 释放机位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预约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选择未来一小时内空闲机位 → 锁定机位 → 取消/超时释放，或预约转上机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点餐支付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购物车 → 后端重算金额 → 校验优惠券 → 余额即时扣款或第三方支付 → 平台确认 → 下单/交付/取消退款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余额充值支付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输入金额 → 选择微信/支付宝 → 创建充值支付单 → 平台回调或主动查单确认 → 事务增加余额并写充值记录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故障工单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用户报修 → 后台受理 → 电脑进入维修中 → 完成/取消 → 恢复空闲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 功能需求与用例</w:t>
      </w:r>
    </w:p>
    <w:p>
      <w:pPr>
        <w:pStyle w:val="Heading2"/>
      </w:pPr>
      <w:r>
        <w:t>UC-001 用户注册与登录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用户注册与登录”由访客/用户发起。系统只有在“身份证号、手机号未被占用；用户状态正常。”这一前提满足后才进入业务处理，处理过程中以“用户以身份证号进入系统。”为主线，并按照服务端规则逐步校验和更新数据。用例完成后，注册成功产生会员；登录成功在前端保存用户会话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用户注册与登录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UC-001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访客/用户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用户以身份证号进入系统。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身份证号、手机号未被占用；用户状态正常。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填写注册资料，可选邀请码。</w:t>
              <w:br/>
              <w:t>2. 后端校验唯一性并生成会员、登录账号和唯一邀请码。</w:t>
              <w:br/>
              <w:t>3. 活动启用且邀请码有效时，事务发放双方奖励。</w:t>
              <w:br/>
              <w:t>4. 用户使用身份证号和密码登录。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身份证号或手机号重复、邀请码无效时给出提示。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注册成功产生会员；登录成功在前端保存用户会话。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UC-002 会员与人工充值管理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会员与人工充值管理”由管理员发起。系统只有在“管理员已进入后台。”这一前提满足后才进入业务处理，处理过程中以“后台维护会员资料。”为主线，并按照服务端规则逐步校验和更新数据。用例完成后，会员资料或余额与充值记录保持一致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会员与人工充值管理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UC-002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后台维护会员资料。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管理员已进入后台。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查询、新增、修改或删除会员。</w:t>
              <w:br/>
              <w:t>2. 人工充值时选择会员并输入大于 0 的金额。</w:t>
              <w:br/>
              <w:t>3. 事务更新余额并写充值记录。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会员不存在或金额不合法时不入账。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会员资料或余额与充值记录保持一致。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UC-003 用户第三方余额充值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用户第三方余额充值”由正常用户发起。系统只有在“用户已登录；微信或支付宝商户配置已启用。”这一前提满足后才进入业务处理，处理过程中以“用户发起余额充值。”为主线，并按照服务端规则逐步校验和更新数据。用例完成后，余额只增加一次，支付状态为已支付，充值记录可追溯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用户第三方余额充值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UC-003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正常用户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用户发起余额充值。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用户已登录；微信或支付宝商户配置已启用。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输入大于 0 且不超过 10000 元的金额，选择微信或支付宝。</w:t>
              <w:br/>
              <w:t>2. 后端创建 business_type=余额充值 的支付主记录。</w:t>
              <w:br/>
              <w:t>3. 前端展示二维码或收银台并轮询状态。</w:t>
              <w:br/>
              <w:t>4. 平台验签回调或主动查单确认成功后，事务增加余额并写关联商户单号的充值记录。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未配置支付、金额异常、用户异常或支付超时时不增加余额。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余额只增加一次，支付状态为已支付，充值记录可追溯。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UC-004 开始上机与实时计费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开始上机与实时计费”由正常用户/管理员发起。系统只有在“电脑空闲；用户无进行中上机；余额足够支付首小时。”这一前提满足后才进入业务处理，处理过程中以“用户选择机位开始上机。”为主线，并按照服务端规则逐步校验和更新数据。用例完成后，记录保存累计费用和结束时间，电脑恢复空闲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开始上机与实时计费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UC-004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正常用户/管理员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用户选择机位开始上机。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电脑空闲；用户无进行中上机；余额足够支付首小时。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后端锁定业务状态并按会员等级计算折扣。</w:t>
              <w:br/>
              <w:t>2. 立即扣除首小时费用并将电脑设为使用中。</w:t>
              <w:br/>
              <w:t>3. 每 60 秒按向上取整小时补扣累计差额。</w:t>
              <w:br/>
              <w:t>4. 用户主动下机或余额不足自动下机。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机位非空闲、重复上机或余额不足时拒绝开始。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记录保存累计费用和结束时间，电脑恢复空闲。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UC-005 预约机位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预约机位”由正常用户发起。系统只有在“预约时间位于当前至未来一小时，目标电脑空闲。”这一前提满足后才进入业务处理，处理过程中以“用户提交预约。”为主线，并按照服务端规则逐步校验和更新数据。用例完成后，预约记录与电脑状态一致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预约机位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UC-005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正常用户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用户提交预约。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预约时间位于当前至未来一小时，目标电脑空闲。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系统校验一人一条有效预约并锁定电脑。</w:t>
              <w:br/>
              <w:t>2. 用户取消或预约超时后释放电脑。</w:t>
              <w:br/>
              <w:t>3. 有效预约可转为上机并复用计费逻辑。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归属、时间或状态不符合时不能转上机。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预约记录与电脑状态一致。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UC-006 购物车点餐与优惠券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购物车点餐与优惠券”由用户发起。系统只有在“存在上架商品；会员拥有可使用优惠券。”这一前提满足后才进入业务处理，处理过程中以“用户选择商品和数量。”为主线，并按照服务端规则逐步校验和更新数据。用例完成后，生成金额快照准确的订单明细，优惠券被条件占用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购物车点餐与优惠券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UC-006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用户选择商品和数量。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存在上架商品；会员拥有可使用优惠券。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后端重新读取商品价格并计算总额。</w:t>
              <w:br/>
              <w:t>2. 校验优惠券门槛、有效期和状态。</w:t>
              <w:br/>
              <w:t>3. 优惠金额按明细分摊，订单共用批次号。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商品下架、价格异常或优惠券不可用时拒绝提交。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生成金额快照准确的订单明细，优惠券被条件占用。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UC-007 点餐支付与退款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点餐支付与退款”由用户/管理员/支付平台发起。系统只有在“已生成待支付点餐订单。”这一前提满足后才进入业务处理，处理过程中以“用户选择余额、微信或支付宝。”为主线，并按照服务端规则逐步校验和更新数据。用例完成后，支付、订单、退款和优惠券状态一致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点餐支付与退款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UC-007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用户/管理员/支付平台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用户选择余额、微信或支付宝。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已生成待支付点餐订单。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余额支付立即扣款；第三方支付等待平台确认。</w:t>
              <w:br/>
              <w:t>2. 验签成功后支付记录变为已支付，订单变为已下单。</w:t>
              <w:br/>
              <w:t>3. 管理员完成交付，或取消订单并按明细退款。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未支付超时关闭并归还优惠券；重复通知不重复处理。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支付、订单、退款和优惠券状态一致。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UC-008 每日签到与优惠券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每日签到与优惠券”由用户/管理员发起。系统只有在“管理员已配置启用的优惠券模板和签到规则。”这一前提满足后才进入业务处理，处理过程中以“管理员配置连续签到天数和奖励。”为主线，并按照服务端规则逐步校验和更新数据。用例完成后，同一用户同一天仅一条签到记录，奖励可追溯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每日签到与优惠券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UC-008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用户/管理员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管理员配置连续签到天数和奖励。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管理员已配置启用的优惠券模板和签到规则。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用户执行当日签到。</w:t>
              <w:br/>
              <w:t>2. 后端计算连续天数并写签到记录。</w:t>
              <w:br/>
              <w:t>3. 命中规则时发放带有效期的用户优惠券。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重复签到或规则停用时不重复发券。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同一用户同一天仅一条签到记录，奖励可追溯。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UC-009 团购券核销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团购券核销”由用户/管理员发起。系统只有在“后台已录入未使用、未禁用、未过期的唯一券码。”这一前提满足后才进入业务处理，处理过程中以“管理员录入券码及金额。”为主线，并按照服务端规则逐步校验和更新数据。用例完成后，券码只成功核销一次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团购券核销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UC-009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用户/管理员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管理员录入券码及金额。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后台已录入未使用、未禁用、未过期的唯一券码。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用户输入券码核销。</w:t>
              <w:br/>
              <w:t>2. 后端以条件更新把券置为已使用。</w:t>
              <w:br/>
              <w:t>3. 事务增加会员余额并写券码关联充值记录。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不存在、已使用、已禁用或已过期时拒绝核销。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券码只成功核销一次。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UC-010 邀请推广奖励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邀请推广奖励”由用户/管理员发起。系统只有在“推广规则启用，邀请码有效。”这一前提满足后才进入业务处理，处理过程中以“管理员配置双方奖励。”为主线，并按照服务端规则逐步校验和更新数据。用例完成后，双方余额和邀请记录一致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邀请推广奖励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UC-010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用户/管理员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管理员配置双方奖励。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推广规则启用，邀请码有效。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新用户注册时填写邀请码。</w:t>
              <w:br/>
              <w:t>2. 后端保存邀请记录并分别增加双方余额。</w:t>
              <w:br/>
              <w:t>3. 新用户唯一约束防止重复奖励。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活动停用、邀请码无效或新用户已领奖时不发放。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双方余额和邀请记录一致。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UC-011 服务工单处理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服务工单处理”由用户/管理员发起。系统只有在“用户已登录；故障报修选择电脑。”这一前提满足后才进入业务处理，处理过程中以“用户提交呼叫网管或故障报修。”为主线，并按照服务端规则逐步校验和更新数据。用例完成后，工单状态和电脑状态保持一致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服务工单处理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UC-011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用户/管理员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用户提交呼叫网管或故障报修。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用户已登录；故障报修选择电脑。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后台将工单从待处理流转为处理中。</w:t>
              <w:br/>
              <w:t>2. 故障工单受理后电脑进入维修中。</w:t>
              <w:br/>
              <w:t>3. 完成或取消工单后恢复可用状态。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使用中或预约锁定电脑必须先释放，重复未完成报修不允许提交。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工单状态和电脑状态保持一致。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2"/>
      </w:pPr>
      <w:r>
        <w:t>UC-012 经营看板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color w:val="172B4D"/>
          <w:sz w:val="22"/>
        </w:rPr>
        <w:t>“经营看板”由管理员发起。系统只有在“后台可访问业务数据。”这一前提满足后才进入业务处理，处理过程中以“管理员打开首页看板。”为主线，并按照服务端规则逐步校验和更新数据。用例完成后，展示与数据库当前数据一致的概览指标。；如果任一关键条件不成立，系统会中止本次操作并保留原有业务状态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100"/>
        <w:gridCol w:w="7260"/>
      </w:tblGrid>
      <w:tr>
        <w:trPr>
          <w:tblHeader w:val="true"/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标题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用例名称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经营看板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标识号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UC-012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参与者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简要说明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管理员打开首页看板。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前置条件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后台可访问业务数据。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基本事件流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1. 系统统计会员、电脑、空闲、使用中、今日充值和今日上机。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异常/备选流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统计失败时返回错误，不伪造数据。</w:t>
            </w:r>
          </w:p>
        </w:tc>
      </w:tr>
      <w:tr>
        <w:trPr>
          <w:cantSplit w:val="true"/>
        </w:trPr>
        <w:tc>
          <w:tcPr>
            <w:tcW w:type="dxa" w:w="2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后置条件</w:t>
            </w:r>
          </w:p>
        </w:tc>
        <w:tc>
          <w:tcPr>
            <w:tcW w:type="dxa" w:w="72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展示与数据库当前数据一致的概览指标。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8"/>
              </w:rPr>
              <w:t>高</w:t>
            </w:r>
          </w:p>
        </w:tc>
      </w:tr>
    </w:tbl>
    <w:p>
      <w:pPr>
        <w:spacing w:after="0"/>
      </w:pPr>
    </w:p>
    <w:p>
      <w:pPr>
        <w:pStyle w:val="Heading1"/>
      </w:pPr>
      <w:r>
        <w:t>5 数据与接口约束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71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约束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接口规模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14 个 Controller，64 个 GET/POST/PUT/DELETE 映射。</w:t>
            </w:r>
          </w:p>
        </w:tc>
      </w:tr>
      <w:tr>
        <w:trPr>
          <w:cantSplit w:val="true"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余额充值接口</w:t>
            </w:r>
          </w:p>
        </w:tc>
        <w:tc>
          <w:tcPr>
            <w:tcW w:type="dxa" w:w="7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POST /recharge/payment 创建微信或支付宝充值支付单；平台确认成功后才到账。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数据库规模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18 张业务表；数据库不声明物理外键，关联由 Service 校验与事务维护。</w:t>
            </w:r>
          </w:p>
        </w:tc>
      </w:tr>
      <w:tr>
        <w:trPr>
          <w:cantSplit w:val="true"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统一响应</w:t>
            </w:r>
          </w:p>
        </w:tc>
        <w:tc>
          <w:tcPr>
            <w:tcW w:type="dxa" w:w="7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常规业务接口返回 code、message、data；支付平台通知按平台协议返回。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金额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Java 使用 BigDecimal，MySQL 使用 DECIMAL，单位为人民币元。</w:t>
            </w:r>
          </w:p>
        </w:tc>
      </w:tr>
      <w:tr>
        <w:trPr>
          <w:cantSplit w:val="true"/>
        </w:trPr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支付业务类型</w:t>
            </w:r>
          </w:p>
        </w:tc>
        <w:tc>
          <w:tcPr>
            <w:tcW w:type="dxa" w:w="71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payment_record.business_type 取“点餐”或“余额充值”。</w:t>
            </w:r>
          </w:p>
        </w:tc>
      </w:tr>
      <w:tr>
        <w:trPr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幂等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支付单号、退款单号、邀请码、券码、签到日期等通过唯一约束或条件更新防重复。</w:t>
            </w:r>
          </w:p>
        </w:tc>
      </w:tr>
    </w:tbl>
    <w:p>
      <w:pPr>
        <w:spacing w:after="0"/>
      </w:pPr>
    </w:p>
    <w:p>
      <w:pPr>
        <w:pStyle w:val="Heading1"/>
      </w:pPr>
      <w:r>
        <w:t>6 非功能需求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00"/>
        <w:gridCol w:w="7360"/>
      </w:tblGrid>
      <w:tr>
        <w:trPr>
          <w:tblHeader w:val="true"/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类别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性能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课堂数据量下列表和关键操作应在正常网络环境内及时反馈；计费任务每 60 秒执行。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可靠性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充值、上机、预约、点餐、优惠券、团购券、邀请奖励和退款使用事务。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安全性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支付回调必须验签并校验商户、金额、订单号；密钥不得进入前端、数据库或 Git。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兼容性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支持现代桌面浏览器；前端由 Vite 构建，生产通过 Nginx 提供静态文件。</w:t>
            </w:r>
          </w:p>
        </w:tc>
      </w:tr>
      <w:tr>
        <w:trPr>
          <w:cantSplit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可维护性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Controller、Service、Mapper、Entity 分层；接口与数据库文档随系统同步更新。</w:t>
            </w:r>
          </w:p>
        </w:tc>
      </w:tr>
      <w:tr>
        <w:trPr>
          <w:cantSplit w:val="true"/>
        </w:trPr>
        <w:tc>
          <w:tcPr>
            <w:tcW w:type="dxa" w:w="20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可部署性</w:t>
            </w:r>
          </w:p>
        </w:tc>
        <w:tc>
          <w:tcPr>
            <w:tcW w:type="dxa" w:w="73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本地前端 5173、后端 8087；生产 /api 反向代理到 127.0.0.1:8087。</w:t>
            </w:r>
          </w:p>
        </w:tc>
      </w:tr>
    </w:tbl>
    <w:p>
      <w:pPr>
        <w:spacing w:after="0"/>
      </w:pPr>
    </w:p>
    <w:p>
      <w:pPr>
        <w:pStyle w:val="Heading1"/>
      </w:pPr>
      <w:r>
        <w:t>7 验收标准与当前边界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300"/>
        <w:gridCol w:w="8060"/>
      </w:tblGrid>
      <w:tr>
        <w:trPr>
          <w:tblHeader w:val="true"/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编号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b/>
                <w:color w:val="16324F"/>
                <w:sz w:val="19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AC-001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后端 mvn test 通过，前端 npm run build 通过。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AC-002</w:t>
            </w:r>
          </w:p>
        </w:tc>
        <w:tc>
          <w:tcPr>
            <w:tcW w:type="dxa" w:w="8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上机首小时扣费、补扣差额、余额不足自动下机与机位释放闭环。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AC-003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预约取消/超时释放，预约转上机复用计费逻辑。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AC-004</w:t>
            </w:r>
          </w:p>
        </w:tc>
        <w:tc>
          <w:tcPr>
            <w:tcW w:type="dxa" w:w="8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优惠券、团购券、签到和邀请奖励不能重复处理。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AC-005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第三方点餐支付平台确认后下单，取消后按明细退款。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AC-006</w:t>
            </w:r>
          </w:p>
        </w:tc>
        <w:tc>
          <w:tcPr>
            <w:tcW w:type="dxa" w:w="8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余额充值平台确认后到账，重复回调或查单不重复增加余额。</w:t>
            </w:r>
          </w:p>
        </w:tc>
      </w:tr>
      <w:tr>
        <w:trPr>
          <w:cantSplit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AC-007</w:t>
            </w:r>
          </w:p>
        </w:tc>
        <w:tc>
          <w:tcPr>
            <w:tcW w:type="dxa" w:w="8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故障工单受理、完成/取消与电脑维修状态同步。</w:t>
            </w:r>
          </w:p>
        </w:tc>
      </w:tr>
      <w:tr>
        <w:trPr>
          <w:cantSplit w:val="true"/>
        </w:trPr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AC-008</w:t>
            </w:r>
          </w:p>
        </w:tc>
        <w:tc>
          <w:tcPr>
            <w:tcW w:type="dxa" w:w="80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Microsoft YaHei" w:hAnsi="Microsoft YaHei" w:eastAsia="Microsoft YaHei"/>
                <w:color w:val="172B4D"/>
                <w:sz w:val="19"/>
              </w:rPr>
              <w:t>接口清单为 64 项，数据库目录为 18 张表，与当前代码和 SQL 一致。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AFC6E9"/>
          <w:left w:val="single" w:sz="4" w:space="0" w:color="AFC6E9"/>
          <w:bottom w:val="single" w:sz="4" w:space="0" w:color="AFC6E9"/>
          <w:right w:val="single" w:sz="4" w:space="0" w:color="AFC6E9"/>
          <w:insideH w:val="single" w:sz="4" w:space="0" w:color="AFC6E9"/>
          <w:insideV w:val="single" w:sz="4" w:space="0" w:color="AFC6E9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6324F"/>
                <w:sz w:val="22"/>
              </w:rPr>
              <w:t xml:space="preserve">当前边界  </w:t>
            </w:r>
            <w:r>
              <w:rPr>
                <w:rFonts w:ascii="Microsoft YaHei" w:hAnsi="Microsoft YaHei" w:eastAsia="Microsoft YaHei"/>
                <w:color w:val="172B4D"/>
                <w:sz w:val="22"/>
              </w:rPr>
              <w:t>密码仍为明文保存，登录状态主要依赖 localStorage，后端尚无统一身份认证和细粒度接口授权。公开生产部署前必须补充 Spring Security、密码散列、服务端身份、授权、审计和并发控制。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085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color w:val="667085"/>
        <w:sz w:val="18"/>
      </w:rPr>
      <w:t>网管通 | 产品需求规格说明书 V2.1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72B4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