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</w:pPr>
    </w:p>
    <w:p>
      <w:pPr>
        <w:spacing w:after="160"/>
      </w:pPr>
      <w:r>
        <w:rPr>
          <w:rFonts w:ascii="Microsoft YaHei" w:hAnsi="Microsoft YaHei" w:eastAsia="Microsoft YaHei"/>
          <w:b/>
          <w:color w:val="16324F"/>
          <w:sz w:val="50"/>
        </w:rPr>
        <w:t>API 接口设计说明书</w:t>
      </w:r>
    </w:p>
    <w:p>
      <w:pPr>
        <w:spacing w:after="600"/>
        <w:jc w:val="center"/>
      </w:pPr>
      <w:r>
        <w:rPr>
          <w:rFonts w:ascii="Microsoft YaHei" w:hAnsi="Microsoft YaHei" w:eastAsia="Microsoft YaHei"/>
          <w:color w:val="667085"/>
          <w:sz w:val="26"/>
        </w:rPr>
        <w:t>面向前后端联调、功能测试、部署验收与课堂答辩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700"/>
        <w:gridCol w:w="6660"/>
      </w:tblGrid>
      <w:tr>
        <w:trPr>
          <w:tblHeader w:val="true"/>
          <w:cantSplit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20"/>
              </w:rPr>
              <w:t>文档项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20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20"/>
              </w:rPr>
              <w:t>版本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20"/>
              </w:rPr>
              <w:t>V2.1（2026-07-15）</w:t>
            </w:r>
          </w:p>
        </w:tc>
      </w:tr>
      <w:tr>
        <w:trPr>
          <w:cantSplit w:val="true"/>
        </w:trPr>
        <w:tc>
          <w:tcPr>
            <w:tcW w:type="dxa" w:w="2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20"/>
              </w:rPr>
              <w:t>接口规模</w:t>
            </w:r>
          </w:p>
        </w:tc>
        <w:tc>
          <w:tcPr>
            <w:tcW w:type="dxa" w:w="66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20"/>
              </w:rPr>
              <w:t>64 个 HTTP 接口 / 14 个 Controller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20"/>
              </w:rPr>
              <w:t>后端基线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20"/>
              </w:rPr>
              <w:t>Java 17 / Spring Boot 3.3.5 / MyBatis-Plus 3.5.7</w:t>
            </w:r>
          </w:p>
        </w:tc>
      </w:tr>
      <w:tr>
        <w:trPr>
          <w:cantSplit w:val="true"/>
        </w:trPr>
        <w:tc>
          <w:tcPr>
            <w:tcW w:type="dxa" w:w="2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20"/>
              </w:rPr>
              <w:t>本地基础地址</w:t>
            </w:r>
          </w:p>
        </w:tc>
        <w:tc>
          <w:tcPr>
            <w:tcW w:type="dxa" w:w="66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20"/>
              </w:rPr>
              <w:t>http://localhost:8087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20"/>
              </w:rPr>
              <w:t>前端代理地址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20"/>
              </w:rPr>
              <w:t>/api（Vite 或 Nginx 去掉前缀后转发）</w:t>
            </w:r>
          </w:p>
        </w:tc>
      </w:tr>
    </w:tbl>
    <w:p>
      <w:pPr>
        <w:spacing w:after="0"/>
      </w:pPr>
    </w:p>
    <w:p>
      <w:pPr>
        <w:spacing w:before="240"/>
        <w:jc w:val="center"/>
      </w:pPr>
      <w:r>
        <w:rPr>
          <w:rFonts w:ascii="Microsoft YaHei" w:hAnsi="Microsoft YaHei" w:eastAsia="Microsoft YaHei"/>
          <w:color w:val="667085"/>
          <w:sz w:val="19"/>
        </w:rPr>
        <w:t>依据当前主系统源代码、完整 SQL 与前端路由同步生成</w:t>
      </w:r>
    </w:p>
    <w:p>
      <w:r>
        <w:br w:type="page"/>
      </w:r>
    </w:p>
    <w:p>
      <w:pPr>
        <w:pStyle w:val="Heading1"/>
      </w:pPr>
      <w:r>
        <w:t>1 文档范围与通用约定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172B4D"/>
          <w:sz w:val="22"/>
        </w:rPr>
        <w:t>本说明书以当前 Controller 映射为准。接口数量不包含前端路由、Service 方法和定时任务。微信/支付宝通知按平台协议响应，其余业务接口使用统一 Result 结构。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00"/>
        <w:gridCol w:w="7060"/>
      </w:tblGrid>
      <w:tr>
        <w:trPr>
          <w:tblHeader w:val="true"/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9"/>
              </w:rPr>
              <w:t>项目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9"/>
              </w:rPr>
              <w:t>约定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字符集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UTF-8；常规请求体为 application/json</w:t>
            </w:r>
          </w:p>
        </w:tc>
      </w:tr>
      <w:tr>
        <w:trPr>
          <w:cantSplit w:val="true"/>
        </w:trPr>
        <w:tc>
          <w:tcPr>
            <w:tcW w:type="dxa" w:w="2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时间</w:t>
            </w:r>
          </w:p>
        </w:tc>
        <w:tc>
          <w:tcPr>
            <w:tcW w:type="dxa" w:w="70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后端 LocalDateTime；前端格式化为 yyyy-MM-dd HH:mm:ss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金额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BigDecimal / DECIMAL，单位人民币元</w:t>
            </w:r>
          </w:p>
        </w:tc>
      </w:tr>
      <w:tr>
        <w:trPr>
          <w:cantSplit w:val="true"/>
        </w:trPr>
        <w:tc>
          <w:tcPr>
            <w:tcW w:type="dxa" w:w="2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分页</w:t>
            </w:r>
          </w:p>
        </w:tc>
        <w:tc>
          <w:tcPr>
            <w:tcW w:type="dxa" w:w="70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当前列表接口不分页，直接返回数组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成功响应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{"code":200,"message":"成功","data":...}</w:t>
            </w:r>
          </w:p>
        </w:tc>
      </w:tr>
      <w:tr>
        <w:trPr>
          <w:cantSplit w:val="true"/>
        </w:trPr>
        <w:tc>
          <w:tcPr>
            <w:tcW w:type="dxa" w:w="2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业务失败</w:t>
            </w:r>
          </w:p>
        </w:tc>
        <w:tc>
          <w:tcPr>
            <w:tcW w:type="dxa" w:w="70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{"code":500,"message":"中文错误提示","data":null}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登录边界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当前无统一后端鉴权；页面状态保存在 localStorage.user/admin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FC6E9"/>
          <w:left w:val="single" w:sz="4" w:space="0" w:color="AFC6E9"/>
          <w:bottom w:val="single" w:sz="4" w:space="0" w:color="AFC6E9"/>
          <w:right w:val="single" w:sz="4" w:space="0" w:color="AFC6E9"/>
          <w:insideH w:val="single" w:sz="4" w:space="0" w:color="AFC6E9"/>
          <w:insideV w:val="single" w:sz="4" w:space="0" w:color="AFC6E9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324F"/>
                <w:sz w:val="22"/>
              </w:rPr>
              <w:t xml:space="preserve">重要  </w:t>
            </w:r>
            <w:r>
              <w:rPr>
                <w:rFonts w:ascii="Microsoft YaHei" w:hAnsi="Microsoft YaHei" w:eastAsia="Microsoft YaHei"/>
                <w:color w:val="172B4D"/>
                <w:sz w:val="22"/>
              </w:rPr>
              <w:t>生产环境必须增加后端身份认证和接口授权。memberId 等参数目前不能视为可信身份凭据。</w:t>
            </w:r>
          </w:p>
        </w:tc>
      </w:tr>
    </w:tbl>
    <w:p>
      <w:pPr>
        <w:spacing w:after="0"/>
      </w:pPr>
    </w:p>
    <w:p>
      <w:pPr>
        <w:pStyle w:val="Heading1"/>
      </w:pPr>
      <w:r>
        <w:t>2 接口模块统计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172B4D"/>
          <w:sz w:val="22"/>
        </w:rPr>
        <w:t>接口按照 Controller 的职责划分为 14 个模块。模块数量用于帮助联调人员快速定位入口，并不代表各模块彼此独立：例如余额充值会同时经过充值模块和支付模块，上机与预约会共同修改电脑状态，故障工单也会影响机位是否可用。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000"/>
        <w:gridCol w:w="3600"/>
        <w:gridCol w:w="2760"/>
      </w:tblGrid>
      <w:tr>
        <w:trPr>
          <w:tblHeader w:val="true"/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9"/>
              </w:rPr>
              <w:t>模块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9"/>
              </w:rPr>
              <w:t>路径前缀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9"/>
              </w:rPr>
              <w:t>接口数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管理员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admin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1</w:t>
            </w:r>
          </w:p>
        </w:tc>
      </w:tr>
      <w:tr>
        <w:trPr>
          <w:cantSplit w:val="true"/>
        </w:trPr>
        <w:tc>
          <w:tcPr>
            <w:tcW w:type="dxa" w:w="3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看板</w:t>
            </w:r>
          </w:p>
        </w:tc>
        <w:tc>
          <w:tcPr>
            <w:tcW w:type="dxa" w:w="3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dashboard</w:t>
            </w:r>
          </w:p>
        </w:tc>
        <w:tc>
          <w:tcPr>
            <w:tcW w:type="dxa" w:w="27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1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会员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member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5</w:t>
            </w:r>
          </w:p>
        </w:tc>
      </w:tr>
      <w:tr>
        <w:trPr>
          <w:cantSplit w:val="true"/>
        </w:trPr>
        <w:tc>
          <w:tcPr>
            <w:tcW w:type="dxa" w:w="3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电脑</w:t>
            </w:r>
          </w:p>
        </w:tc>
        <w:tc>
          <w:tcPr>
            <w:tcW w:type="dxa" w:w="3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computer</w:t>
            </w:r>
          </w:p>
        </w:tc>
        <w:tc>
          <w:tcPr>
            <w:tcW w:type="dxa" w:w="27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5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充值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recharge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3</w:t>
            </w:r>
          </w:p>
        </w:tc>
      </w:tr>
      <w:tr>
        <w:trPr>
          <w:cantSplit w:val="true"/>
        </w:trPr>
        <w:tc>
          <w:tcPr>
            <w:tcW w:type="dxa" w:w="3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上机</w:t>
            </w:r>
          </w:p>
        </w:tc>
        <w:tc>
          <w:tcPr>
            <w:tcW w:type="dxa" w:w="3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online</w:t>
            </w:r>
          </w:p>
        </w:tc>
        <w:tc>
          <w:tcPr>
            <w:tcW w:type="dxa" w:w="27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4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预约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reservation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4</w:t>
            </w:r>
          </w:p>
        </w:tc>
      </w:tr>
      <w:tr>
        <w:trPr>
          <w:cantSplit w:val="true"/>
        </w:trPr>
        <w:tc>
          <w:tcPr>
            <w:tcW w:type="dxa" w:w="3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点餐</w:t>
            </w:r>
          </w:p>
        </w:tc>
        <w:tc>
          <w:tcPr>
            <w:tcW w:type="dxa" w:w="3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food</w:t>
            </w:r>
          </w:p>
        </w:tc>
        <w:tc>
          <w:tcPr>
            <w:tcW w:type="dxa" w:w="27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10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支付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payment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6</w:t>
            </w:r>
          </w:p>
        </w:tc>
      </w:tr>
      <w:tr>
        <w:trPr>
          <w:cantSplit w:val="true"/>
        </w:trPr>
        <w:tc>
          <w:tcPr>
            <w:tcW w:type="dxa" w:w="3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用户自助</w:t>
            </w:r>
          </w:p>
        </w:tc>
        <w:tc>
          <w:tcPr>
            <w:tcW w:type="dxa" w:w="3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user</w:t>
            </w:r>
          </w:p>
        </w:tc>
        <w:tc>
          <w:tcPr>
            <w:tcW w:type="dxa" w:w="27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6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优惠券签到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coupon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9</w:t>
            </w:r>
          </w:p>
        </w:tc>
      </w:tr>
      <w:tr>
        <w:trPr>
          <w:cantSplit w:val="true"/>
        </w:trPr>
        <w:tc>
          <w:tcPr>
            <w:tcW w:type="dxa" w:w="3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团购券</w:t>
            </w:r>
          </w:p>
        </w:tc>
        <w:tc>
          <w:tcPr>
            <w:tcW w:type="dxa" w:w="3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voucher</w:t>
            </w:r>
          </w:p>
        </w:tc>
        <w:tc>
          <w:tcPr>
            <w:tcW w:type="dxa" w:w="27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4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推广计划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promotion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3</w:t>
            </w:r>
          </w:p>
        </w:tc>
      </w:tr>
      <w:tr>
        <w:trPr>
          <w:cantSplit w:val="true"/>
        </w:trPr>
        <w:tc>
          <w:tcPr>
            <w:tcW w:type="dxa" w:w="3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服务中心</w:t>
            </w:r>
          </w:p>
        </w:tc>
        <w:tc>
          <w:tcPr>
            <w:tcW w:type="dxa" w:w="3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repair</w:t>
            </w:r>
          </w:p>
        </w:tc>
        <w:tc>
          <w:tcPr>
            <w:tcW w:type="dxa" w:w="27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3</w:t>
            </w:r>
          </w:p>
        </w:tc>
      </w:tr>
    </w:tbl>
    <w:p>
      <w:pPr>
        <w:spacing w:after="0"/>
      </w:pPr>
    </w:p>
    <w:p>
      <w:pPr>
        <w:pStyle w:val="Heading1"/>
      </w:pPr>
      <w:r>
        <w:t>3 接口总览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172B4D"/>
          <w:sz w:val="22"/>
        </w:rPr>
        <w:t>本章先用文字说明每个模块承担的业务职责，再列出可直接调用的接口。阅读时应先确认业务前置条件，再根据方法和路径发起请求；不能只依据 HTTP 方法推断操作是否安全或是否可以重复执行。</w:t>
      </w:r>
    </w:p>
    <w:p>
      <w:pPr>
        <w:pStyle w:val="Heading2"/>
      </w:pPr>
      <w:r>
        <w:t>3.1 管理员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172B4D"/>
          <w:sz w:val="22"/>
        </w:rPr>
        <w:t>管理员模块只负责后台登录入口。当前实现会校验管理员账号和密码，并把登录结果返回给前端；由于后端尚未接入统一鉴权框架，登录成功并不等同于接口已经具备生产级授权控制。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50"/>
        <w:gridCol w:w="1000"/>
        <w:gridCol w:w="4100"/>
        <w:gridCol w:w="3210"/>
      </w:tblGrid>
      <w:tr>
        <w:trPr>
          <w:tblHeader w:val="true"/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编号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方法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路径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API-001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POST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/admin/login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管理员登录</w:t>
            </w:r>
          </w:p>
        </w:tc>
      </w:tr>
    </w:tbl>
    <w:p>
      <w:pPr>
        <w:spacing w:after="0"/>
      </w:pPr>
    </w:p>
    <w:p>
      <w:pPr>
        <w:pStyle w:val="Heading2"/>
      </w:pPr>
      <w:r>
        <w:t>3.2 看板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172B4D"/>
          <w:sz w:val="22"/>
        </w:rPr>
        <w:t>看板模块聚合会员、电脑、充值和上机数据，为后台首页提供经营概览。它只读取当前数据库中的统计结果，不改变任何业务状态。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50"/>
        <w:gridCol w:w="1000"/>
        <w:gridCol w:w="4100"/>
        <w:gridCol w:w="3210"/>
      </w:tblGrid>
      <w:tr>
        <w:trPr>
          <w:tblHeader w:val="true"/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编号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方法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路径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API-002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GET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/dashboard/statistics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查询首页经营统计</w:t>
            </w:r>
          </w:p>
        </w:tc>
      </w:tr>
    </w:tbl>
    <w:p>
      <w:pPr>
        <w:spacing w:after="0"/>
      </w:pPr>
    </w:p>
    <w:p>
      <w:pPr>
        <w:pStyle w:val="Heading2"/>
      </w:pPr>
      <w:r>
        <w:t>3.3 会员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172B4D"/>
          <w:sz w:val="22"/>
        </w:rPr>
        <w:t>会员模块用于维护顾客基础资料、账号、余额、等级和状态。新增、修改和删除操作会影响后续登录、上机、充值与营销业务，因此调用方应先确认会员身份和当前状态。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50"/>
        <w:gridCol w:w="1000"/>
        <w:gridCol w:w="4100"/>
        <w:gridCol w:w="3210"/>
      </w:tblGrid>
      <w:tr>
        <w:trPr>
          <w:tblHeader w:val="true"/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编号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方法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路径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API-003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POST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/member/add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新增会员</w:t>
            </w:r>
          </w:p>
        </w:tc>
      </w:tr>
      <w:tr>
        <w:trPr>
          <w:cantSplit w:val="true"/>
        </w:trPr>
        <w:tc>
          <w:tcPr>
            <w:tcW w:type="dxa" w:w="10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API-004</w:t>
            </w:r>
          </w:p>
        </w:tc>
        <w:tc>
          <w:tcPr>
            <w:tcW w:type="dxa" w:w="1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DELETE</w:t>
            </w:r>
          </w:p>
        </w:tc>
        <w:tc>
          <w:tcPr>
            <w:tcW w:type="dxa" w:w="4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/member/delete/{id}</w:t>
            </w:r>
          </w:p>
        </w:tc>
        <w:tc>
          <w:tcPr>
            <w:tcW w:type="dxa" w:w="32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删除会员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API-005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GET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/member/list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查询会员列表</w:t>
            </w:r>
          </w:p>
        </w:tc>
      </w:tr>
      <w:tr>
        <w:trPr>
          <w:cantSplit w:val="true"/>
        </w:trPr>
        <w:tc>
          <w:tcPr>
            <w:tcW w:type="dxa" w:w="10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API-006</w:t>
            </w:r>
          </w:p>
        </w:tc>
        <w:tc>
          <w:tcPr>
            <w:tcW w:type="dxa" w:w="1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PUT</w:t>
            </w:r>
          </w:p>
        </w:tc>
        <w:tc>
          <w:tcPr>
            <w:tcW w:type="dxa" w:w="4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/member/update</w:t>
            </w:r>
          </w:p>
        </w:tc>
        <w:tc>
          <w:tcPr>
            <w:tcW w:type="dxa" w:w="32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修改会员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API-007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GET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/member/{id}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查询会员详情</w:t>
            </w:r>
          </w:p>
        </w:tc>
      </w:tr>
    </w:tbl>
    <w:p>
      <w:pPr>
        <w:spacing w:after="0"/>
      </w:pPr>
    </w:p>
    <w:p>
      <w:pPr>
        <w:pStyle w:val="Heading2"/>
      </w:pPr>
      <w:r>
        <w:t>3.4 电脑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172B4D"/>
          <w:sz w:val="22"/>
        </w:rPr>
        <w:t>电脑模块维护网吧机位基础资料，并提供全部机位和空闲机位查询。电脑状态还会受到上机、预约和故障工单影响，不能仅通过基础资料页面随意修改。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50"/>
        <w:gridCol w:w="1000"/>
        <w:gridCol w:w="4100"/>
        <w:gridCol w:w="3210"/>
      </w:tblGrid>
      <w:tr>
        <w:trPr>
          <w:tblHeader w:val="true"/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编号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方法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路径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API-008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POST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/computer/add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新增电脑</w:t>
            </w:r>
          </w:p>
        </w:tc>
      </w:tr>
      <w:tr>
        <w:trPr>
          <w:cantSplit w:val="true"/>
        </w:trPr>
        <w:tc>
          <w:tcPr>
            <w:tcW w:type="dxa" w:w="10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API-009</w:t>
            </w:r>
          </w:p>
        </w:tc>
        <w:tc>
          <w:tcPr>
            <w:tcW w:type="dxa" w:w="1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DELETE</w:t>
            </w:r>
          </w:p>
        </w:tc>
        <w:tc>
          <w:tcPr>
            <w:tcW w:type="dxa" w:w="4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/computer/delete/{id}</w:t>
            </w:r>
          </w:p>
        </w:tc>
        <w:tc>
          <w:tcPr>
            <w:tcW w:type="dxa" w:w="32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删除电脑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API-010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GET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/computer/free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查询空闲电脑</w:t>
            </w:r>
          </w:p>
        </w:tc>
      </w:tr>
      <w:tr>
        <w:trPr>
          <w:cantSplit w:val="true"/>
        </w:trPr>
        <w:tc>
          <w:tcPr>
            <w:tcW w:type="dxa" w:w="10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API-011</w:t>
            </w:r>
          </w:p>
        </w:tc>
        <w:tc>
          <w:tcPr>
            <w:tcW w:type="dxa" w:w="1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GET</w:t>
            </w:r>
          </w:p>
        </w:tc>
        <w:tc>
          <w:tcPr>
            <w:tcW w:type="dxa" w:w="4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/computer/list</w:t>
            </w:r>
          </w:p>
        </w:tc>
        <w:tc>
          <w:tcPr>
            <w:tcW w:type="dxa" w:w="32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查询电脑列表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API-012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PUT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/computer/update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修改电脑</w:t>
            </w:r>
          </w:p>
        </w:tc>
      </w:tr>
    </w:tbl>
    <w:p>
      <w:pPr>
        <w:spacing w:after="0"/>
      </w:pPr>
    </w:p>
    <w:p>
      <w:pPr>
        <w:pStyle w:val="Heading2"/>
      </w:pPr>
      <w:r>
        <w:t>3.5 充值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172B4D"/>
          <w:sz w:val="22"/>
        </w:rPr>
        <w:t>充值模块包含两类入口：后台人工充值会直接在事务中增加余额；用户端第三方充值先创建微信或支付宝支付单，只有平台确认成功后才到账。查询接口用于查看人工充值、第三方充值和团购券充值形成的统一记录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50"/>
        <w:gridCol w:w="1000"/>
        <w:gridCol w:w="4100"/>
        <w:gridCol w:w="3210"/>
      </w:tblGrid>
      <w:tr>
        <w:trPr>
          <w:tblHeader w:val="true"/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编号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方法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路径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API-013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POST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/recharge/add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后台人工会员余额充值</w:t>
            </w:r>
          </w:p>
        </w:tc>
      </w:tr>
      <w:tr>
        <w:trPr>
          <w:cantSplit w:val="true"/>
        </w:trPr>
        <w:tc>
          <w:tcPr>
            <w:tcW w:type="dxa" w:w="10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API-014</w:t>
            </w:r>
          </w:p>
        </w:tc>
        <w:tc>
          <w:tcPr>
            <w:tcW w:type="dxa" w:w="1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GET</w:t>
            </w:r>
          </w:p>
        </w:tc>
        <w:tc>
          <w:tcPr>
            <w:tcW w:type="dxa" w:w="4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/recharge/list</w:t>
            </w:r>
          </w:p>
        </w:tc>
        <w:tc>
          <w:tcPr>
            <w:tcW w:type="dxa" w:w="32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查询充值记录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API-015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POST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/recharge/payment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用户发起微信/支付宝余额充值支付</w:t>
            </w:r>
          </w:p>
        </w:tc>
      </w:tr>
    </w:tbl>
    <w:p>
      <w:pPr>
        <w:spacing w:after="0"/>
      </w:pPr>
    </w:p>
    <w:p>
      <w:pPr>
        <w:pStyle w:val="Heading2"/>
      </w:pPr>
      <w:r>
        <w:t>3.6 上机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172B4D"/>
          <w:sz w:val="22"/>
        </w:rPr>
        <w:t>上机模块负责开始上机、下机结算以及运行中记录查询。开始上机时会校验会员、余额和电脑状态；运行过程中由定时任务持续补扣费用，余额不足时自动结束记录并释放机位。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50"/>
        <w:gridCol w:w="1000"/>
        <w:gridCol w:w="4100"/>
        <w:gridCol w:w="3210"/>
      </w:tblGrid>
      <w:tr>
        <w:trPr>
          <w:tblHeader w:val="true"/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编号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方法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路径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API-016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POST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/online/end/{recordId}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下机结算</w:t>
            </w:r>
          </w:p>
        </w:tc>
      </w:tr>
      <w:tr>
        <w:trPr>
          <w:cantSplit w:val="true"/>
        </w:trPr>
        <w:tc>
          <w:tcPr>
            <w:tcW w:type="dxa" w:w="10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API-017</w:t>
            </w:r>
          </w:p>
        </w:tc>
        <w:tc>
          <w:tcPr>
            <w:tcW w:type="dxa" w:w="1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GET</w:t>
            </w:r>
          </w:p>
        </w:tc>
        <w:tc>
          <w:tcPr>
            <w:tcW w:type="dxa" w:w="4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/online/list</w:t>
            </w:r>
          </w:p>
        </w:tc>
        <w:tc>
          <w:tcPr>
            <w:tcW w:type="dxa" w:w="32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查询上机记录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API-018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GET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/online/running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查询进行中上机</w:t>
            </w:r>
          </w:p>
        </w:tc>
      </w:tr>
      <w:tr>
        <w:trPr>
          <w:cantSplit w:val="true"/>
        </w:trPr>
        <w:tc>
          <w:tcPr>
            <w:tcW w:type="dxa" w:w="10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API-019</w:t>
            </w:r>
          </w:p>
        </w:tc>
        <w:tc>
          <w:tcPr>
            <w:tcW w:type="dxa" w:w="1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POST</w:t>
            </w:r>
          </w:p>
        </w:tc>
        <w:tc>
          <w:tcPr>
            <w:tcW w:type="dxa" w:w="4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/online/start</w:t>
            </w:r>
          </w:p>
        </w:tc>
        <w:tc>
          <w:tcPr>
            <w:tcW w:type="dxa" w:w="32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开始上机</w:t>
            </w:r>
          </w:p>
        </w:tc>
      </w:tr>
    </w:tbl>
    <w:p>
      <w:pPr>
        <w:spacing w:after="0"/>
      </w:pPr>
    </w:p>
    <w:p>
      <w:pPr>
        <w:pStyle w:val="Heading2"/>
      </w:pPr>
      <w:r>
        <w:t>3.7 预约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172B4D"/>
          <w:sz w:val="22"/>
        </w:rPr>
        <w:t>预约模块把空闲机位在限定时间内锁定给指定会员。预约可以取消、超时释放或直接转为上机，所有状态变化都需要同时维护预约记录和电脑状态。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50"/>
        <w:gridCol w:w="1000"/>
        <w:gridCol w:w="4100"/>
        <w:gridCol w:w="3210"/>
      </w:tblGrid>
      <w:tr>
        <w:trPr>
          <w:tblHeader w:val="true"/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编号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方法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路径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API-020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POST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/reservation/add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新增预约</w:t>
            </w:r>
          </w:p>
        </w:tc>
      </w:tr>
      <w:tr>
        <w:trPr>
          <w:cantSplit w:val="true"/>
        </w:trPr>
        <w:tc>
          <w:tcPr>
            <w:tcW w:type="dxa" w:w="10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API-021</w:t>
            </w:r>
          </w:p>
        </w:tc>
        <w:tc>
          <w:tcPr>
            <w:tcW w:type="dxa" w:w="1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POST</w:t>
            </w:r>
          </w:p>
        </w:tc>
        <w:tc>
          <w:tcPr>
            <w:tcW w:type="dxa" w:w="4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/reservation/cancel/{id}</w:t>
            </w:r>
          </w:p>
        </w:tc>
        <w:tc>
          <w:tcPr>
            <w:tcW w:type="dxa" w:w="32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取消预约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API-022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GET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/reservation/list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查询预约记录</w:t>
            </w:r>
          </w:p>
        </w:tc>
      </w:tr>
      <w:tr>
        <w:trPr>
          <w:cantSplit w:val="true"/>
        </w:trPr>
        <w:tc>
          <w:tcPr>
            <w:tcW w:type="dxa" w:w="10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API-023</w:t>
            </w:r>
          </w:p>
        </w:tc>
        <w:tc>
          <w:tcPr>
            <w:tcW w:type="dxa" w:w="1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POST</w:t>
            </w:r>
          </w:p>
        </w:tc>
        <w:tc>
          <w:tcPr>
            <w:tcW w:type="dxa" w:w="4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/reservation/start/{id}</w:t>
            </w:r>
          </w:p>
        </w:tc>
        <w:tc>
          <w:tcPr>
            <w:tcW w:type="dxa" w:w="32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预约转上机</w:t>
            </w:r>
          </w:p>
        </w:tc>
      </w:tr>
    </w:tbl>
    <w:p>
      <w:pPr>
        <w:spacing w:after="0"/>
      </w:pPr>
    </w:p>
    <w:p>
      <w:pPr>
        <w:pStyle w:val="Heading2"/>
      </w:pPr>
      <w:r>
        <w:t>3.8 点餐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172B4D"/>
          <w:sz w:val="22"/>
        </w:rPr>
        <w:t>点餐模块同时管理商品与订单。用户结算时，后端重新读取商品价格、校验优惠券并计算实付金额；余额支付立即完成扣款，第三方支付则先生成待支付订单。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50"/>
        <w:gridCol w:w="1000"/>
        <w:gridCol w:w="4100"/>
        <w:gridCol w:w="3210"/>
      </w:tblGrid>
      <w:tr>
        <w:trPr>
          <w:tblHeader w:val="true"/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编号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方法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路径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API-024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POST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/food/item/add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新增商品</w:t>
            </w:r>
          </w:p>
        </w:tc>
      </w:tr>
      <w:tr>
        <w:trPr>
          <w:cantSplit w:val="true"/>
        </w:trPr>
        <w:tc>
          <w:tcPr>
            <w:tcW w:type="dxa" w:w="10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API-025</w:t>
            </w:r>
          </w:p>
        </w:tc>
        <w:tc>
          <w:tcPr>
            <w:tcW w:type="dxa" w:w="1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GET</w:t>
            </w:r>
          </w:p>
        </w:tc>
        <w:tc>
          <w:tcPr>
            <w:tcW w:type="dxa" w:w="4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/food/item/available</w:t>
            </w:r>
          </w:p>
        </w:tc>
        <w:tc>
          <w:tcPr>
            <w:tcW w:type="dxa" w:w="32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查询可售商品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API-026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DELETE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/food/item/delete/{id}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删除商品</w:t>
            </w:r>
          </w:p>
        </w:tc>
      </w:tr>
      <w:tr>
        <w:trPr>
          <w:cantSplit w:val="true"/>
        </w:trPr>
        <w:tc>
          <w:tcPr>
            <w:tcW w:type="dxa" w:w="10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API-027</w:t>
            </w:r>
          </w:p>
        </w:tc>
        <w:tc>
          <w:tcPr>
            <w:tcW w:type="dxa" w:w="1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GET</w:t>
            </w:r>
          </w:p>
        </w:tc>
        <w:tc>
          <w:tcPr>
            <w:tcW w:type="dxa" w:w="4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/food/item/list</w:t>
            </w:r>
          </w:p>
        </w:tc>
        <w:tc>
          <w:tcPr>
            <w:tcW w:type="dxa" w:w="32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查询商品列表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API-028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PUT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/food/item/update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修改商品</w:t>
            </w:r>
          </w:p>
        </w:tc>
      </w:tr>
      <w:tr>
        <w:trPr>
          <w:cantSplit w:val="true"/>
        </w:trPr>
        <w:tc>
          <w:tcPr>
            <w:tcW w:type="dxa" w:w="10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API-029</w:t>
            </w:r>
          </w:p>
        </w:tc>
        <w:tc>
          <w:tcPr>
            <w:tcW w:type="dxa" w:w="1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POST</w:t>
            </w:r>
          </w:p>
        </w:tc>
        <w:tc>
          <w:tcPr>
            <w:tcW w:type="dxa" w:w="4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/food/order/add</w:t>
            </w:r>
          </w:p>
        </w:tc>
        <w:tc>
          <w:tcPr>
            <w:tcW w:type="dxa" w:w="32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创建单商品订单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API-030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POST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/food/order/batch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创建购物车批量订单</w:t>
            </w:r>
          </w:p>
        </w:tc>
      </w:tr>
      <w:tr>
        <w:trPr>
          <w:cantSplit w:val="true"/>
        </w:trPr>
        <w:tc>
          <w:tcPr>
            <w:tcW w:type="dxa" w:w="10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API-031</w:t>
            </w:r>
          </w:p>
        </w:tc>
        <w:tc>
          <w:tcPr>
            <w:tcW w:type="dxa" w:w="1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POST</w:t>
            </w:r>
          </w:p>
        </w:tc>
        <w:tc>
          <w:tcPr>
            <w:tcW w:type="dxa" w:w="4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/food/order/cancel/{id}</w:t>
            </w:r>
          </w:p>
        </w:tc>
        <w:tc>
          <w:tcPr>
            <w:tcW w:type="dxa" w:w="32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取消订单/发起退款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API-032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POST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/food/order/complete/{id}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完成订单</w:t>
            </w:r>
          </w:p>
        </w:tc>
      </w:tr>
      <w:tr>
        <w:trPr>
          <w:cantSplit w:val="true"/>
        </w:trPr>
        <w:tc>
          <w:tcPr>
            <w:tcW w:type="dxa" w:w="10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API-033</w:t>
            </w:r>
          </w:p>
        </w:tc>
        <w:tc>
          <w:tcPr>
            <w:tcW w:type="dxa" w:w="1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GET</w:t>
            </w:r>
          </w:p>
        </w:tc>
        <w:tc>
          <w:tcPr>
            <w:tcW w:type="dxa" w:w="4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/food/order/list</w:t>
            </w:r>
          </w:p>
        </w:tc>
        <w:tc>
          <w:tcPr>
            <w:tcW w:type="dxa" w:w="32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查询点餐订单</w:t>
            </w:r>
          </w:p>
        </w:tc>
      </w:tr>
    </w:tbl>
    <w:p>
      <w:pPr>
        <w:spacing w:after="0"/>
      </w:pPr>
    </w:p>
    <w:p>
      <w:pPr>
        <w:pStyle w:val="Heading2"/>
      </w:pPr>
      <w:r>
        <w:t>3.9 支付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172B4D"/>
          <w:sz w:val="22"/>
        </w:rPr>
        <w:t>支付模块提供微信二维码、支付宝收银台、支付状态查询和平台回调。支付成功不能由前端按钮直接决定，必须通过验签回调或主动查单确认；点餐与余额充值通过 business_type 使用不同的成功后处理逻辑。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50"/>
        <w:gridCol w:w="1000"/>
        <w:gridCol w:w="4100"/>
        <w:gridCol w:w="3210"/>
      </w:tblGrid>
      <w:tr>
        <w:trPr>
          <w:tblHeader w:val="true"/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编号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方法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路径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API-034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GET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/payment/alipay/page/{outTradeNo}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生成支付宝收银台页面</w:t>
            </w:r>
          </w:p>
        </w:tc>
      </w:tr>
      <w:tr>
        <w:trPr>
          <w:cantSplit w:val="true"/>
        </w:trPr>
        <w:tc>
          <w:tcPr>
            <w:tcW w:type="dxa" w:w="10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API-035</w:t>
            </w:r>
          </w:p>
        </w:tc>
        <w:tc>
          <w:tcPr>
            <w:tcW w:type="dxa" w:w="1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POST</w:t>
            </w:r>
          </w:p>
        </w:tc>
        <w:tc>
          <w:tcPr>
            <w:tcW w:type="dxa" w:w="4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/payment/notify/alipay</w:t>
            </w:r>
          </w:p>
        </w:tc>
        <w:tc>
          <w:tcPr>
            <w:tcW w:type="dxa" w:w="32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接收支付宝支付通知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API-036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POST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/payment/notify/wechat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接收微信支付通知</w:t>
            </w:r>
          </w:p>
        </w:tc>
      </w:tr>
      <w:tr>
        <w:trPr>
          <w:cantSplit w:val="true"/>
        </w:trPr>
        <w:tc>
          <w:tcPr>
            <w:tcW w:type="dxa" w:w="10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API-037</w:t>
            </w:r>
          </w:p>
        </w:tc>
        <w:tc>
          <w:tcPr>
            <w:tcW w:type="dxa" w:w="1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POST</w:t>
            </w:r>
          </w:p>
        </w:tc>
        <w:tc>
          <w:tcPr>
            <w:tcW w:type="dxa" w:w="4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/payment/notify/wechat/refund</w:t>
            </w:r>
          </w:p>
        </w:tc>
        <w:tc>
          <w:tcPr>
            <w:tcW w:type="dxa" w:w="32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接收微信退款通知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API-038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GET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/payment/status/{outTradeNo}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查询支付状态</w:t>
            </w:r>
          </w:p>
        </w:tc>
      </w:tr>
      <w:tr>
        <w:trPr>
          <w:cantSplit w:val="true"/>
        </w:trPr>
        <w:tc>
          <w:tcPr>
            <w:tcW w:type="dxa" w:w="10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API-039</w:t>
            </w:r>
          </w:p>
        </w:tc>
        <w:tc>
          <w:tcPr>
            <w:tcW w:type="dxa" w:w="1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GET</w:t>
            </w:r>
          </w:p>
        </w:tc>
        <w:tc>
          <w:tcPr>
            <w:tcW w:type="dxa" w:w="4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/payment/wechat/qrcode/{outTradeNo}</w:t>
            </w:r>
          </w:p>
        </w:tc>
        <w:tc>
          <w:tcPr>
            <w:tcW w:type="dxa" w:w="32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生成微信支付二维码 PNG</w:t>
            </w:r>
          </w:p>
        </w:tc>
      </w:tr>
    </w:tbl>
    <w:p>
      <w:pPr>
        <w:spacing w:after="0"/>
      </w:pPr>
    </w:p>
    <w:p>
      <w:pPr>
        <w:pStyle w:val="Heading2"/>
      </w:pPr>
      <w:r>
        <w:t>3.10 用户自助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172B4D"/>
          <w:sz w:val="22"/>
        </w:rPr>
        <w:t>用户自助模块承载注册、登录、密码修改以及个人订单、上机记录和余额明细查询。memberId 目前仍由前端传递，生产化前应由服务端登录身份替代这一信任方式。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50"/>
        <w:gridCol w:w="1000"/>
        <w:gridCol w:w="4100"/>
        <w:gridCol w:w="3210"/>
      </w:tblGrid>
      <w:tr>
        <w:trPr>
          <w:tblHeader w:val="true"/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编号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方法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路径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API-040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GET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/user/balance-detail/{memberId}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查询余额明细</w:t>
            </w:r>
          </w:p>
        </w:tc>
      </w:tr>
      <w:tr>
        <w:trPr>
          <w:cantSplit w:val="true"/>
        </w:trPr>
        <w:tc>
          <w:tcPr>
            <w:tcW w:type="dxa" w:w="10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API-041</w:t>
            </w:r>
          </w:p>
        </w:tc>
        <w:tc>
          <w:tcPr>
            <w:tcW w:type="dxa" w:w="1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POST</w:t>
            </w:r>
          </w:p>
        </w:tc>
        <w:tc>
          <w:tcPr>
            <w:tcW w:type="dxa" w:w="4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/user/change-password</w:t>
            </w:r>
          </w:p>
        </w:tc>
        <w:tc>
          <w:tcPr>
            <w:tcW w:type="dxa" w:w="32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修改用户密码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API-042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POST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/user/login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用户身份证号登录</w:t>
            </w:r>
          </w:p>
        </w:tc>
      </w:tr>
      <w:tr>
        <w:trPr>
          <w:cantSplit w:val="true"/>
        </w:trPr>
        <w:tc>
          <w:tcPr>
            <w:tcW w:type="dxa" w:w="10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API-043</w:t>
            </w:r>
          </w:p>
        </w:tc>
        <w:tc>
          <w:tcPr>
            <w:tcW w:type="dxa" w:w="1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GET</w:t>
            </w:r>
          </w:p>
        </w:tc>
        <w:tc>
          <w:tcPr>
            <w:tcW w:type="dxa" w:w="4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/user/online-records/{memberId}</w:t>
            </w:r>
          </w:p>
        </w:tc>
        <w:tc>
          <w:tcPr>
            <w:tcW w:type="dxa" w:w="32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查询我的上机记录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API-044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GET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/user/orders/{memberId}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查询我的点餐订单</w:t>
            </w:r>
          </w:p>
        </w:tc>
      </w:tr>
      <w:tr>
        <w:trPr>
          <w:cantSplit w:val="true"/>
        </w:trPr>
        <w:tc>
          <w:tcPr>
            <w:tcW w:type="dxa" w:w="10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API-045</w:t>
            </w:r>
          </w:p>
        </w:tc>
        <w:tc>
          <w:tcPr>
            <w:tcW w:type="dxa" w:w="1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POST</w:t>
            </w:r>
          </w:p>
        </w:tc>
        <w:tc>
          <w:tcPr>
            <w:tcW w:type="dxa" w:w="4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/user/register</w:t>
            </w:r>
          </w:p>
        </w:tc>
        <w:tc>
          <w:tcPr>
            <w:tcW w:type="dxa" w:w="32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用户注册/邀请码奖励</w:t>
            </w:r>
          </w:p>
        </w:tc>
      </w:tr>
    </w:tbl>
    <w:p>
      <w:pPr>
        <w:spacing w:after="0"/>
      </w:pPr>
    </w:p>
    <w:p>
      <w:pPr>
        <w:pStyle w:val="Heading2"/>
      </w:pPr>
      <w:r>
        <w:t>3.11 优惠券签到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172B4D"/>
          <w:sz w:val="22"/>
        </w:rPr>
        <w:t>优惠券签到模块连接后台模板与规则配置、用户每日签到和用户优惠券。系统会计算连续签到天数，在命中启用规则后发放带有效期的优惠券，并防止同一天重复签到。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50"/>
        <w:gridCol w:w="1000"/>
        <w:gridCol w:w="4100"/>
        <w:gridCol w:w="3210"/>
      </w:tblGrid>
      <w:tr>
        <w:trPr>
          <w:tblHeader w:val="true"/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编号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方法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路径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API-046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GET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/coupon/rule/list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查询签到奖励规则</w:t>
            </w:r>
          </w:p>
        </w:tc>
      </w:tr>
      <w:tr>
        <w:trPr>
          <w:cantSplit w:val="true"/>
        </w:trPr>
        <w:tc>
          <w:tcPr>
            <w:tcW w:type="dxa" w:w="10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API-047</w:t>
            </w:r>
          </w:p>
        </w:tc>
        <w:tc>
          <w:tcPr>
            <w:tcW w:type="dxa" w:w="1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POST</w:t>
            </w:r>
          </w:p>
        </w:tc>
        <w:tc>
          <w:tcPr>
            <w:tcW w:type="dxa" w:w="4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/coupon/rule/save</w:t>
            </w:r>
          </w:p>
        </w:tc>
        <w:tc>
          <w:tcPr>
            <w:tcW w:type="dxa" w:w="32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新增或修改签到奖励规则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API-048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DELETE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/coupon/rule/{id}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删除签到奖励规则</w:t>
            </w:r>
          </w:p>
        </w:tc>
      </w:tr>
      <w:tr>
        <w:trPr>
          <w:cantSplit w:val="true"/>
        </w:trPr>
        <w:tc>
          <w:tcPr>
            <w:tcW w:type="dxa" w:w="10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API-049</w:t>
            </w:r>
          </w:p>
        </w:tc>
        <w:tc>
          <w:tcPr>
            <w:tcW w:type="dxa" w:w="1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GET</w:t>
            </w:r>
          </w:p>
        </w:tc>
        <w:tc>
          <w:tcPr>
            <w:tcW w:type="dxa" w:w="4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/coupon/sign-in/status/{memberId}</w:t>
            </w:r>
          </w:p>
        </w:tc>
        <w:tc>
          <w:tcPr>
            <w:tcW w:type="dxa" w:w="32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查询今日签到状态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API-050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POST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/coupon/sign-in/{memberId}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执行每日签到</w:t>
            </w:r>
          </w:p>
        </w:tc>
      </w:tr>
      <w:tr>
        <w:trPr>
          <w:cantSplit w:val="true"/>
        </w:trPr>
        <w:tc>
          <w:tcPr>
            <w:tcW w:type="dxa" w:w="10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API-051</w:t>
            </w:r>
          </w:p>
        </w:tc>
        <w:tc>
          <w:tcPr>
            <w:tcW w:type="dxa" w:w="1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GET</w:t>
            </w:r>
          </w:p>
        </w:tc>
        <w:tc>
          <w:tcPr>
            <w:tcW w:type="dxa" w:w="4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/coupon/template/list</w:t>
            </w:r>
          </w:p>
        </w:tc>
        <w:tc>
          <w:tcPr>
            <w:tcW w:type="dxa" w:w="32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查询优惠券模板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API-052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POST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/coupon/template/save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新增或修改优惠券模板</w:t>
            </w:r>
          </w:p>
        </w:tc>
      </w:tr>
      <w:tr>
        <w:trPr>
          <w:cantSplit w:val="true"/>
        </w:trPr>
        <w:tc>
          <w:tcPr>
            <w:tcW w:type="dxa" w:w="10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API-053</w:t>
            </w:r>
          </w:p>
        </w:tc>
        <w:tc>
          <w:tcPr>
            <w:tcW w:type="dxa" w:w="1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PUT</w:t>
            </w:r>
          </w:p>
        </w:tc>
        <w:tc>
          <w:tcPr>
            <w:tcW w:type="dxa" w:w="4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/coupon/template/status</w:t>
            </w:r>
          </w:p>
        </w:tc>
        <w:tc>
          <w:tcPr>
            <w:tcW w:type="dxa" w:w="32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启用或停用优惠券模板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API-054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GET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/coupon/user/{memberId}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查询用户优惠券</w:t>
            </w:r>
          </w:p>
        </w:tc>
      </w:tr>
    </w:tbl>
    <w:p>
      <w:pPr>
        <w:spacing w:after="0"/>
      </w:pPr>
    </w:p>
    <w:p>
      <w:pPr>
        <w:pStyle w:val="Heading2"/>
      </w:pPr>
      <w:r>
        <w:t>3.12 团购券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172B4D"/>
          <w:sz w:val="22"/>
        </w:rPr>
        <w:t>团购券模块允许管理员预先录入券码，用户再进行核销充值。核销采用条件更新保证同一券码只成功一次，并把券码写入充值记录用于追溯。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50"/>
        <w:gridCol w:w="1000"/>
        <w:gridCol w:w="4100"/>
        <w:gridCol w:w="3210"/>
      </w:tblGrid>
      <w:tr>
        <w:trPr>
          <w:tblHeader w:val="true"/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编号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方法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路径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API-055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POST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/voucher/add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新增团购券</w:t>
            </w:r>
          </w:p>
        </w:tc>
      </w:tr>
      <w:tr>
        <w:trPr>
          <w:cantSplit w:val="true"/>
        </w:trPr>
        <w:tc>
          <w:tcPr>
            <w:tcW w:type="dxa" w:w="10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API-056</w:t>
            </w:r>
          </w:p>
        </w:tc>
        <w:tc>
          <w:tcPr>
            <w:tcW w:type="dxa" w:w="1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GET</w:t>
            </w:r>
          </w:p>
        </w:tc>
        <w:tc>
          <w:tcPr>
            <w:tcW w:type="dxa" w:w="4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/voucher/list</w:t>
            </w:r>
          </w:p>
        </w:tc>
        <w:tc>
          <w:tcPr>
            <w:tcW w:type="dxa" w:w="32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查询团购券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API-057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POST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/voucher/redeem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核销团购券并充值</w:t>
            </w:r>
          </w:p>
        </w:tc>
      </w:tr>
      <w:tr>
        <w:trPr>
          <w:cantSplit w:val="true"/>
        </w:trPr>
        <w:tc>
          <w:tcPr>
            <w:tcW w:type="dxa" w:w="10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API-058</w:t>
            </w:r>
          </w:p>
        </w:tc>
        <w:tc>
          <w:tcPr>
            <w:tcW w:type="dxa" w:w="1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PUT</w:t>
            </w:r>
          </w:p>
        </w:tc>
        <w:tc>
          <w:tcPr>
            <w:tcW w:type="dxa" w:w="4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/voucher/status</w:t>
            </w:r>
          </w:p>
        </w:tc>
        <w:tc>
          <w:tcPr>
            <w:tcW w:type="dxa" w:w="32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启用或禁用团购券</w:t>
            </w:r>
          </w:p>
        </w:tc>
      </w:tr>
    </w:tbl>
    <w:p>
      <w:pPr>
        <w:spacing w:after="0"/>
      </w:pPr>
    </w:p>
    <w:p>
      <w:pPr>
        <w:pStyle w:val="Heading2"/>
      </w:pPr>
      <w:r>
        <w:t>3.13 推广计划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172B4D"/>
          <w:sz w:val="22"/>
        </w:rPr>
        <w:t>推广模块用于查询邀请数据和维护奖励规则。新用户注册使用有效邀请码时，系统会在事务中给邀请人和新用户发放奖励，并通过唯一约束避免重复发奖。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50"/>
        <w:gridCol w:w="1000"/>
        <w:gridCol w:w="4100"/>
        <w:gridCol w:w="3210"/>
      </w:tblGrid>
      <w:tr>
        <w:trPr>
          <w:tblHeader w:val="true"/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编号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方法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路径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API-059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GET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/promotion/admin/overview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查询后台推广概览</w:t>
            </w:r>
          </w:p>
        </w:tc>
      </w:tr>
      <w:tr>
        <w:trPr>
          <w:cantSplit w:val="true"/>
        </w:trPr>
        <w:tc>
          <w:tcPr>
            <w:tcW w:type="dxa" w:w="10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API-060</w:t>
            </w:r>
          </w:p>
        </w:tc>
        <w:tc>
          <w:tcPr>
            <w:tcW w:type="dxa" w:w="1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GET</w:t>
            </w:r>
          </w:p>
        </w:tc>
        <w:tc>
          <w:tcPr>
            <w:tcW w:type="dxa" w:w="4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/promotion/overview/{memberId}</w:t>
            </w:r>
          </w:p>
        </w:tc>
        <w:tc>
          <w:tcPr>
            <w:tcW w:type="dxa" w:w="32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查询用户推广概览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API-061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PUT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/promotion/rule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更新推广奖励规则</w:t>
            </w:r>
          </w:p>
        </w:tc>
      </w:tr>
    </w:tbl>
    <w:p>
      <w:pPr>
        <w:spacing w:after="0"/>
      </w:pPr>
    </w:p>
    <w:p>
      <w:pPr>
        <w:pStyle w:val="Heading2"/>
      </w:pPr>
      <w:r>
        <w:t>3.14 服务中心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172B4D"/>
          <w:sz w:val="22"/>
        </w:rPr>
        <w:t>服务中心统一处理呼叫网管和故障报修。故障工单受理后会将对应电脑设为维修中，完成或取消时再恢复状态，从而保证工单处理结果与机位可用性一致。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50"/>
        <w:gridCol w:w="1000"/>
        <w:gridCol w:w="4100"/>
        <w:gridCol w:w="3210"/>
      </w:tblGrid>
      <w:tr>
        <w:trPr>
          <w:tblHeader w:val="true"/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编号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方法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路径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API-062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GET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/repair/list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查询服务工单</w:t>
            </w:r>
          </w:p>
        </w:tc>
      </w:tr>
      <w:tr>
        <w:trPr>
          <w:cantSplit w:val="true"/>
        </w:trPr>
        <w:tc>
          <w:tcPr>
            <w:tcW w:type="dxa" w:w="10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API-063</w:t>
            </w:r>
          </w:p>
        </w:tc>
        <w:tc>
          <w:tcPr>
            <w:tcW w:type="dxa" w:w="1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PUT</w:t>
            </w:r>
          </w:p>
        </w:tc>
        <w:tc>
          <w:tcPr>
            <w:tcW w:type="dxa" w:w="4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/repair/process</w:t>
            </w:r>
          </w:p>
        </w:tc>
        <w:tc>
          <w:tcPr>
            <w:tcW w:type="dxa" w:w="32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处理服务工单</w:t>
            </w:r>
          </w:p>
        </w:tc>
      </w:tr>
      <w:tr>
        <w:trPr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API-064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POST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/repair/report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提交呼叫网管/故障报修</w:t>
            </w:r>
          </w:p>
        </w:tc>
      </w:tr>
    </w:tbl>
    <w:p>
      <w:pPr>
        <w:spacing w:after="0"/>
      </w:pPr>
    </w:p>
    <w:p>
      <w:pPr>
        <w:pStyle w:val="Heading1"/>
      </w:pPr>
      <w:r>
        <w:t>4 核心请求与响应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172B4D"/>
          <w:sz w:val="22"/>
        </w:rPr>
        <w:t>接口请求中的金额、会员编号和业务状态都不能被后端无条件信任。注册和上机会重新校验会员数据，点餐会重新读取商品价格，余额充值会重新校验用户状态和充值上限，支付结果则必须经过平台确认。表中的 JSON 仅表示典型请求结构，实际调用仍应以服务端校验结果为准。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300"/>
        <w:gridCol w:w="1800"/>
        <w:gridCol w:w="3600"/>
        <w:gridCol w:w="2660"/>
      </w:tblGrid>
      <w:tr>
        <w:trPr>
          <w:tblHeader w:val="true"/>
          <w:cantSplit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6"/>
              </w:rPr>
              <w:t>场景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6"/>
              </w:rPr>
              <w:t>接口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6"/>
              </w:rPr>
              <w:t>请求示例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6"/>
              </w:rPr>
              <w:t>规则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6"/>
              </w:rPr>
              <w:t>用户注册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6"/>
              </w:rPr>
              <w:t>POST /user/register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6"/>
              </w:rPr>
              <w:t>{"name":"王五","idCard":"...","phone":"...","password":"123456","invitationCode":"WG000001"}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6"/>
              </w:rPr>
              <w:t>返回新会员；邀请码可选，活动启用且有效时双方奖励。</w:t>
            </w:r>
          </w:p>
        </w:tc>
      </w:tr>
      <w:tr>
        <w:trPr>
          <w:cantSplit w:val="true"/>
        </w:trPr>
        <w:tc>
          <w:tcPr>
            <w:tcW w:type="dxa" w:w="1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6"/>
              </w:rPr>
              <w:t>开始上机</w:t>
            </w:r>
          </w:p>
        </w:tc>
        <w:tc>
          <w:tcPr>
            <w:tcW w:type="dxa" w:w="1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6"/>
              </w:rPr>
              <w:t>POST /online/start</w:t>
            </w:r>
          </w:p>
        </w:tc>
        <w:tc>
          <w:tcPr>
            <w:tcW w:type="dxa" w:w="3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6"/>
              </w:rPr>
              <w:t>{"memberId":1,"computerId":3}</w:t>
            </w:r>
          </w:p>
        </w:tc>
        <w:tc>
          <w:tcPr>
            <w:tcW w:type="dxa" w:w="26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6"/>
              </w:rPr>
              <w:t>校验会员、重复上机、电脑状态和首小时余额。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6"/>
              </w:rPr>
              <w:t>新增预约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6"/>
              </w:rPr>
              <w:t>POST /reservation/add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6"/>
              </w:rPr>
              <w:t>{"memberId":1,"computerId":3,"reserveTime":"2026-07-15 19:30:00"}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6"/>
              </w:rPr>
              <w:t>仅允许当前至未来一小时，同一用户一条有效预约。</w:t>
            </w:r>
          </w:p>
        </w:tc>
      </w:tr>
      <w:tr>
        <w:trPr>
          <w:cantSplit w:val="true"/>
        </w:trPr>
        <w:tc>
          <w:tcPr>
            <w:tcW w:type="dxa" w:w="1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6"/>
              </w:rPr>
              <w:t>购物车结算</w:t>
            </w:r>
          </w:p>
        </w:tc>
        <w:tc>
          <w:tcPr>
            <w:tcW w:type="dxa" w:w="1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6"/>
              </w:rPr>
              <w:t>POST /food/order/batch</w:t>
            </w:r>
          </w:p>
        </w:tc>
        <w:tc>
          <w:tcPr>
            <w:tcW w:type="dxa" w:w="3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6"/>
              </w:rPr>
              <w:t>{"memberId":1,"userCouponId":2,"paymentMethod":"余额支付","items":[{"foodItemId":1,"quantity":2}]}</w:t>
            </w:r>
          </w:p>
        </w:tc>
        <w:tc>
          <w:tcPr>
            <w:tcW w:type="dxa" w:w="26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6"/>
              </w:rPr>
              <w:t>支付方式可为余额支付、微信支付、支付宝支付。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6"/>
              </w:rPr>
              <w:t>余额充值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6"/>
              </w:rPr>
              <w:t>POST /recharge/payment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6"/>
              </w:rPr>
              <w:t>{"memberId":1,"amount":100,"paymentMethod":"微信支付"}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6"/>
              </w:rPr>
              <w:t>金额大于 0 且不超过 10000 元；平台确认成功后才到账。</w:t>
            </w:r>
          </w:p>
        </w:tc>
      </w:tr>
      <w:tr>
        <w:trPr>
          <w:cantSplit w:val="true"/>
        </w:trPr>
        <w:tc>
          <w:tcPr>
            <w:tcW w:type="dxa" w:w="1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6"/>
              </w:rPr>
              <w:t>团购券核销</w:t>
            </w:r>
          </w:p>
        </w:tc>
        <w:tc>
          <w:tcPr>
            <w:tcW w:type="dxa" w:w="1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6"/>
              </w:rPr>
              <w:t>POST /voucher/redeem</w:t>
            </w:r>
          </w:p>
        </w:tc>
        <w:tc>
          <w:tcPr>
            <w:tcW w:type="dxa" w:w="3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6"/>
              </w:rPr>
              <w:t>{"memberId":1,"voucherCode":"WGT-TEST-50"}</w:t>
            </w:r>
          </w:p>
        </w:tc>
        <w:tc>
          <w:tcPr>
            <w:tcW w:type="dxa" w:w="26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6"/>
              </w:rPr>
              <w:t>券码必须后台已录入、未使用、未禁用且未过期。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6"/>
              </w:rPr>
              <w:t>服务工单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6"/>
              </w:rPr>
              <w:t>POST /repair/report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6"/>
              </w:rPr>
              <w:t>{"memberId":1,"serviceType":"呼叫网管","serviceLocation":"电竞一区 A003","problemDescription":"需要协助"}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6"/>
              </w:rPr>
              <w:t>故障报修必须选择 computerId；呼叫网管可只填写位置。</w:t>
            </w:r>
          </w:p>
        </w:tc>
      </w:tr>
    </w:tbl>
    <w:p>
      <w:pPr>
        <w:spacing w:after="0"/>
      </w:pPr>
    </w:p>
    <w:p>
      <w:pPr>
        <w:pStyle w:val="Heading1"/>
      </w:pPr>
      <w:r>
        <w:t>5 状态字典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172B4D"/>
          <w:sz w:val="22"/>
        </w:rPr>
        <w:t>状态字段决定页面可执行的操作，也是多个模块保持一致性的基础。例如电脑只有处于“空闲”时才能上机或预约；支付记录只有从“待支付”确认到“已支付”后，系统才会提交点餐订单或增加充值余额。调用方不应自行拼接未定义状态值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00"/>
        <w:gridCol w:w="3600"/>
        <w:gridCol w:w="3460"/>
      </w:tblGrid>
      <w:tr>
        <w:trPr>
          <w:tblHeader w:val="true"/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对象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状态值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member.status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正常、禁用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只有正常用户可登录和办理业务</w:t>
            </w:r>
          </w:p>
        </w:tc>
      </w:tr>
      <w:tr>
        <w:trPr>
          <w:cantSplit w:val="true"/>
        </w:trPr>
        <w:tc>
          <w:tcPr>
            <w:tcW w:type="dxa" w:w="2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computer.status</w:t>
            </w:r>
          </w:p>
        </w:tc>
        <w:tc>
          <w:tcPr>
            <w:tcW w:type="dxa" w:w="3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空闲、使用中、预约锁定、维修中</w:t>
            </w:r>
          </w:p>
        </w:tc>
        <w:tc>
          <w:tcPr>
            <w:tcW w:type="dxa" w:w="34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与上机、预约、故障工单联动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online_record.status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进行中、已完成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余额不足可自动完成</w:t>
            </w:r>
          </w:p>
        </w:tc>
      </w:tr>
      <w:tr>
        <w:trPr>
          <w:cantSplit w:val="true"/>
        </w:trPr>
        <w:tc>
          <w:tcPr>
            <w:tcW w:type="dxa" w:w="2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reservation_record.status</w:t>
            </w:r>
          </w:p>
        </w:tc>
        <w:tc>
          <w:tcPr>
            <w:tcW w:type="dxa" w:w="3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已预约、已取消、已上机</w:t>
            </w:r>
          </w:p>
        </w:tc>
        <w:tc>
          <w:tcPr>
            <w:tcW w:type="dxa" w:w="34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超时自动取消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food_order.status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待支付、已下单、退款中、已完成、已取消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订单业务状态</w:t>
            </w:r>
          </w:p>
        </w:tc>
      </w:tr>
      <w:tr>
        <w:trPr>
          <w:cantSplit w:val="true"/>
        </w:trPr>
        <w:tc>
          <w:tcPr>
            <w:tcW w:type="dxa" w:w="2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payment_record.status</w:t>
            </w:r>
          </w:p>
        </w:tc>
        <w:tc>
          <w:tcPr>
            <w:tcW w:type="dxa" w:w="3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待支付、已支付、已关闭、部分退款、退款中、已退款</w:t>
            </w:r>
          </w:p>
        </w:tc>
        <w:tc>
          <w:tcPr>
            <w:tcW w:type="dxa" w:w="34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第三方支付主状态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payment_record.business_type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点餐、余额充值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决定支付成功后的业务处理</w:t>
            </w:r>
          </w:p>
        </w:tc>
      </w:tr>
      <w:tr>
        <w:trPr>
          <w:cantSplit w:val="true"/>
        </w:trPr>
        <w:tc>
          <w:tcPr>
            <w:tcW w:type="dxa" w:w="2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payment_refund.status</w:t>
            </w:r>
          </w:p>
        </w:tc>
        <w:tc>
          <w:tcPr>
            <w:tcW w:type="dxa" w:w="3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退款中、已退款、退款失败</w:t>
            </w:r>
          </w:p>
        </w:tc>
        <w:tc>
          <w:tcPr>
            <w:tcW w:type="dxa" w:w="34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退款明细状态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user_coupon.status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可使用、已使用、已过期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点餐优惠券状态</w:t>
            </w:r>
          </w:p>
        </w:tc>
      </w:tr>
      <w:tr>
        <w:trPr>
          <w:cantSplit w:val="true"/>
        </w:trPr>
        <w:tc>
          <w:tcPr>
            <w:tcW w:type="dxa" w:w="2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group_buy_voucher.status</w:t>
            </w:r>
          </w:p>
        </w:tc>
        <w:tc>
          <w:tcPr>
            <w:tcW w:type="dxa" w:w="3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未使用、已使用、已禁用</w:t>
            </w:r>
          </w:p>
        </w:tc>
        <w:tc>
          <w:tcPr>
            <w:tcW w:type="dxa" w:w="34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核销充值券状态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repair_record.status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待处理、处理中、已完成、已取消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统一服务工单状态</w:t>
            </w:r>
          </w:p>
        </w:tc>
      </w:tr>
      <w:tr>
        <w:trPr>
          <w:cantSplit w:val="true"/>
        </w:trPr>
        <w:tc>
          <w:tcPr>
            <w:tcW w:type="dxa" w:w="2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promotion_rule.status</w:t>
            </w:r>
          </w:p>
        </w:tc>
        <w:tc>
          <w:tcPr>
            <w:tcW w:type="dxa" w:w="3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启用、停用</w:t>
            </w:r>
          </w:p>
        </w:tc>
        <w:tc>
          <w:tcPr>
            <w:tcW w:type="dxa" w:w="34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推广活动开关</w:t>
            </w:r>
          </w:p>
        </w:tc>
      </w:tr>
    </w:tbl>
    <w:p>
      <w:pPr>
        <w:spacing w:after="0"/>
      </w:pPr>
    </w:p>
    <w:p>
      <w:pPr>
        <w:pStyle w:val="Heading1"/>
      </w:pPr>
      <w:r>
        <w:t>6 支付与回调约定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172B4D"/>
          <w:sz w:val="22"/>
        </w:rPr>
        <w:t>第三方支付采用“创建支付单—展示收银台—平台通知或主动查单—确认业务结果”的流程。前端轮询只用于改善用户体验，最终支付状态仍由后端依据平台响应确认。对于余额充值，确认成功后会在同一事务中增加会员余额并写入充值记录；相同商户支付单号再次到达时不会重复入账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600"/>
        <w:gridCol w:w="5760"/>
      </w:tblGrid>
      <w:tr>
        <w:trPr>
          <w:tblHeader w:val="true"/>
          <w:cantSplit w:val="true"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8"/>
              </w:rPr>
              <w:t>接口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8"/>
              </w:rPr>
              <w:t>响应与注意事项</w:t>
            </w:r>
          </w:p>
        </w:tc>
      </w:tr>
      <w:tr>
        <w:trPr>
          <w:cantSplit w:val="true"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GET /payment/wechat/qrcode/{outTradeNo}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返回 image/png；支付平台未启用或支付单不存在时返回错误。</w:t>
            </w:r>
          </w:p>
        </w:tc>
      </w:tr>
      <w:tr>
        <w:trPr>
          <w:cantSplit w:val="true"/>
        </w:trPr>
        <w:tc>
          <w:tcPr>
            <w:tcW w:type="dxa" w:w="3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GET /payment/alipay/page/{outTradeNo}</w:t>
            </w:r>
          </w:p>
        </w:tc>
        <w:tc>
          <w:tcPr>
            <w:tcW w:type="dxa" w:w="57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返回 text/html 收银台页面。</w:t>
            </w:r>
          </w:p>
        </w:tc>
      </w:tr>
      <w:tr>
        <w:trPr>
          <w:cantSplit w:val="true"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POST /payment/notify/wechat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验证 Wechatpay-* 头和通知正文，成功返回 SUCCESS JSON。</w:t>
            </w:r>
          </w:p>
        </w:tc>
      </w:tr>
      <w:tr>
        <w:trPr>
          <w:cantSplit w:val="true"/>
        </w:trPr>
        <w:tc>
          <w:tcPr>
            <w:tcW w:type="dxa" w:w="3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POST /payment/notify/wechat/refund</w:t>
            </w:r>
          </w:p>
        </w:tc>
        <w:tc>
          <w:tcPr>
            <w:tcW w:type="dxa" w:w="57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验签并更新退款与订单状态。</w:t>
            </w:r>
          </w:p>
        </w:tc>
      </w:tr>
      <w:tr>
        <w:trPr>
          <w:cantSplit w:val="true"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POST /payment/notify/alipay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验签成功返回纯文本 success，失败返回 failure。</w:t>
            </w:r>
          </w:p>
        </w:tc>
      </w:tr>
      <w:tr>
        <w:trPr>
          <w:cantSplit w:val="true"/>
        </w:trPr>
        <w:tc>
          <w:tcPr>
            <w:tcW w:type="dxa" w:w="3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GET /payment/status/{outTradeNo}</w:t>
            </w:r>
          </w:p>
        </w:tc>
        <w:tc>
          <w:tcPr>
            <w:tcW w:type="dxa" w:w="57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查询本地状态，并按服务逻辑主动同步平台结果。</w:t>
            </w:r>
          </w:p>
        </w:tc>
      </w:tr>
    </w:tbl>
    <w:p>
      <w:pPr>
        <w:spacing w:after="0"/>
      </w:pPr>
    </w:p>
    <w:p>
      <w:pPr>
        <w:pStyle w:val="Heading1"/>
      </w:pPr>
      <w:r>
        <w:t>7 部署与安全边界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172B4D"/>
          <w:sz w:val="22"/>
        </w:rPr>
        <w:t>本地前端使用 /api，由 Vite 代理到 localhost:8087；生产环境由 Nginx 将 /api/ 代理到 127.0.0.1:8087/。真实支付回调使用 https://域名/api/payment/notify/...，Nginx 去掉 /api 前缀后交给后端。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FC6E9"/>
          <w:left w:val="single" w:sz="4" w:space="0" w:color="AFC6E9"/>
          <w:bottom w:val="single" w:sz="4" w:space="0" w:color="AFC6E9"/>
          <w:right w:val="single" w:sz="4" w:space="0" w:color="AFC6E9"/>
          <w:insideH w:val="single" w:sz="4" w:space="0" w:color="AFC6E9"/>
          <w:insideV w:val="single" w:sz="4" w:space="0" w:color="AFC6E9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E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324F"/>
                <w:sz w:val="22"/>
              </w:rPr>
              <w:t xml:space="preserve">生产要求  </w:t>
            </w:r>
            <w:r>
              <w:rPr>
                <w:rFonts w:ascii="Microsoft YaHei" w:hAnsi="Microsoft YaHei" w:eastAsia="Microsoft YaHei"/>
                <w:color w:val="172B4D"/>
                <w:sz w:val="22"/>
              </w:rPr>
              <w:t>支付私钥只保存为服务器文件，配置项传文件路径；不得进入前端、数据库或 Git。回调必须使用 HTTPS，并验证签名、商户身份、金额、订单号和重复通知。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7085"/>
        <w:sz w:val="18"/>
      </w:rPr>
      <w:t xml:space="preserve">第 </w:t>
    </w:r>
    <w:fldSimple w:instr="PAGE"/>
    <w:r>
      <w:rPr>
        <w:rFonts w:ascii="Microsoft YaHei" w:hAnsi="Microsoft YaHe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/>
        <w:b/>
        <w:color w:val="667085"/>
        <w:sz w:val="18"/>
      </w:rPr>
      <w:t>网管通 | API 接口设计说明书 V2.1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172B4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